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C72CDE" w14:textId="36039D9C" w:rsidR="00E13F5F" w:rsidRDefault="002D354D" w:rsidP="00D92757">
      <w:pPr>
        <w:pStyle w:val="Ttulo1"/>
      </w:pPr>
      <w:r w:rsidRPr="002D354D">
        <w:t>CONTENIDO Y ALCANCE DE LA REFORMA LABORAL EN LA CONTRATACIÓN DE PERSONAS CON DISCAPACIDAD</w:t>
      </w:r>
    </w:p>
    <w:p w14:paraId="0F27A47C" w14:textId="77777777" w:rsidR="00F57264" w:rsidRPr="00F57264" w:rsidRDefault="00F57264" w:rsidP="00F57264"/>
    <w:p w14:paraId="7310F1A6" w14:textId="76FF4ADB" w:rsidR="00E13F5F" w:rsidRDefault="002D354D" w:rsidP="00E13F5F">
      <w:pPr>
        <w:spacing w:after="0" w:line="240" w:lineRule="auto"/>
        <w:jc w:val="center"/>
        <w:rPr>
          <w:i/>
        </w:rPr>
      </w:pPr>
      <w:r>
        <w:rPr>
          <w:i/>
        </w:rPr>
        <w:t>José Antonio Rueda Monroy</w:t>
      </w:r>
    </w:p>
    <w:p w14:paraId="6C136590" w14:textId="00C9F20C" w:rsidR="00E13F5F" w:rsidRDefault="000113F7" w:rsidP="00E13F5F">
      <w:pPr>
        <w:spacing w:after="0" w:line="240" w:lineRule="auto"/>
        <w:jc w:val="center"/>
        <w:rPr>
          <w:i/>
        </w:rPr>
      </w:pPr>
      <w:r>
        <w:rPr>
          <w:i/>
        </w:rPr>
        <w:t>Investigador postdoctoral contratado (Margarita Salas)</w:t>
      </w:r>
    </w:p>
    <w:p w14:paraId="3F2C33AF" w14:textId="409A5354" w:rsidR="00E13F5F" w:rsidRDefault="00E13F5F" w:rsidP="00E13F5F">
      <w:pPr>
        <w:spacing w:after="0" w:line="240" w:lineRule="auto"/>
        <w:jc w:val="center"/>
        <w:rPr>
          <w:i/>
        </w:rPr>
      </w:pPr>
      <w:r>
        <w:rPr>
          <w:i/>
        </w:rPr>
        <w:t xml:space="preserve">Universidad </w:t>
      </w:r>
      <w:r w:rsidR="000113F7">
        <w:rPr>
          <w:i/>
        </w:rPr>
        <w:t>de Málaga</w:t>
      </w:r>
    </w:p>
    <w:p w14:paraId="1DC7897B" w14:textId="3B70D1B9" w:rsidR="00E13F5F" w:rsidRDefault="002D354D" w:rsidP="00E13F5F">
      <w:pPr>
        <w:spacing w:after="0" w:line="240" w:lineRule="auto"/>
        <w:jc w:val="center"/>
        <w:rPr>
          <w:i/>
        </w:rPr>
      </w:pPr>
      <w:r>
        <w:rPr>
          <w:i/>
        </w:rPr>
        <w:t>ruedamonroy@uma.es</w:t>
      </w:r>
    </w:p>
    <w:p w14:paraId="0AF20369" w14:textId="77777777" w:rsidR="00E13F5F" w:rsidRDefault="00E13F5F" w:rsidP="00E13F5F">
      <w:pPr>
        <w:jc w:val="center"/>
        <w:rPr>
          <w:i/>
        </w:rPr>
      </w:pPr>
    </w:p>
    <w:p w14:paraId="2FB541D9" w14:textId="503415B0" w:rsidR="00E13F5F" w:rsidRDefault="006D2583" w:rsidP="00E13F5F">
      <w:pPr>
        <w:pStyle w:val="Ttulo2"/>
      </w:pPr>
      <w:r>
        <w:t>INTRODUCCIÓN</w:t>
      </w:r>
    </w:p>
    <w:p w14:paraId="1A57C9C9" w14:textId="24583B16" w:rsidR="003E4D85" w:rsidRDefault="006D2583" w:rsidP="006D2583">
      <w:r>
        <w:t xml:space="preserve">El </w:t>
      </w:r>
      <w:r w:rsidRPr="006D2583">
        <w:rPr>
          <w:i/>
          <w:iCs/>
        </w:rPr>
        <w:t>Real Decreto-ley 32/2021, de 28 de diciembre</w:t>
      </w:r>
      <w:r>
        <w:t xml:space="preserve">, ha reconfigurado sustancialmente las reglas vigentes en nuestro sistema de relaciones laborales. </w:t>
      </w:r>
      <w:r w:rsidR="001D2D04">
        <w:t>Destacada mención merece</w:t>
      </w:r>
      <w:r>
        <w:t xml:space="preserve"> </w:t>
      </w:r>
      <w:r w:rsidR="00835122">
        <w:t xml:space="preserve">un renovado catálogo de modalidades contractuales y </w:t>
      </w:r>
      <w:r w:rsidR="005F4A47">
        <w:t>la significativa recuperación de la fuerza del convenio colectivo sectorial y, con ella, del poder sindical</w:t>
      </w:r>
      <w:r>
        <w:t xml:space="preserve">. </w:t>
      </w:r>
      <w:r w:rsidR="001D2D04">
        <w:t xml:space="preserve">En ambas vertientes, la individual y la colectiva, esta reforma tiene afectación importante en lo que se refiere a las personas con discapacidad y sus derechos laborales. </w:t>
      </w:r>
      <w:r w:rsidR="00464264">
        <w:t>En efecto, en aras de la igualdad de oportunidades, en nuestro derecho laboral se despliegan una variedad de medidas de trato diferenciado en favor del colectivo</w:t>
      </w:r>
      <w:r w:rsidR="00A65A87">
        <w:t xml:space="preserve">, </w:t>
      </w:r>
      <w:r w:rsidR="000113F7">
        <w:t>algunas de</w:t>
      </w:r>
      <w:r w:rsidR="00A65A87">
        <w:t xml:space="preserve"> las cuales</w:t>
      </w:r>
      <w:r w:rsidR="000113F7">
        <w:t xml:space="preserve"> </w:t>
      </w:r>
      <w:r w:rsidR="00A65A87">
        <w:t>se han visto modificadas</w:t>
      </w:r>
      <w:r w:rsidR="000113F7">
        <w:t xml:space="preserve"> con ocasión de esta reforma</w:t>
      </w:r>
      <w:r w:rsidR="00A65A87">
        <w:t xml:space="preserve">. </w:t>
      </w:r>
    </w:p>
    <w:p w14:paraId="2D84CFFD" w14:textId="77777777" w:rsidR="004A5EDC" w:rsidRDefault="003E4D85" w:rsidP="006D2583">
      <w:r>
        <w:t>Mención expresa a las personas trabajadoras con discapacidad se realiza en lo que respecta a la ampliación de los límites temporales para la celebración, y</w:t>
      </w:r>
      <w:r w:rsidR="000113F7">
        <w:t xml:space="preserve"> así como</w:t>
      </w:r>
      <w:r>
        <w:t xml:space="preserve"> a la edad y duración</w:t>
      </w:r>
      <w:r w:rsidR="000113F7">
        <w:t>,</w:t>
      </w:r>
      <w:r>
        <w:t xml:space="preserve"> del contrato formativo. También </w:t>
      </w:r>
      <w:r w:rsidR="00030457">
        <w:t>se alude al colectivo para excluir la aplicación</w:t>
      </w:r>
      <w:r w:rsidR="00030457" w:rsidRPr="00030457">
        <w:t xml:space="preserve"> de la nueva clausula contenida en el artículo 42.6</w:t>
      </w:r>
      <w:r w:rsidR="00953964">
        <w:t xml:space="preserve"> del</w:t>
      </w:r>
      <w:r w:rsidR="00030457" w:rsidRPr="00030457">
        <w:t xml:space="preserve"> </w:t>
      </w:r>
      <w:r w:rsidR="00953964" w:rsidRPr="00953964">
        <w:rPr>
          <w:i/>
          <w:iCs/>
        </w:rPr>
        <w:t>Real Decreto Legislativo 2/2015, de 23 de octubre, por el que se aprueba el texto refundido de la Ley del Estatuto de los Trabajadores</w:t>
      </w:r>
      <w:r w:rsidR="00953964" w:rsidRPr="00953964">
        <w:t xml:space="preserve"> </w:t>
      </w:r>
      <w:r w:rsidR="00953964">
        <w:t>(</w:t>
      </w:r>
      <w:r w:rsidR="00030457" w:rsidRPr="00030457">
        <w:t>ET</w:t>
      </w:r>
      <w:r w:rsidR="00953964">
        <w:t>, en adelante)</w:t>
      </w:r>
      <w:r w:rsidR="00030457" w:rsidRPr="00030457">
        <w:t xml:space="preserve"> relativa al convenio colectivo aplicable en contratas y subcontrata a los Centros Especiales de Empleo</w:t>
      </w:r>
      <w:r w:rsidR="00953964">
        <w:t xml:space="preserve"> (en adelante </w:t>
      </w:r>
      <w:r w:rsidR="00D92757">
        <w:t>C</w:t>
      </w:r>
      <w:r w:rsidR="00953964">
        <w:t>CEE)</w:t>
      </w:r>
      <w:r w:rsidR="00030457">
        <w:t xml:space="preserve">. </w:t>
      </w:r>
    </w:p>
    <w:p w14:paraId="1965906C" w14:textId="3FA4BA1D" w:rsidR="007F73E0" w:rsidRDefault="00A65A87" w:rsidP="006D2583">
      <w:r>
        <w:t xml:space="preserve">Pero la repercusión de la </w:t>
      </w:r>
      <w:r w:rsidR="00030457">
        <w:t xml:space="preserve">reforma </w:t>
      </w:r>
      <w:r w:rsidR="000113F7">
        <w:t>podría</w:t>
      </w:r>
      <w:r w:rsidR="00030457">
        <w:t xml:space="preserve"> tener implicaciones mucho más profunda</w:t>
      </w:r>
      <w:r w:rsidR="00452D98">
        <w:t>s</w:t>
      </w:r>
      <w:r w:rsidR="00030457">
        <w:t xml:space="preserve"> en el empleo de las personas con discapacidad </w:t>
      </w:r>
      <w:r w:rsidR="00030457" w:rsidRPr="00D92757">
        <w:t>si atendemos</w:t>
      </w:r>
      <w:r w:rsidR="000113F7" w:rsidRPr="00D92757">
        <w:t xml:space="preserve"> </w:t>
      </w:r>
      <w:r w:rsidR="00030457" w:rsidRPr="00D92757">
        <w:t xml:space="preserve">a </w:t>
      </w:r>
      <w:r w:rsidR="000113F7" w:rsidRPr="00D92757">
        <w:t xml:space="preserve">determinadas </w:t>
      </w:r>
      <w:r w:rsidR="00452D98" w:rsidRPr="00D92757">
        <w:t>omisiones.</w:t>
      </w:r>
      <w:r w:rsidR="00452D98">
        <w:t xml:space="preserve"> Y es que, el refuerzo formal y sustancial del element</w:t>
      </w:r>
      <w:r w:rsidR="009365C1">
        <w:t xml:space="preserve">o </w:t>
      </w:r>
      <w:r w:rsidR="00452D98">
        <w:t xml:space="preserve">causal </w:t>
      </w:r>
      <w:r w:rsidR="009365C1">
        <w:t xml:space="preserve">en la contratación </w:t>
      </w:r>
      <w:r w:rsidR="00CA4D1F">
        <w:t>temporal,</w:t>
      </w:r>
      <w:r w:rsidR="009365C1">
        <w:t xml:space="preserve"> por un lado, y la falta de referencias </w:t>
      </w:r>
      <w:r w:rsidR="0047156F">
        <w:t>expresas en la norma</w:t>
      </w:r>
      <w:r w:rsidR="009365C1">
        <w:t xml:space="preserve"> por otro, hacen que salten las dudas en relación con </w:t>
      </w:r>
      <w:r w:rsidR="0047156F">
        <w:t xml:space="preserve">la vigencia de un contrato singular: el contrato temporal de fomento del empleo para personas con discapacidad regulado en la </w:t>
      </w:r>
      <w:r w:rsidR="00C307C9">
        <w:t>d</w:t>
      </w:r>
      <w:r w:rsidR="0047156F">
        <w:t xml:space="preserve">isposición </w:t>
      </w:r>
      <w:r w:rsidR="00C307C9">
        <w:t>a</w:t>
      </w:r>
      <w:r w:rsidR="0047156F">
        <w:t xml:space="preserve">dicional </w:t>
      </w:r>
      <w:r w:rsidR="00C307C9">
        <w:t>p</w:t>
      </w:r>
      <w:r w:rsidR="0047156F">
        <w:t xml:space="preserve">rimera de la </w:t>
      </w:r>
      <w:r w:rsidR="0047156F" w:rsidRPr="000113F7">
        <w:rPr>
          <w:i/>
          <w:iCs/>
        </w:rPr>
        <w:t>Ley 43/2006, de 29 de diciembre, para la mejora del crecimiento y del empleo</w:t>
      </w:r>
      <w:r w:rsidR="007F73E0">
        <w:t>.</w:t>
      </w:r>
    </w:p>
    <w:p w14:paraId="0D08662E" w14:textId="63B4C8DC" w:rsidR="007F73E0" w:rsidRDefault="000113F7" w:rsidP="006D2583">
      <w:r>
        <w:lastRenderedPageBreak/>
        <w:t>Aun cuando cuantitativamente esta modalidad contractual no es muy utilizada para emplear al colectivo</w:t>
      </w:r>
      <w:r w:rsidR="007F73E0">
        <w:rPr>
          <w:rStyle w:val="Refdenotaalpie"/>
        </w:rPr>
        <w:footnoteReference w:id="1"/>
      </w:r>
      <w:r>
        <w:t xml:space="preserve">, cualitativamente estamos ante un contrato relevante, tal y como se expondrá. Es por ello, por lo que </w:t>
      </w:r>
      <w:r w:rsidR="007F73E0">
        <w:t xml:space="preserve">la principal organización representativas del colectivo, el </w:t>
      </w:r>
      <w:r>
        <w:t>Comité Español de Representantes de Personas con Discapacidad (CERMI en adelante)</w:t>
      </w:r>
      <w:r w:rsidR="007F73E0">
        <w:t xml:space="preserve">, se ha preocupado </w:t>
      </w:r>
      <w:r w:rsidR="00724807">
        <w:t>ya de los posibles efectos de la reforma sobre su vigencia</w:t>
      </w:r>
      <w:r w:rsidR="00724807">
        <w:rPr>
          <w:rStyle w:val="Refdenotaalpie"/>
        </w:rPr>
        <w:footnoteReference w:id="2"/>
      </w:r>
      <w:r w:rsidR="00724807">
        <w:t xml:space="preserve">. </w:t>
      </w:r>
      <w:r w:rsidR="007452FF">
        <w:t xml:space="preserve">En sentido </w:t>
      </w:r>
      <w:r>
        <w:t xml:space="preserve">positivo a la vigencia del contrato </w:t>
      </w:r>
      <w:r w:rsidR="007452FF">
        <w:t xml:space="preserve">se ha pronunciado DE LA VILLA GIL en unas jornadas </w:t>
      </w:r>
      <w:r w:rsidR="007452FF" w:rsidRPr="007452FF">
        <w:t xml:space="preserve">llevadas a cabo </w:t>
      </w:r>
      <w:r w:rsidR="007452FF">
        <w:t>por la sección de discapacidad</w:t>
      </w:r>
      <w:r w:rsidR="007452FF" w:rsidRPr="007452FF">
        <w:t xml:space="preserve"> </w:t>
      </w:r>
      <w:r w:rsidR="007452FF">
        <w:t>d</w:t>
      </w:r>
      <w:r w:rsidR="007452FF" w:rsidRPr="007452FF">
        <w:t>el Ilustre Colegio de Abogados de Madrid</w:t>
      </w:r>
      <w:r w:rsidR="00E5093A">
        <w:t xml:space="preserve"> el 14 de febrero de 2022 bajo el título: “</w:t>
      </w:r>
      <w:r w:rsidR="00E5093A" w:rsidRPr="00E5093A">
        <w:t>El Impacto de la reforma laboral en los trabajadores con discapacidad</w:t>
      </w:r>
      <w:r w:rsidR="00E5093A">
        <w:t>”</w:t>
      </w:r>
      <w:r w:rsidR="007452FF" w:rsidRPr="007452FF">
        <w:t>.</w:t>
      </w:r>
    </w:p>
    <w:p w14:paraId="10C30815" w14:textId="5B5775BC" w:rsidR="00B86B98" w:rsidRDefault="00E5093A" w:rsidP="00953964">
      <w:r>
        <w:t xml:space="preserve">En el presente trabajo se propone un análisis crítico de la reforma laboral en lo que se refiere al empleo de las personas con discapacidad </w:t>
      </w:r>
      <w:r w:rsidR="00137241">
        <w:t>en todas sus aristas</w:t>
      </w:r>
      <w:r w:rsidR="00E547E9">
        <w:t xml:space="preserve">. </w:t>
      </w:r>
      <w:r w:rsidR="00E547E9" w:rsidRPr="004A5EDC">
        <w:t>Para ello,</w:t>
      </w:r>
      <w:r w:rsidR="00D25B05" w:rsidRPr="004A5EDC">
        <w:t xml:space="preserve"> </w:t>
      </w:r>
      <w:r w:rsidR="000113F7" w:rsidRPr="004A5EDC">
        <w:t>se dividirá</w:t>
      </w:r>
      <w:r w:rsidR="00D25B05" w:rsidRPr="004A5EDC">
        <w:t xml:space="preserve"> </w:t>
      </w:r>
      <w:r w:rsidR="000113F7" w:rsidRPr="004A5EDC">
        <w:t>el presente trabajo</w:t>
      </w:r>
      <w:r w:rsidR="00D25B05" w:rsidRPr="004A5EDC">
        <w:t xml:space="preserve"> en tres apartados que </w:t>
      </w:r>
      <w:r w:rsidR="000113F7" w:rsidRPr="004A5EDC">
        <w:t>corresponden con</w:t>
      </w:r>
      <w:r w:rsidR="00D25B05" w:rsidRPr="004A5EDC">
        <w:t xml:space="preserve"> los bloques anteriormente expresados.</w:t>
      </w:r>
      <w:r w:rsidR="00D25B05">
        <w:t xml:space="preserve"> En primer lugar, se comenzará</w:t>
      </w:r>
      <w:r w:rsidR="00E547E9">
        <w:t xml:space="preserve"> con el estudio de las particularidades del nuevo contrato formativo</w:t>
      </w:r>
      <w:r w:rsidR="00D25B05">
        <w:t>, para</w:t>
      </w:r>
      <w:r w:rsidR="00E547E9">
        <w:t xml:space="preserve"> </w:t>
      </w:r>
      <w:r w:rsidR="00D25B05">
        <w:t xml:space="preserve">seguir con el </w:t>
      </w:r>
      <w:r w:rsidR="004A5EDC">
        <w:t>sobre</w:t>
      </w:r>
      <w:r w:rsidR="00D25B05">
        <w:t xml:space="preserve"> la vigencia del contrato de fomento del empleo. Finalmente se centrarán las miras en la vertiente colectiva </w:t>
      </w:r>
      <w:r w:rsidR="00953964">
        <w:t xml:space="preserve">para examinará la nueva disposición adicional vigesimoséptima del ET relativa al régimen jurídico aplicable en los casos de contratas y subcontratas suscritas con </w:t>
      </w:r>
      <w:r w:rsidR="004A5EDC">
        <w:t>CCEE</w:t>
      </w:r>
      <w:r w:rsidR="00953964">
        <w:t>.</w:t>
      </w:r>
    </w:p>
    <w:p w14:paraId="19B580FE" w14:textId="77777777" w:rsidR="00D92757" w:rsidRDefault="00D92757" w:rsidP="00953964"/>
    <w:p w14:paraId="6A314209" w14:textId="68C57D90" w:rsidR="00B86B98" w:rsidRDefault="00B86B98" w:rsidP="00B86B98">
      <w:pPr>
        <w:pStyle w:val="Ttulo2"/>
        <w:ind w:left="714" w:hanging="357"/>
      </w:pPr>
      <w:r>
        <w:t>Particularidades del nuevo contrato formativo celebrado con personas con discapacidad</w:t>
      </w:r>
    </w:p>
    <w:p w14:paraId="7B6EDF9D" w14:textId="38A00F53" w:rsidR="00B86B98" w:rsidRPr="00B86B98" w:rsidRDefault="00B86B98" w:rsidP="00B86B98">
      <w:r>
        <w:t xml:space="preserve">La primera mencion explicita a la discapacidad en el texto articulado de la reforma se produce en la configuración del </w:t>
      </w:r>
      <w:r w:rsidR="00FC5FDC">
        <w:t>“</w:t>
      </w:r>
      <w:r>
        <w:t>nuevo</w:t>
      </w:r>
      <w:r w:rsidR="00FC5FDC">
        <w:t>”</w:t>
      </w:r>
      <w:r>
        <w:t xml:space="preserve"> contrato formativo.</w:t>
      </w:r>
      <w:r w:rsidR="00FC5FDC">
        <w:t xml:space="preserve"> El Gobierno, en su papel de legislador, ha convertido en esta reforma –en consonancia con el objeto de la misma tal como se declara en su </w:t>
      </w:r>
      <w:r w:rsidR="003B17AA">
        <w:t>preámbulo</w:t>
      </w:r>
      <w:r w:rsidR="00FC5FDC">
        <w:rPr>
          <w:rStyle w:val="Refdenotaalpie"/>
        </w:rPr>
        <w:footnoteReference w:id="3"/>
      </w:r>
      <w:proofErr w:type="gramStart"/>
      <w:r w:rsidR="00FC5FDC">
        <w:t>–  dos</w:t>
      </w:r>
      <w:proofErr w:type="gramEnd"/>
      <w:r w:rsidR="00FC5FDC">
        <w:t xml:space="preserve"> modalidades de “contratos formativos”</w:t>
      </w:r>
      <w:r w:rsidR="00CB5EE5">
        <w:t xml:space="preserve"> en un único contrato, el “contrato formativo” </w:t>
      </w:r>
      <w:r w:rsidR="00234DED">
        <w:t>compuesto</w:t>
      </w:r>
      <w:r w:rsidR="004927A1">
        <w:t xml:space="preserve"> de</w:t>
      </w:r>
      <w:r w:rsidR="00CB5EE5">
        <w:t xml:space="preserve"> dos </w:t>
      </w:r>
      <w:proofErr w:type="spellStart"/>
      <w:r w:rsidR="00CB5EE5">
        <w:t>submodalidades</w:t>
      </w:r>
      <w:proofErr w:type="spellEnd"/>
      <w:r w:rsidR="00CB5EE5">
        <w:t xml:space="preserve"> cuyos objetos contractuales concuerda con los de las modalidades precedentes: el </w:t>
      </w:r>
      <w:r w:rsidR="00150152">
        <w:t xml:space="preserve">contrato de formación en alternancia y el contrato para la obtención de la práctica profesional. </w:t>
      </w:r>
    </w:p>
    <w:p w14:paraId="1DE61131" w14:textId="731140AF" w:rsidR="000E53F2" w:rsidRDefault="00F30B2F" w:rsidP="006D2583">
      <w:r>
        <w:lastRenderedPageBreak/>
        <w:t xml:space="preserve">En sendas </w:t>
      </w:r>
      <w:proofErr w:type="spellStart"/>
      <w:r>
        <w:t>submodalidades</w:t>
      </w:r>
      <w:proofErr w:type="spellEnd"/>
      <w:r>
        <w:t xml:space="preserve"> se encuentran previsiones relativas a la discapacidad que procurarían </w:t>
      </w:r>
      <w:r w:rsidR="00234DED">
        <w:t>la mejora de</w:t>
      </w:r>
      <w:r>
        <w:t xml:space="preserve"> la empleabilidad del colectivo, siendo normas comunes para ambas </w:t>
      </w:r>
      <w:r w:rsidR="000E53F2">
        <w:t xml:space="preserve">la supresión </w:t>
      </w:r>
      <w:r>
        <w:t xml:space="preserve">de los límites de edad </w:t>
      </w:r>
      <w:r w:rsidR="000E53F2">
        <w:t>y duración del contrato</w:t>
      </w:r>
      <w:r w:rsidR="00234DED">
        <w:t>,</w:t>
      </w:r>
      <w:r w:rsidR="000E53F2">
        <w:t xml:space="preserve"> y las bonificaciones de cuotas</w:t>
      </w:r>
      <w:r w:rsidR="00234DED">
        <w:t xml:space="preserve"> a la </w:t>
      </w:r>
      <w:r w:rsidR="00C40A35">
        <w:t>S</w:t>
      </w:r>
      <w:r w:rsidR="00234DED">
        <w:t xml:space="preserve">eguridad </w:t>
      </w:r>
      <w:r w:rsidR="00C40A35">
        <w:t>So</w:t>
      </w:r>
      <w:r w:rsidR="00234DED">
        <w:t>cial</w:t>
      </w:r>
      <w:r w:rsidR="000E53F2">
        <w:t>. A su vez, en el contrato formativo para la obtención de la práctica profesional se establece una ampliación en dos años del plazo de obtención de los estudios correspondiente que habilitarían su utilización.</w:t>
      </w:r>
    </w:p>
    <w:p w14:paraId="77EB6C23" w14:textId="77777777" w:rsidR="004A5EDC" w:rsidRDefault="004A5EDC" w:rsidP="006D2583"/>
    <w:p w14:paraId="7165089B" w14:textId="2E275825" w:rsidR="000E53F2" w:rsidRPr="00EB6C29" w:rsidRDefault="000E53F2" w:rsidP="006D2583">
      <w:pPr>
        <w:rPr>
          <w:b/>
          <w:bCs/>
        </w:rPr>
      </w:pPr>
      <w:r w:rsidRPr="00EB6C29">
        <w:rPr>
          <w:b/>
          <w:bCs/>
        </w:rPr>
        <w:t xml:space="preserve">2.1 Supresión de límites de edad y duración contractual </w:t>
      </w:r>
    </w:p>
    <w:p w14:paraId="1C39C71E" w14:textId="5999F94F" w:rsidR="00234DED" w:rsidRDefault="000E53F2" w:rsidP="006D2583">
      <w:r>
        <w:t>Recoge el artículo</w:t>
      </w:r>
      <w:r w:rsidR="001B3F2E">
        <w:t xml:space="preserve"> 11.4 d) ET, común para ambas </w:t>
      </w:r>
      <w:proofErr w:type="spellStart"/>
      <w:r w:rsidR="001B3F2E">
        <w:t>submodalidades</w:t>
      </w:r>
      <w:proofErr w:type="spellEnd"/>
      <w:r w:rsidR="001B3F2E">
        <w:t>, que “l</w:t>
      </w:r>
      <w:r w:rsidR="001B3F2E" w:rsidRPr="001B3F2E">
        <w:t>os límites de edad y en la duración máxima del contrato formativo no serán de aplicación cuando se concierte con personas con discapacidad</w:t>
      </w:r>
      <w:r w:rsidR="004A5EDC">
        <w:t xml:space="preserve"> </w:t>
      </w:r>
      <w:r w:rsidR="00234DED">
        <w:t>[</w:t>
      </w:r>
      <w:r w:rsidR="001B3F2E">
        <w:t>…</w:t>
      </w:r>
      <w:r w:rsidR="00234DED">
        <w:t>]</w:t>
      </w:r>
      <w:r w:rsidR="001B3F2E">
        <w:t>”. Prosigue el precepto con una remisión al desarrollo reglamentario con el objeto de establecer “</w:t>
      </w:r>
      <w:r w:rsidR="001B3F2E" w:rsidRPr="001B3F2E">
        <w:t>dichos límites para adecuarlos a los estudios, al plan o programa formativo y al grado de discapacidad y características de estas personas</w:t>
      </w:r>
      <w:r w:rsidR="001B3F2E">
        <w:t>”.</w:t>
      </w:r>
      <w:r w:rsidR="00F319AF">
        <w:t xml:space="preserve"> </w:t>
      </w:r>
    </w:p>
    <w:p w14:paraId="140A6EA6" w14:textId="1DB3A080" w:rsidR="000E53F2" w:rsidRDefault="00F319AF" w:rsidP="006D2583">
      <w:r>
        <w:t>Ciertamente, en la regulación genérica</w:t>
      </w:r>
      <w:r w:rsidR="001E765C">
        <w:t>,</w:t>
      </w:r>
      <w:r>
        <w:t xml:space="preserve"> la única delimitación respecto a la edad se produce en el contrato formativo en alte</w:t>
      </w:r>
      <w:r w:rsidR="001E765C">
        <w:t>rnancia y en el supuesto de que el contrato se suscriba en el marco de certificados de profesionalidad de nivel 1 y 2, y programas públicos o privados de formación en alternancia de empleo–formación, que formen parte del Catálogo de especialidades normativas del Sistema Nacional de Empleo</w:t>
      </w:r>
      <w:r w:rsidR="000F119C">
        <w:rPr>
          <w:rStyle w:val="Refdenotaalpie"/>
        </w:rPr>
        <w:footnoteReference w:id="4"/>
      </w:r>
      <w:r w:rsidR="001E765C">
        <w:t>. En est</w:t>
      </w:r>
      <w:r w:rsidR="00234DED">
        <w:t>os</w:t>
      </w:r>
      <w:r w:rsidR="001E765C">
        <w:t xml:space="preserve"> caso</w:t>
      </w:r>
      <w:r w:rsidR="00234DED">
        <w:t>s</w:t>
      </w:r>
      <w:r w:rsidR="001E765C">
        <w:t xml:space="preserve"> el contrato solo podrá ser concertado con personas de hasta treinta años</w:t>
      </w:r>
      <w:r w:rsidR="00925A13">
        <w:rPr>
          <w:rStyle w:val="Refdenotaalpie"/>
        </w:rPr>
        <w:footnoteReference w:id="5"/>
      </w:r>
      <w:r w:rsidR="001E765C">
        <w:t>, siendo el</w:t>
      </w:r>
      <w:r w:rsidR="00925A13">
        <w:t xml:space="preserve"> único</w:t>
      </w:r>
      <w:r w:rsidR="001E765C">
        <w:t xml:space="preserve"> límite </w:t>
      </w:r>
      <w:r w:rsidR="00925A13">
        <w:t>en este sentido</w:t>
      </w:r>
      <w:r w:rsidR="00234DED">
        <w:t>, el cual</w:t>
      </w:r>
      <w:r w:rsidR="00925A13">
        <w:t xml:space="preserve"> </w:t>
      </w:r>
      <w:r w:rsidR="001E765C">
        <w:t>queda suprimido con respecto al colectivo que nos ocupa a expensas de desarrollo reglamentario. Y es que,</w:t>
      </w:r>
      <w:r w:rsidR="001B3F2E">
        <w:t xml:space="preserve"> </w:t>
      </w:r>
      <w:r w:rsidR="001E765C">
        <w:t>h</w:t>
      </w:r>
      <w:r w:rsidR="001B3F2E">
        <w:t>abrá que entenderse pues, que estos limites a los que se refiere la norma</w:t>
      </w:r>
      <w:r w:rsidR="001E765C">
        <w:t xml:space="preserve"> (tanto el de edad como de duración)</w:t>
      </w:r>
      <w:r>
        <w:t xml:space="preserve"> están ahora totalmente suprimidos hasta en tanto y en cuanto no se produzca tal desarrollo, por los que los contratos formativos celebrados entre tanto carecerán de estas importantes fronteras respecto a la edad de la persona trabajadora y la duración contractual.</w:t>
      </w:r>
    </w:p>
    <w:p w14:paraId="67FA5AAB" w14:textId="512B786E" w:rsidR="00845094" w:rsidRDefault="00845094" w:rsidP="0028275B">
      <w:r>
        <w:t>La supresión de la duración máxima del contrato es una medida tan novedosa como trascendental. En efecto, nos encontramos ante un contrato de naturaleza temporal</w:t>
      </w:r>
      <w:r w:rsidR="0028275B">
        <w:t>, lo que concuerda con su objeto: compatibilizar la actividad laboral retribuida con los correspondientes procesos formativos</w:t>
      </w:r>
      <w:r>
        <w:t xml:space="preserve"> </w:t>
      </w:r>
      <w:r w:rsidR="0028275B">
        <w:t>y obtener una práctica profesional adecuada al nivel de estudios.</w:t>
      </w:r>
      <w:r w:rsidR="00C651F9">
        <w:t xml:space="preserve"> </w:t>
      </w:r>
      <w:r w:rsidR="00234DED">
        <w:t xml:space="preserve">En ese marco, </w:t>
      </w:r>
      <w:r w:rsidR="00C651F9">
        <w:t xml:space="preserve">queda con carácter general limitada este tipo de contratación a dos años para la formación en </w:t>
      </w:r>
      <w:r w:rsidR="00C651F9">
        <w:lastRenderedPageBreak/>
        <w:t xml:space="preserve">alternancia (11.2g ET) y a un año en la </w:t>
      </w:r>
      <w:proofErr w:type="spellStart"/>
      <w:r w:rsidR="00C651F9">
        <w:t>submodalidad</w:t>
      </w:r>
      <w:proofErr w:type="spellEnd"/>
      <w:r w:rsidR="00C651F9">
        <w:t xml:space="preserve"> para la obtención de la práctica profesional (11.3c ET).</w:t>
      </w:r>
      <w:r w:rsidR="0028275B">
        <w:t xml:space="preserve"> Se evidencia pues</w:t>
      </w:r>
      <w:r w:rsidR="00C651F9">
        <w:t>,</w:t>
      </w:r>
      <w:r w:rsidR="0028275B">
        <w:t xml:space="preserve"> que habilitar una contratación </w:t>
      </w:r>
      <w:r w:rsidR="0028275B" w:rsidRPr="0028275B">
        <w:rPr>
          <w:i/>
          <w:iCs/>
        </w:rPr>
        <w:t>sine die</w:t>
      </w:r>
      <w:r w:rsidRPr="0028275B">
        <w:rPr>
          <w:i/>
          <w:iCs/>
        </w:rPr>
        <w:t xml:space="preserve"> </w:t>
      </w:r>
      <w:r w:rsidR="0028275B">
        <w:t xml:space="preserve">en esta tipología contractual iría en contra de su objeto y en perjuicio del colectivo </w:t>
      </w:r>
      <w:r w:rsidR="00A6043E">
        <w:t xml:space="preserve">dada </w:t>
      </w:r>
      <w:r w:rsidR="00B86753">
        <w:t>las</w:t>
      </w:r>
      <w:r w:rsidR="00A6043E">
        <w:t xml:space="preserve"> particularidades </w:t>
      </w:r>
      <w:r w:rsidR="00B86753">
        <w:t xml:space="preserve">de este contrato </w:t>
      </w:r>
      <w:r w:rsidR="00A6043E">
        <w:t xml:space="preserve">en </w:t>
      </w:r>
      <w:r w:rsidR="00B86753">
        <w:t>aspectos como</w:t>
      </w:r>
      <w:r w:rsidR="00A6043E">
        <w:t xml:space="preserve"> la jornada </w:t>
      </w:r>
      <w:r w:rsidR="00B86753">
        <w:t>o</w:t>
      </w:r>
      <w:r w:rsidR="00A6043E">
        <w:t xml:space="preserve"> el salario</w:t>
      </w:r>
      <w:r w:rsidR="00C651F9">
        <w:t xml:space="preserve">, máxime cuando la tendencia </w:t>
      </w:r>
      <w:r w:rsidR="006527F6">
        <w:t xml:space="preserve">en cuanto a la duración máxima permitida es la </w:t>
      </w:r>
      <w:r w:rsidR="00130C9C">
        <w:t>contraria</w:t>
      </w:r>
      <w:r w:rsidR="006527F6">
        <w:rPr>
          <w:rStyle w:val="Refdenotaalpie"/>
        </w:rPr>
        <w:footnoteReference w:id="6"/>
      </w:r>
      <w:r w:rsidR="00A6043E">
        <w:t xml:space="preserve">. Parece </w:t>
      </w:r>
      <w:r w:rsidR="00B86753">
        <w:t>indispensable</w:t>
      </w:r>
      <w:r w:rsidR="00A6043E">
        <w:t xml:space="preserve"> que en el desarrollo reglamentario se acote la duración del contrato formativo suscrito con persona con discapacidad teniendo en consideración –tal y como predica la precitada norma– las particularidades relativas a los estudios, la formación y la discapacidad, de lo contrario nos encontramos ante un arma de doble filo para </w:t>
      </w:r>
      <w:r w:rsidR="00B86753">
        <w:t xml:space="preserve">las personas con discapacidad ante </w:t>
      </w:r>
      <w:r w:rsidR="00A6043E">
        <w:t xml:space="preserve">una medida que potencia su contratación a costa de </w:t>
      </w:r>
      <w:r w:rsidR="00C651F9">
        <w:t xml:space="preserve">una merma de las </w:t>
      </w:r>
      <w:r w:rsidR="00A6043E">
        <w:t>condiciones laborales</w:t>
      </w:r>
      <w:r w:rsidR="00C651F9">
        <w:t xml:space="preserve">. </w:t>
      </w:r>
    </w:p>
    <w:p w14:paraId="4555962F" w14:textId="6E80F253" w:rsidR="00C33CD5" w:rsidRDefault="00BF4F54" w:rsidP="00C33CD5">
      <w:r>
        <w:t xml:space="preserve">Lo propio se realizaba en la regulación precedente de la modalidad que nos ocupa, contenida en el </w:t>
      </w:r>
      <w:r w:rsidRPr="00BF4F54">
        <w:rPr>
          <w:i/>
          <w:iCs/>
        </w:rPr>
        <w:t>Real Decreto 1529/2012, de 8 de noviembre, por el que se desarrolla el contrato para la formación y el aprendizaje</w:t>
      </w:r>
      <w:r>
        <w:t xml:space="preserve"> </w:t>
      </w:r>
      <w:r w:rsidRPr="00BF4F54">
        <w:rPr>
          <w:i/>
          <w:iCs/>
        </w:rPr>
        <w:t>y se establecen las bases de la formación profesional dual</w:t>
      </w:r>
      <w:r>
        <w:t xml:space="preserve">. Era su disposición adicional segunda </w:t>
      </w:r>
      <w:r w:rsidR="00C33CD5">
        <w:t>la que contenía la posibilidad de ampliación hasta un máximo de cuatro años la duración del contrato para la formación y el aprendizaje para las personas con discapacidad previo informe del servicio público de empleo competente</w:t>
      </w:r>
      <w:r w:rsidR="00C33CD5">
        <w:rPr>
          <w:rStyle w:val="Refdenotaalpie"/>
        </w:rPr>
        <w:footnoteReference w:id="7"/>
      </w:r>
      <w:r w:rsidR="00C33CD5">
        <w:t>. No estábamos ante un derecho incondicional o absoluto, sino que se había de tener en cuenta el tipo y grado de discapacidad, las circunstancias individuales y profesionales de la persona trabajadora y las características del proceso formativo; todo ello relacionándolo con el nivel mínimo de conocimientos específicos para el puesto.</w:t>
      </w:r>
    </w:p>
    <w:p w14:paraId="3688A22E" w14:textId="02579612" w:rsidR="00425CB8" w:rsidRDefault="00B86753" w:rsidP="00C33CD5">
      <w:r>
        <w:t>Se estima idónea</w:t>
      </w:r>
      <w:r w:rsidR="006668E5">
        <w:t xml:space="preserve"> una regulación que atienda y </w:t>
      </w:r>
      <w:r w:rsidR="00C33CD5">
        <w:t>valore las circunstancias concretas del caso y las posibilidades</w:t>
      </w:r>
      <w:r>
        <w:t xml:space="preserve"> de las personas con discapacidad</w:t>
      </w:r>
      <w:r w:rsidR="00C33CD5">
        <w:t xml:space="preserve"> de adquirir unas competencias</w:t>
      </w:r>
      <w:r w:rsidR="006668E5">
        <w:t xml:space="preserve"> formativas y prácticas</w:t>
      </w:r>
      <w:r w:rsidR="00C33CD5">
        <w:t xml:space="preserve"> adecuadas para el </w:t>
      </w:r>
      <w:r w:rsidR="006668E5">
        <w:t xml:space="preserve">concreto </w:t>
      </w:r>
      <w:r w:rsidR="00C33CD5">
        <w:t xml:space="preserve">puesto </w:t>
      </w:r>
      <w:r w:rsidR="006668E5">
        <w:t>de trabajo relacionando l</w:t>
      </w:r>
      <w:r>
        <w:t>os posibles déficits de salud de esta persona con</w:t>
      </w:r>
      <w:r w:rsidR="006668E5">
        <w:t xml:space="preserve"> </w:t>
      </w:r>
      <w:r w:rsidR="00C33CD5">
        <w:t>e</w:t>
      </w:r>
      <w:r w:rsidR="006668E5">
        <w:t>l</w:t>
      </w:r>
      <w:r w:rsidR="00C33CD5">
        <w:t xml:space="preserve"> tiempo de la prórroga</w:t>
      </w:r>
      <w:r w:rsidR="006668E5">
        <w:t>, lo que</w:t>
      </w:r>
      <w:r w:rsidR="000B2DE9">
        <w:t xml:space="preserve"> es</w:t>
      </w:r>
      <w:r w:rsidR="006668E5">
        <w:t xml:space="preserve"> distinto a una ampliación sin límites que hoy en día queda –a expensas de la regulación reglamentaria– a la voluntad de la empresa y sin conexión alguna con la finalidad del contrato. </w:t>
      </w:r>
      <w:r w:rsidR="009833AB">
        <w:t xml:space="preserve">En este sentido, el refuerzo que la reforma realiza sobre la figura del tutor del centro formativo y en la empresa otorga a estos una visión privilegiada en aras de </w:t>
      </w:r>
      <w:r w:rsidR="009833AB" w:rsidRPr="009833AB">
        <w:t>valorar el nivel alcanzado por la persona trabajadora y si es</w:t>
      </w:r>
      <w:r w:rsidR="009833AB">
        <w:t xml:space="preserve"> </w:t>
      </w:r>
      <w:r>
        <w:t>–</w:t>
      </w:r>
      <w:r w:rsidR="009833AB">
        <w:t>o no</w:t>
      </w:r>
      <w:r>
        <w:t>–</w:t>
      </w:r>
      <w:r w:rsidR="009833AB" w:rsidRPr="009833AB">
        <w:t xml:space="preserve"> adecuado para desempeñar</w:t>
      </w:r>
      <w:r>
        <w:t xml:space="preserve"> las tareas</w:t>
      </w:r>
      <w:r w:rsidR="009833AB" w:rsidRPr="009833AB">
        <w:t xml:space="preserve"> </w:t>
      </w:r>
      <w:r>
        <w:t>d</w:t>
      </w:r>
      <w:r w:rsidR="009833AB" w:rsidRPr="009833AB">
        <w:t>el puesto de trabajo en cuestión</w:t>
      </w:r>
      <w:r w:rsidR="009833AB">
        <w:t>,</w:t>
      </w:r>
      <w:r w:rsidR="009577DD">
        <w:t xml:space="preserve"> por lo que, con las cautelas oportunas, en sede reglamentaria </w:t>
      </w:r>
      <w:r>
        <w:t>debería otorgárseles</w:t>
      </w:r>
      <w:r w:rsidR="009577DD">
        <w:t xml:space="preserve"> algún papel a la hora de decidir sobre una posible prorroga</w:t>
      </w:r>
      <w:r w:rsidR="009833AB" w:rsidRPr="009833AB">
        <w:t>.</w:t>
      </w:r>
    </w:p>
    <w:p w14:paraId="5D533DBB" w14:textId="05419C25" w:rsidR="00B86753" w:rsidRDefault="00425CB8" w:rsidP="00B86753">
      <w:r>
        <w:lastRenderedPageBreak/>
        <w:t xml:space="preserve">Todas las apreciaciones anteriores se realizan desde el convencimiento de que el </w:t>
      </w:r>
      <w:r w:rsidRPr="00425CB8">
        <w:t>Real Decreto 1529/2012</w:t>
      </w:r>
      <w:r>
        <w:t xml:space="preserve"> no resulta de aplicación al nuevo contrato formativo en su </w:t>
      </w:r>
      <w:proofErr w:type="spellStart"/>
      <w:r>
        <w:t>submodalidad</w:t>
      </w:r>
      <w:proofErr w:type="spellEnd"/>
      <w:r>
        <w:t xml:space="preserve"> de formación en alternancia y, en consecuencia, </w:t>
      </w:r>
      <w:r w:rsidR="00FE6D29" w:rsidRPr="00FE6D29">
        <w:t xml:space="preserve">que </w:t>
      </w:r>
      <w:r>
        <w:t>los contratos formativos que se celebren</w:t>
      </w:r>
      <w:r w:rsidR="00FE6D29" w:rsidRPr="00FE6D29">
        <w:t xml:space="preserve"> </w:t>
      </w:r>
      <w:r>
        <w:t xml:space="preserve">antes de cualquier desarrollo reglamentario habrán de </w:t>
      </w:r>
      <w:r w:rsidR="00FE6D29" w:rsidRPr="00FE6D29">
        <w:t>continuar rigiéndose por la normativa vigente en el momento de su celebración</w:t>
      </w:r>
      <w:r>
        <w:t>, en esencia el artículo 11 ET.</w:t>
      </w:r>
      <w:r w:rsidR="00B86753">
        <w:t xml:space="preserve"> Esta cuestión afectaría negativamente al colectivo de personas con capacidad intelectual límite que, tras las reformas operadas por el </w:t>
      </w:r>
      <w:r w:rsidR="00B86753" w:rsidRPr="00B86753">
        <w:rPr>
          <w:i/>
          <w:iCs/>
        </w:rPr>
        <w:t>Real Decreto 368/2021, de 25 de mayo, sobre medidas de acción positiva para promover el acceso al empleo de personas</w:t>
      </w:r>
      <w:r w:rsidR="00B86753">
        <w:rPr>
          <w:rStyle w:val="Refdenotaalpie"/>
          <w:i/>
          <w:iCs/>
        </w:rPr>
        <w:footnoteReference w:id="8"/>
      </w:r>
      <w:r w:rsidR="00B86753">
        <w:rPr>
          <w:i/>
          <w:iCs/>
        </w:rPr>
        <w:t xml:space="preserve"> </w:t>
      </w:r>
      <w:r w:rsidR="00B86753">
        <w:t>sobre la regulación del contrato para la formación y el aprendizaje en el Real Decreto 1529/2012</w:t>
      </w:r>
      <w:r w:rsidR="00B86753">
        <w:rPr>
          <w:rStyle w:val="Refdenotaalpie"/>
        </w:rPr>
        <w:footnoteReference w:id="9"/>
      </w:r>
      <w:r w:rsidR="00B86753">
        <w:t xml:space="preserve">, se beneficiaban de medidas de acción positiva referidas a la posibilidad de ampliación de la duración contractual hasta cuatro años y particularidad en el proceso formativo, las cuales, tras las modificaciones operadas en el </w:t>
      </w:r>
      <w:r w:rsidR="004A5EDC">
        <w:t>ET</w:t>
      </w:r>
      <w:r w:rsidR="00B86753">
        <w:t xml:space="preserve"> –y, nuevamente, a expensas de desarrollo reglamentario– habrían perdido vigor.</w:t>
      </w:r>
    </w:p>
    <w:p w14:paraId="410FF196" w14:textId="77777777" w:rsidR="004A5EDC" w:rsidRPr="00B86753" w:rsidRDefault="004A5EDC" w:rsidP="00B86753"/>
    <w:p w14:paraId="748DFB01" w14:textId="381F3660" w:rsidR="009577DD" w:rsidRDefault="00C651F9" w:rsidP="006D2583">
      <w:pPr>
        <w:rPr>
          <w:b/>
          <w:bCs/>
        </w:rPr>
      </w:pPr>
      <w:r w:rsidRPr="00C651F9">
        <w:rPr>
          <w:b/>
          <w:bCs/>
        </w:rPr>
        <w:t xml:space="preserve">2.2 </w:t>
      </w:r>
      <w:r w:rsidRPr="00B86753">
        <w:rPr>
          <w:b/>
          <w:bCs/>
        </w:rPr>
        <w:t>Bonificaciones</w:t>
      </w:r>
      <w:r w:rsidRPr="00C651F9">
        <w:rPr>
          <w:b/>
          <w:bCs/>
        </w:rPr>
        <w:t xml:space="preserve"> de cuotas</w:t>
      </w:r>
    </w:p>
    <w:p w14:paraId="533522AD" w14:textId="33F07E72" w:rsidR="009577DD" w:rsidRDefault="009577DD" w:rsidP="006D2583">
      <w:r>
        <w:t xml:space="preserve">La disposición adicional vigésima del ET se ha visto también modificada por el </w:t>
      </w:r>
      <w:r w:rsidRPr="009577DD">
        <w:t>RD Ley 32/2021</w:t>
      </w:r>
      <w:r>
        <w:t xml:space="preserve"> aunque en términos</w:t>
      </w:r>
      <w:r w:rsidR="009906E0">
        <w:t xml:space="preserve"> más sutiles. Tanto es así qu</w:t>
      </w:r>
      <w:r w:rsidR="00130C9C">
        <w:t xml:space="preserve">e </w:t>
      </w:r>
      <w:r w:rsidR="007F76A1">
        <w:t xml:space="preserve">la </w:t>
      </w:r>
      <w:r w:rsidR="009906E0">
        <w:t>trascendencia práctica</w:t>
      </w:r>
      <w:r w:rsidR="007F76A1">
        <w:t xml:space="preserve"> que</w:t>
      </w:r>
      <w:r w:rsidR="009906E0">
        <w:t xml:space="preserve"> tendrá</w:t>
      </w:r>
      <w:r w:rsidR="00130C9C">
        <w:t>n</w:t>
      </w:r>
      <w:r w:rsidR="009906E0">
        <w:t xml:space="preserve"> estos cambios para los empleadores </w:t>
      </w:r>
      <w:r w:rsidR="007F76A1">
        <w:t xml:space="preserve">será nimia </w:t>
      </w:r>
      <w:r w:rsidR="009906E0">
        <w:t xml:space="preserve">pese a configurase allí las bonificaciones de cuotas a las que tienen derecho por emplear a personas con discapacidad mediante un contrato formativo. </w:t>
      </w:r>
    </w:p>
    <w:p w14:paraId="61B6058D" w14:textId="6F3BC3FB" w:rsidR="009906E0" w:rsidRDefault="009906E0" w:rsidP="006D2583">
      <w:r>
        <w:t>La primera modificación ha sido meramente léxica, para adaptar el precepto de</w:t>
      </w:r>
      <w:r w:rsidR="007F76A1">
        <w:t>sde</w:t>
      </w:r>
      <w:r>
        <w:t xml:space="preserve"> las dos modalidades primigenias</w:t>
      </w:r>
      <w:r w:rsidR="007F76A1">
        <w:t xml:space="preserve"> al nuevo contrato formativo</w:t>
      </w:r>
      <w:r w:rsidR="00072FF6">
        <w:t xml:space="preserve"> y para ajustar la naturaleza del incentivo económico para el empresario</w:t>
      </w:r>
      <w:r w:rsidR="000E58AD">
        <w:t xml:space="preserve"> en atención a su forma de</w:t>
      </w:r>
      <w:r w:rsidR="00072FF6">
        <w:t xml:space="preserve"> financiación</w:t>
      </w:r>
      <w:r w:rsidR="00B86753">
        <w:t>,</w:t>
      </w:r>
      <w:r w:rsidR="00072FF6">
        <w:t xml:space="preserve"> tal y como se expondrá al final de este apartado</w:t>
      </w:r>
      <w:r w:rsidR="007F76A1">
        <w:t xml:space="preserve">. Donde antes se hablaba de contratos en práctica y contratos para la formación y aprendizaje, ahora se </w:t>
      </w:r>
      <w:r w:rsidR="00B86753">
        <w:t>menciona a los</w:t>
      </w:r>
      <w:r w:rsidR="007F76A1">
        <w:t xml:space="preserve"> contratos formativos. </w:t>
      </w:r>
      <w:r w:rsidR="00072FF6">
        <w:t xml:space="preserve">Donde antes se hablaba de reducción, ahora se dice bonificación. </w:t>
      </w:r>
    </w:p>
    <w:p w14:paraId="128AFE05" w14:textId="7524F53F" w:rsidR="004A5EDC" w:rsidRDefault="007F76A1" w:rsidP="006D2583">
      <w:r>
        <w:t>Por otro lado</w:t>
      </w:r>
      <w:r w:rsidR="00B1657E">
        <w:t xml:space="preserve"> –y esto sí tendrá repercusión en el patrimonio empresarial–, si con anterioridad a la reforma el incentivo en la contratación para la formación y el aprendizaje consistía en la minoración </w:t>
      </w:r>
      <w:r w:rsidR="00B1657E" w:rsidRPr="00B1657E">
        <w:t>del cincuenta por ciento en las cuotas empresariales de la Seguridad Social</w:t>
      </w:r>
      <w:r w:rsidR="00B1657E">
        <w:t xml:space="preserve">, ahora la bonificación se limita al cincuenta </w:t>
      </w:r>
      <w:r w:rsidR="00B1657E">
        <w:lastRenderedPageBreak/>
        <w:t>por ciento de la cuota empresarial de la Seguridad Social correspondiente a contingencias comunes</w:t>
      </w:r>
      <w:r w:rsidR="00EA2F80">
        <w:rPr>
          <w:rStyle w:val="Refdenotaalpie"/>
        </w:rPr>
        <w:footnoteReference w:id="10"/>
      </w:r>
      <w:r w:rsidR="00B1657E">
        <w:t xml:space="preserve">, </w:t>
      </w:r>
      <w:r w:rsidR="000E58AD">
        <w:t>norma</w:t>
      </w:r>
      <w:r w:rsidR="00B1657E">
        <w:t xml:space="preserve"> que reg</w:t>
      </w:r>
      <w:r w:rsidR="00130C9C">
        <w:t>í</w:t>
      </w:r>
      <w:r w:rsidR="00B1657E">
        <w:t>a</w:t>
      </w:r>
      <w:r w:rsidR="000E58AD">
        <w:t xml:space="preserve"> ya</w:t>
      </w:r>
      <w:r w:rsidR="00B1657E">
        <w:t xml:space="preserve"> para los contratos en prácticas. </w:t>
      </w:r>
    </w:p>
    <w:p w14:paraId="699E069A" w14:textId="63DC3931" w:rsidR="007F76A1" w:rsidRDefault="005A2B13" w:rsidP="006D2583">
      <w:r>
        <w:t>Con todo, el artículo</w:t>
      </w:r>
      <w:r w:rsidR="001E48D5">
        <w:t xml:space="preserve"> 3 de la</w:t>
      </w:r>
      <w:r>
        <w:t xml:space="preserve"> </w:t>
      </w:r>
      <w:r w:rsidR="001E48D5" w:rsidRPr="001E48D5">
        <w:rPr>
          <w:i/>
          <w:iCs/>
        </w:rPr>
        <w:t>Ley 3/2012, de 6 de julio, de medidas urgentes para la reforma del mercado laboral</w:t>
      </w:r>
      <w:r w:rsidR="00B1657E">
        <w:t xml:space="preserve"> </w:t>
      </w:r>
      <w:r w:rsidR="001E48D5">
        <w:t xml:space="preserve">contiene un importante incentivo para los ya </w:t>
      </w:r>
      <w:r w:rsidR="001E48D5" w:rsidRPr="00B86753">
        <w:t>extintos</w:t>
      </w:r>
      <w:r w:rsidR="000430E0" w:rsidRPr="00B86753">
        <w:rPr>
          <w:rStyle w:val="Refdenotaalpie"/>
        </w:rPr>
        <w:footnoteReference w:id="11"/>
      </w:r>
      <w:r w:rsidR="001E48D5">
        <w:t xml:space="preserve"> contratos para la formación y el aprendizaje celebrados con </w:t>
      </w:r>
      <w:r w:rsidR="001E48D5" w:rsidRPr="001E48D5">
        <w:t>trabajadores desempleados inscritos en la</w:t>
      </w:r>
      <w:r w:rsidR="006E2F22">
        <w:t>s correspondientes</w:t>
      </w:r>
      <w:r w:rsidR="001E48D5" w:rsidRPr="001E48D5">
        <w:t xml:space="preserve"> oficina</w:t>
      </w:r>
      <w:r w:rsidR="006E2F22">
        <w:t>s</w:t>
      </w:r>
      <w:r w:rsidR="001E48D5" w:rsidRPr="001E48D5">
        <w:t xml:space="preserve"> de empleo</w:t>
      </w:r>
      <w:r w:rsidR="006E2F22">
        <w:t>,</w:t>
      </w:r>
      <w:r w:rsidR="001E48D5">
        <w:t xml:space="preserve"> </w:t>
      </w:r>
      <w:r w:rsidR="000430E0">
        <w:t xml:space="preserve">consistente en una reducción de la totalidad de las cuota empresarial de </w:t>
      </w:r>
      <w:r w:rsidR="005A1F6E">
        <w:t>S</w:t>
      </w:r>
      <w:r w:rsidR="000430E0">
        <w:t xml:space="preserve">eguridad </w:t>
      </w:r>
      <w:r w:rsidR="005A1F6E">
        <w:t>S</w:t>
      </w:r>
      <w:r w:rsidR="000430E0">
        <w:t>ocial para empresas con menos de doscientos cincuenta trabajadores en plantilla</w:t>
      </w:r>
      <w:r w:rsidR="000430E0">
        <w:rPr>
          <w:rStyle w:val="Refdenotaalpie"/>
        </w:rPr>
        <w:footnoteReference w:id="12"/>
      </w:r>
      <w:r w:rsidR="005A1F6E">
        <w:t xml:space="preserve">, incentivo que, </w:t>
      </w:r>
      <w:r w:rsidR="00546C74">
        <w:t>a la espera de una</w:t>
      </w:r>
      <w:r w:rsidR="005A1F6E">
        <w:t xml:space="preserve"> readaptación normativa</w:t>
      </w:r>
      <w:r w:rsidR="00546C74">
        <w:t xml:space="preserve"> más precisa</w:t>
      </w:r>
      <w:r w:rsidR="005A1F6E">
        <w:t>,</w:t>
      </w:r>
      <w:r w:rsidR="006E2F22">
        <w:t xml:space="preserve"> resulta aplicable al actual contrato formativo</w:t>
      </w:r>
      <w:r w:rsidR="00546C74">
        <w:t xml:space="preserve"> en alternancia en virtud de la </w:t>
      </w:r>
      <w:r w:rsidR="00C307C9">
        <w:t>d</w:t>
      </w:r>
      <w:r w:rsidR="00546C74" w:rsidRPr="00546C74">
        <w:t>isposición adicional cuadragésima tercera</w:t>
      </w:r>
      <w:r w:rsidR="00546C74">
        <w:t xml:space="preserve"> de</w:t>
      </w:r>
      <w:r w:rsidR="00B86753">
        <w:t xml:space="preserve">l </w:t>
      </w:r>
      <w:r w:rsidR="00B86753" w:rsidRPr="00B86753">
        <w:rPr>
          <w:i/>
          <w:iCs/>
        </w:rPr>
        <w:t>Real Decreto Legislativo 8/2015, de 30 de octubre, por el que se aprueba el texto refundido de la Ley General de la Seguridad Social</w:t>
      </w:r>
      <w:r w:rsidR="00546C74">
        <w:rPr>
          <w:rStyle w:val="Refdenotaalpie"/>
        </w:rPr>
        <w:footnoteReference w:id="13"/>
      </w:r>
      <w:r w:rsidR="006E2F22">
        <w:t xml:space="preserve">. Es por ello que la bonificación de cuota </w:t>
      </w:r>
      <w:r w:rsidR="00546C74">
        <w:t xml:space="preserve">referida a las personas con discapacidad </w:t>
      </w:r>
      <w:r w:rsidR="006E2F22">
        <w:t>que ahora nos ocupa</w:t>
      </w:r>
      <w:r w:rsidR="00546C74">
        <w:t xml:space="preserve"> sigue</w:t>
      </w:r>
      <w:r w:rsidR="006E2F22">
        <w:t xml:space="preserve"> resulta</w:t>
      </w:r>
      <w:r w:rsidR="00546C74">
        <w:t>ndo a día de</w:t>
      </w:r>
      <w:r w:rsidR="000416D3">
        <w:t xml:space="preserve"> hoy</w:t>
      </w:r>
      <w:r w:rsidR="00546C74">
        <w:t xml:space="preserve"> poco trascendente </w:t>
      </w:r>
      <w:r w:rsidR="0010549F">
        <w:t xml:space="preserve">en lo referido al contrato para la formación en alternancia </w:t>
      </w:r>
      <w:r w:rsidR="00546C74">
        <w:t xml:space="preserve">habida cuenta de </w:t>
      </w:r>
      <w:r w:rsidR="00130C9C">
        <w:t xml:space="preserve">la existencia de </w:t>
      </w:r>
      <w:r w:rsidR="00546C74">
        <w:t xml:space="preserve">otros incentivos </w:t>
      </w:r>
      <w:r w:rsidR="00130C9C">
        <w:t xml:space="preserve">generales </w:t>
      </w:r>
      <w:r w:rsidR="00546C74">
        <w:t>notablemente superiores.</w:t>
      </w:r>
    </w:p>
    <w:p w14:paraId="57DF57C1" w14:textId="793FCAE6" w:rsidR="00AE4709" w:rsidRDefault="006E2B63" w:rsidP="006D2583">
      <w:r>
        <w:t>L</w:t>
      </w:r>
      <w:r w:rsidR="007F76A1">
        <w:t xml:space="preserve">a otra modificación </w:t>
      </w:r>
      <w:r>
        <w:t>–</w:t>
      </w:r>
      <w:r w:rsidR="007F76A1">
        <w:t>aunque de calado</w:t>
      </w:r>
      <w:r>
        <w:t>–</w:t>
      </w:r>
      <w:r w:rsidR="007F76A1">
        <w:t xml:space="preserve"> es de carácter </w:t>
      </w:r>
      <w:r w:rsidR="007F76A1" w:rsidRPr="00B86753">
        <w:t>presupuestario</w:t>
      </w:r>
      <w:r w:rsidR="00DC624E">
        <w:t xml:space="preserve">, </w:t>
      </w:r>
      <w:r w:rsidR="00B86753">
        <w:t xml:space="preserve">al haberse </w:t>
      </w:r>
      <w:r w:rsidR="00DC624E">
        <w:t>sustit</w:t>
      </w:r>
      <w:r w:rsidR="00B86753">
        <w:t>uido</w:t>
      </w:r>
      <w:r w:rsidR="00DC624E">
        <w:t xml:space="preserve"> la naturaleza del incentivo desde la reducción a la bonificación. </w:t>
      </w:r>
      <w:r w:rsidR="00B86753">
        <w:t>Mientras que la</w:t>
      </w:r>
      <w:r w:rsidR="00B86753" w:rsidRPr="00963054">
        <w:t xml:space="preserve"> reducción </w:t>
      </w:r>
      <w:r w:rsidR="00B86753">
        <w:t>se soportaba</w:t>
      </w:r>
      <w:r w:rsidR="00B86753" w:rsidRPr="00963054">
        <w:t xml:space="preserve"> con cargo a los </w:t>
      </w:r>
      <w:r w:rsidR="00B86753">
        <w:t>p</w:t>
      </w:r>
      <w:r w:rsidR="00B86753" w:rsidRPr="00963054">
        <w:t xml:space="preserve">resupuestos </w:t>
      </w:r>
      <w:r w:rsidR="00B86753">
        <w:t xml:space="preserve">propios </w:t>
      </w:r>
      <w:r w:rsidR="00B86753" w:rsidRPr="00963054">
        <w:t xml:space="preserve">de la Seguridad Social, la bonificación es </w:t>
      </w:r>
      <w:r w:rsidR="00B86753">
        <w:t>sufragada</w:t>
      </w:r>
      <w:r w:rsidR="00B86753" w:rsidRPr="00963054">
        <w:t xml:space="preserve"> por el Estado, </w:t>
      </w:r>
      <w:r w:rsidR="00B86753">
        <w:t>con cargo a los</w:t>
      </w:r>
      <w:r w:rsidR="00B86753" w:rsidRPr="00963054">
        <w:t xml:space="preserve"> </w:t>
      </w:r>
      <w:r w:rsidR="00B86753">
        <w:t>p</w:t>
      </w:r>
      <w:r w:rsidR="00B86753" w:rsidRPr="00963054">
        <w:t>resupuestos del Servicio Público de Empleo Estatal.</w:t>
      </w:r>
      <w:r w:rsidR="00B86753">
        <w:t xml:space="preserve"> </w:t>
      </w:r>
      <w:r w:rsidR="00B86753" w:rsidRPr="00B86753">
        <w:t xml:space="preserve">Resulta a nuestro juicio acertado este traslado de la carga económica de estos incentivos de política de empleo hacia </w:t>
      </w:r>
      <w:r w:rsidR="00B86753">
        <w:t>el organismo</w:t>
      </w:r>
      <w:r w:rsidR="00B86753" w:rsidRPr="00B86753">
        <w:t xml:space="preserve"> encargado de ello</w:t>
      </w:r>
      <w:r w:rsidR="00B86753">
        <w:t>, aunque como se ha señalado, el cambio</w:t>
      </w:r>
      <w:r w:rsidR="00963054">
        <w:t xml:space="preserve"> en los mecanismos de financiación </w:t>
      </w:r>
      <w:r w:rsidR="00B86753">
        <w:t>no tendrá repercusión para el sujeto beneficiario, el empresario, que en ambos casos ve aminorada o suprimida la cuota que resultaría de aplicación a ingresar a la Seguridad Social.</w:t>
      </w:r>
    </w:p>
    <w:p w14:paraId="1F57C587" w14:textId="77777777" w:rsidR="004A5EDC" w:rsidRPr="00130C9C" w:rsidRDefault="004A5EDC" w:rsidP="006D2583"/>
    <w:p w14:paraId="15C7E7D7" w14:textId="58632EF0" w:rsidR="00130C9C" w:rsidRDefault="00AE4709" w:rsidP="006D2583">
      <w:pPr>
        <w:rPr>
          <w:b/>
          <w:bCs/>
        </w:rPr>
      </w:pPr>
      <w:r>
        <w:rPr>
          <w:b/>
          <w:bCs/>
        </w:rPr>
        <w:lastRenderedPageBreak/>
        <w:t>2.3 Ampliación</w:t>
      </w:r>
      <w:r w:rsidR="00130C9C">
        <w:rPr>
          <w:b/>
          <w:bCs/>
        </w:rPr>
        <w:t xml:space="preserve"> del</w:t>
      </w:r>
      <w:r>
        <w:rPr>
          <w:b/>
          <w:bCs/>
        </w:rPr>
        <w:t xml:space="preserve"> plazo </w:t>
      </w:r>
      <w:r w:rsidR="00130C9C">
        <w:rPr>
          <w:b/>
          <w:bCs/>
        </w:rPr>
        <w:t xml:space="preserve">de finalización de los estudios en el contrato para la obtención de la </w:t>
      </w:r>
      <w:r>
        <w:rPr>
          <w:b/>
          <w:bCs/>
        </w:rPr>
        <w:t>práctica</w:t>
      </w:r>
      <w:r w:rsidR="00130C9C">
        <w:rPr>
          <w:b/>
          <w:bCs/>
        </w:rPr>
        <w:t xml:space="preserve"> profesional</w:t>
      </w:r>
    </w:p>
    <w:p w14:paraId="108AD11E" w14:textId="77777777" w:rsidR="00C40A35" w:rsidRDefault="00130C9C" w:rsidP="009D0F06">
      <w:r w:rsidRPr="00130C9C">
        <w:t>En</w:t>
      </w:r>
      <w:r>
        <w:t xml:space="preserve"> la regulación de</w:t>
      </w:r>
      <w:r w:rsidRPr="00130C9C">
        <w:t xml:space="preserve"> </w:t>
      </w:r>
      <w:r>
        <w:t xml:space="preserve">esta </w:t>
      </w:r>
      <w:proofErr w:type="spellStart"/>
      <w:r>
        <w:t>submodalidad</w:t>
      </w:r>
      <w:proofErr w:type="spellEnd"/>
      <w:r>
        <w:t xml:space="preserve"> de contrato formativo destinada a la obtención de la práctica profesional adecuada al nivel de estudios de la persona trabajadora se mantiene una medida ya tradicional</w:t>
      </w:r>
      <w:r>
        <w:rPr>
          <w:rStyle w:val="Refdenotaalpie"/>
        </w:rPr>
        <w:footnoteReference w:id="14"/>
      </w:r>
      <w:r>
        <w:t xml:space="preserve"> en su configuración legal que no es otra que la ampliación en dos años del plazo </w:t>
      </w:r>
      <w:r w:rsidR="009D0F06">
        <w:t>en el que puede concertarse el contrato desde la</w:t>
      </w:r>
      <w:r>
        <w:t xml:space="preserve"> finalización de los estudios que habilitan para </w:t>
      </w:r>
      <w:r w:rsidR="009D0F06">
        <w:t>ello</w:t>
      </w:r>
      <w:r>
        <w:t>.</w:t>
      </w:r>
      <w:r w:rsidR="009D0F06">
        <w:t xml:space="preserve"> </w:t>
      </w:r>
    </w:p>
    <w:p w14:paraId="1D2F5A6D" w14:textId="0CF4BBBB" w:rsidR="009D0F06" w:rsidRDefault="009D0F06" w:rsidP="009D0F06">
      <w:r>
        <w:t xml:space="preserve">La nueva regla establece que se puede celebrar este tipo de contrato </w:t>
      </w:r>
      <w:r w:rsidR="00C40A35">
        <w:t xml:space="preserve">de forma general </w:t>
      </w:r>
      <w:r>
        <w:t xml:space="preserve">dentro de los tres años siguientes a la terminación de los correspondientes estudios, </w:t>
      </w:r>
      <w:r w:rsidR="00C40A35">
        <w:t>intervalo que se ha visto</w:t>
      </w:r>
      <w:r>
        <w:t xml:space="preserve"> reducido</w:t>
      </w:r>
      <w:r w:rsidR="00C40A35">
        <w:t xml:space="preserve"> en</w:t>
      </w:r>
      <w:r>
        <w:t xml:space="preserve"> dos</w:t>
      </w:r>
      <w:r w:rsidR="00C40A35">
        <w:t xml:space="preserve"> años</w:t>
      </w:r>
      <w:r>
        <w:t xml:space="preserve"> respecto a la regulación precedente</w:t>
      </w:r>
      <w:r w:rsidR="00C40A35">
        <w:t>. Para los contratos concertados con personas con discapacidad se fija</w:t>
      </w:r>
      <w:r>
        <w:t xml:space="preserve"> </w:t>
      </w:r>
      <w:r w:rsidR="00C40A35">
        <w:t>un</w:t>
      </w:r>
      <w:r>
        <w:t xml:space="preserve"> plazo de cinco años.</w:t>
      </w:r>
    </w:p>
    <w:p w14:paraId="23D2B380" w14:textId="77777777" w:rsidR="00CF70A7" w:rsidRDefault="00CF70A7" w:rsidP="009D0F06"/>
    <w:p w14:paraId="0253D040" w14:textId="232061D9" w:rsidR="00A33890" w:rsidRDefault="009D0F06" w:rsidP="00A33890">
      <w:pPr>
        <w:pStyle w:val="Ttulo2"/>
        <w:ind w:left="714" w:hanging="357"/>
      </w:pPr>
      <w:r w:rsidRPr="009D0F06">
        <w:t xml:space="preserve">El contrato </w:t>
      </w:r>
      <w:r>
        <w:t xml:space="preserve">TEMPORAL </w:t>
      </w:r>
      <w:r w:rsidRPr="009D0F06">
        <w:t>de fomento de</w:t>
      </w:r>
      <w:r>
        <w:t>L</w:t>
      </w:r>
      <w:r w:rsidRPr="009D0F06">
        <w:t xml:space="preserve"> empleo</w:t>
      </w:r>
      <w:r>
        <w:t xml:space="preserve"> DE PERSONAS CON DISCAPACIDAD</w:t>
      </w:r>
      <w:r w:rsidRPr="009D0F06">
        <w:t>: una modalidad contractual en el limbo</w:t>
      </w:r>
    </w:p>
    <w:p w14:paraId="30215F19" w14:textId="0EC748B7" w:rsidR="00C40A35" w:rsidRDefault="00A33890" w:rsidP="00A33890">
      <w:r>
        <w:t xml:space="preserve">Aquí se agotan las referencias expresas en el </w:t>
      </w:r>
      <w:r w:rsidRPr="000F119C">
        <w:t>RD Ley 32/2021</w:t>
      </w:r>
      <w:r>
        <w:t xml:space="preserve"> a la discapacidad en lo que se refiere a contratación y a incentivación económica</w:t>
      </w:r>
      <w:r w:rsidR="00C40A35">
        <w:t>, aunque nuevamente relucirá en las disposiciones adicionales</w:t>
      </w:r>
      <w:r>
        <w:t xml:space="preserve"> para modular las reglas relativas al convenio colectivo de aplicación en </w:t>
      </w:r>
      <w:r w:rsidRPr="00A33890">
        <w:t xml:space="preserve">contratas y subcontratas suscritas con </w:t>
      </w:r>
      <w:r w:rsidR="00D92757">
        <w:t>C</w:t>
      </w:r>
      <w:r w:rsidR="00C40A35">
        <w:t>CEE</w:t>
      </w:r>
      <w:r>
        <w:t>, cuestión que abordaremos con posterioridad</w:t>
      </w:r>
      <w:r w:rsidR="00C40A35">
        <w:t>.</w:t>
      </w:r>
    </w:p>
    <w:p w14:paraId="709C8421" w14:textId="7D86D234" w:rsidR="00CF70A7" w:rsidRDefault="00C40A35" w:rsidP="00A33890">
      <w:r>
        <w:t>Nos centramos ahora</w:t>
      </w:r>
      <w:r w:rsidR="00A33890">
        <w:t xml:space="preserve"> e</w:t>
      </w:r>
      <w:r>
        <w:t>n</w:t>
      </w:r>
      <w:r w:rsidR="00A33890">
        <w:t xml:space="preserve"> una omisión que engendra</w:t>
      </w:r>
      <w:r w:rsidR="004B0665">
        <w:t xml:space="preserve"> </w:t>
      </w:r>
      <w:r w:rsidR="00A33890">
        <w:t xml:space="preserve">–quizás– </w:t>
      </w:r>
      <w:r>
        <w:t xml:space="preserve">la </w:t>
      </w:r>
      <w:r w:rsidR="00A33890">
        <w:t>mayor controversia de la reforma. Y es que</w:t>
      </w:r>
      <w:r>
        <w:t>,</w:t>
      </w:r>
      <w:r w:rsidR="00A33890">
        <w:t xml:space="preserve"> la misma, con el objeto manifiesto de una simplificación de los contratos y la reducción de la tasa de temporalidad</w:t>
      </w:r>
      <w:r w:rsidR="00A33890">
        <w:rPr>
          <w:rStyle w:val="Refdenotaalpie"/>
        </w:rPr>
        <w:footnoteReference w:id="15"/>
      </w:r>
      <w:r w:rsidR="00A33890">
        <w:t>, ha reducido –aunque de forma más aparente que real– el catálogo de contratos temporales y –con ello– las causas habilitadas para su celebración, y ha potenciado</w:t>
      </w:r>
      <w:r>
        <w:t xml:space="preserve"> –</w:t>
      </w:r>
      <w:r w:rsidR="00A33890" w:rsidRPr="00C40A35">
        <w:t>cuanto menos bajo el respaldo de la literalidad normativa</w:t>
      </w:r>
      <w:r>
        <w:t>–</w:t>
      </w:r>
      <w:r w:rsidR="00A33890">
        <w:t xml:space="preserve"> la contratación indefinida. Prueba de ello se encuentra en la presunción de indefinición de la relación laboral introducida en el artículo 11.1 ET; en los refuerzos a la justificación de la temporalidad previstos en el mismo precepto en su apartado segundo; y en la derogación expresa de los contratos temporales previstos anteriormente en el artículo 15. 1a) ET</w:t>
      </w:r>
      <w:r w:rsidR="00A33890">
        <w:rPr>
          <w:rStyle w:val="Refdenotaalpie"/>
        </w:rPr>
        <w:footnoteReference w:id="16"/>
      </w:r>
      <w:r w:rsidR="00A33890">
        <w:t xml:space="preserve">. Sin embargo, nada se dice en el texto sobre un contrato </w:t>
      </w:r>
      <w:r w:rsidR="00A33890" w:rsidRPr="00A33890">
        <w:rPr>
          <w:i/>
          <w:iCs/>
        </w:rPr>
        <w:t>sui generis</w:t>
      </w:r>
      <w:r w:rsidR="00A33890">
        <w:t xml:space="preserve"> previsto para el colectivo que nos ocupa, de naturaleza </w:t>
      </w:r>
      <w:r w:rsidR="004B0665">
        <w:t>temporal,</w:t>
      </w:r>
      <w:r w:rsidR="00A33890">
        <w:t xml:space="preserve"> pero con carácter </w:t>
      </w:r>
      <w:proofErr w:type="spellStart"/>
      <w:r w:rsidR="00A33890">
        <w:t>acausal</w:t>
      </w:r>
      <w:proofErr w:type="spellEnd"/>
      <w:r w:rsidR="00A33890">
        <w:t xml:space="preserve">: el contrato temporal de </w:t>
      </w:r>
      <w:r w:rsidR="00A33890">
        <w:lastRenderedPageBreak/>
        <w:t>fomento del empleo de personas con discapacidad. Como se ha puesto de relieve en sede introductoria, surgen las dudas en cuanto a la vigencia actual de esta modalidad peculiar.</w:t>
      </w:r>
    </w:p>
    <w:p w14:paraId="383B2248" w14:textId="77777777" w:rsidR="004B0665" w:rsidRDefault="004B0665" w:rsidP="00A33890"/>
    <w:p w14:paraId="330E2238" w14:textId="36E80958" w:rsidR="00A33890" w:rsidRDefault="00A33890" w:rsidP="00A33890">
      <w:pPr>
        <w:rPr>
          <w:b/>
          <w:bCs/>
        </w:rPr>
      </w:pPr>
      <w:r w:rsidRPr="00A33890">
        <w:rPr>
          <w:b/>
          <w:bCs/>
        </w:rPr>
        <w:t xml:space="preserve">3.1 </w:t>
      </w:r>
      <w:r w:rsidR="00E75262">
        <w:rPr>
          <w:b/>
          <w:bCs/>
        </w:rPr>
        <w:t>La evolución</w:t>
      </w:r>
      <w:r w:rsidRPr="00A33890">
        <w:rPr>
          <w:b/>
          <w:bCs/>
        </w:rPr>
        <w:t xml:space="preserve"> normativ</w:t>
      </w:r>
      <w:r w:rsidR="00E75262">
        <w:rPr>
          <w:b/>
          <w:bCs/>
        </w:rPr>
        <w:t>a</w:t>
      </w:r>
      <w:r w:rsidRPr="00A33890">
        <w:rPr>
          <w:b/>
          <w:bCs/>
        </w:rPr>
        <w:t xml:space="preserve"> del contrato temporal de fomento del empleo</w:t>
      </w:r>
    </w:p>
    <w:p w14:paraId="740AB223" w14:textId="1C09914F" w:rsidR="00A33890" w:rsidRDefault="00A33890" w:rsidP="00A33890">
      <w:r>
        <w:t xml:space="preserve">Esta singular figura contractual a la que se hace referencia se habilitó por el Gobierno en virtud del </w:t>
      </w:r>
      <w:r w:rsidRPr="00A33890">
        <w:rPr>
          <w:i/>
          <w:iCs/>
        </w:rPr>
        <w:t>Real Decreto 1363/1981, de 3 de julio, por el que se autoriza la contratación temporal como medida de fomento del empleo</w:t>
      </w:r>
      <w:r>
        <w:rPr>
          <w:i/>
          <w:iCs/>
        </w:rPr>
        <w:t xml:space="preserve">, </w:t>
      </w:r>
      <w:r w:rsidR="00C40A35">
        <w:t>norma que</w:t>
      </w:r>
      <w:r>
        <w:t xml:space="preserve"> posibilitaba la contratación de un elenco importante de colectivos</w:t>
      </w:r>
      <w:r>
        <w:rPr>
          <w:rStyle w:val="Refdenotaalpie"/>
        </w:rPr>
        <w:footnoteReference w:id="17"/>
      </w:r>
      <w:r>
        <w:t xml:space="preserve"> mediante esta figura</w:t>
      </w:r>
      <w:r w:rsidR="00C40A35">
        <w:t>,</w:t>
      </w:r>
      <w:r>
        <w:t xml:space="preserve"> entre los que se encontraban los “t</w:t>
      </w:r>
      <w:r w:rsidRPr="00A33890">
        <w:t xml:space="preserve">rabajadores incluidos en el registro de trabajadores </w:t>
      </w:r>
      <w:r w:rsidR="00E75262" w:rsidRPr="00A33890">
        <w:t>minusválidos</w:t>
      </w:r>
      <w:r w:rsidRPr="00A33890">
        <w:t xml:space="preserve"> o que tengan el grado de incapacidad permanente parcial o total</w:t>
      </w:r>
      <w:r>
        <w:t>”</w:t>
      </w:r>
      <w:r w:rsidR="00E75262">
        <w:t>.</w:t>
      </w:r>
    </w:p>
    <w:p w14:paraId="622B7DD1" w14:textId="361849FC" w:rsidR="00E75262" w:rsidRPr="00A33890" w:rsidRDefault="00E75262" w:rsidP="00A33890">
      <w:r>
        <w:t>Lo cierto es que con el objetivo de reducir la tasa de desempleo mediante</w:t>
      </w:r>
      <w:r w:rsidRPr="00E75262">
        <w:t xml:space="preserve"> </w:t>
      </w:r>
      <w:r>
        <w:t>“</w:t>
      </w:r>
      <w:r w:rsidRPr="00E75262">
        <w:t>la consecución de unos índices de contratación mas elevados</w:t>
      </w:r>
      <w:r>
        <w:t>” está formula de contratación temporal</w:t>
      </w:r>
      <w:r w:rsidR="00C40A35">
        <w:t>,</w:t>
      </w:r>
      <w:r>
        <w:t xml:space="preserve"> que nació restringida en lo subjetivo, se amplió por el </w:t>
      </w:r>
      <w:r w:rsidRPr="00E75262">
        <w:rPr>
          <w:i/>
          <w:iCs/>
        </w:rPr>
        <w:t>Real Decreto 1445/1982, de 25 de junio, por el que se regulan diversas medidas de fomento del empleo</w:t>
      </w:r>
      <w:r>
        <w:t xml:space="preserve"> a cualquier </w:t>
      </w:r>
      <w:r w:rsidRPr="00E75262">
        <w:t>trabajador desempleado inscrito en la Oficina de Empleo en el momento de la contratación</w:t>
      </w:r>
      <w:r>
        <w:t>, cuestión que se consolidó en normas posteriores</w:t>
      </w:r>
      <w:r>
        <w:rPr>
          <w:rStyle w:val="Refdenotaalpie"/>
        </w:rPr>
        <w:footnoteReference w:id="18"/>
      </w:r>
      <w:r>
        <w:t xml:space="preserve"> hasta la llegada de la reforma de 1994.</w:t>
      </w:r>
    </w:p>
    <w:p w14:paraId="4297F384" w14:textId="4D54F2A5" w:rsidR="00E75262" w:rsidRDefault="004E11EF" w:rsidP="004E11EF">
      <w:r>
        <w:t>En aquella importante reforma</w:t>
      </w:r>
      <w:r w:rsidR="00C40A35">
        <w:t xml:space="preserve"> de 1994</w:t>
      </w:r>
      <w:r>
        <w:t xml:space="preserve"> desaparecería, al menos en principio, la contratación no causal “</w:t>
      </w:r>
      <w:r w:rsidRPr="004E11EF">
        <w:t>como instrumento estable de determinación de la duración del trabajo</w:t>
      </w:r>
      <w:r>
        <w:t xml:space="preserve">” mediante la modalidad contractual de </w:t>
      </w:r>
      <w:r w:rsidRPr="004E11EF">
        <w:t>fomento del empleo</w:t>
      </w:r>
      <w:r>
        <w:t>. Permítase destacar a modo de anécdota que fue también en aquella modificación en la que comenzaría a perder protagonismo un “antiguo” contrato fijo discontinuo en “declive”</w:t>
      </w:r>
      <w:r w:rsidR="00C40A35">
        <w:t xml:space="preserve"> </w:t>
      </w:r>
      <w:r>
        <w:t xml:space="preserve">a costa de su absorción por una “renovada y ampliada contratación a tiempo parcial”. Pero lo cierto es </w:t>
      </w:r>
      <w:r w:rsidR="004B0665">
        <w:t>que,</w:t>
      </w:r>
      <w:r>
        <w:t xml:space="preserve"> pese a esa intencionalidad de acabar con esta figura</w:t>
      </w:r>
      <w:r w:rsidR="00C40A35">
        <w:t>,</w:t>
      </w:r>
      <w:r>
        <w:t xml:space="preserve"> la misma se fortaleció para determinados colectivos a través de la </w:t>
      </w:r>
      <w:r w:rsidRPr="004E11EF">
        <w:rPr>
          <w:i/>
          <w:iCs/>
        </w:rPr>
        <w:t>Ley 10/1994, de 19 de mayo, sobre medidas urgentes de fomento de la ocupación</w:t>
      </w:r>
      <w:r>
        <w:rPr>
          <w:i/>
          <w:iCs/>
        </w:rPr>
        <w:t xml:space="preserve">, </w:t>
      </w:r>
      <w:r>
        <w:t xml:space="preserve">del mismo día que la reforma, y en la que se limitaba su uso hasta el treinta y uno de diciembre de 1994 para la contratación de: trabajadores mayores de cuarenta y cinco años; trabajadores “minusválidos”; y beneficiarios de prestaciones por desempleo. </w:t>
      </w:r>
    </w:p>
    <w:p w14:paraId="0189A4B6" w14:textId="6B5EE5B5" w:rsidR="004E11EF" w:rsidRDefault="004E11EF" w:rsidP="004E11EF">
      <w:r>
        <w:lastRenderedPageBreak/>
        <w:t>Estos programas de fomento del empleo continuaron siendo prorrogados</w:t>
      </w:r>
      <w:r>
        <w:rPr>
          <w:rStyle w:val="Refdenotaalpie"/>
        </w:rPr>
        <w:footnoteReference w:id="19"/>
      </w:r>
      <w:r>
        <w:t xml:space="preserve"> sin muchos frutos en lo que respecta a la mejora de las tasas de empleo de personas con discapacidad, lo que se pudo deber a la existencia de un requisito común </w:t>
      </w:r>
      <w:r w:rsidR="00C40A35">
        <w:t>para que operasen</w:t>
      </w:r>
      <w:r>
        <w:t xml:space="preserve"> los beneficios económicos previstos</w:t>
      </w:r>
      <w:r w:rsidR="00C40A35">
        <w:t xml:space="preserve"> para el empresario que restaba posibilidades al colectivo:</w:t>
      </w:r>
      <w:r>
        <w:t xml:space="preserve"> que la persona contratada fuera beneficiaria de una prestación por desempleo</w:t>
      </w:r>
      <w:r>
        <w:rPr>
          <w:rStyle w:val="Refdenotaalpie"/>
        </w:rPr>
        <w:footnoteReference w:id="20"/>
      </w:r>
      <w:r>
        <w:t xml:space="preserve">. </w:t>
      </w:r>
      <w:r w:rsidR="00492BE0">
        <w:t>Esta condición se suprimió en la Ley de acompañamiento de 1997</w:t>
      </w:r>
      <w:r w:rsidR="00C40A35">
        <w:t>,</w:t>
      </w:r>
      <w:r w:rsidR="00492BE0">
        <w:t xml:space="preserve"> año en el que la medida quedó prevista </w:t>
      </w:r>
      <w:r w:rsidR="00C40A35">
        <w:t>en exclusiva</w:t>
      </w:r>
      <w:r w:rsidR="00492BE0">
        <w:t xml:space="preserve"> para las personas con discapacidad en virtud de la derogación efectuada por el apartado b) de la </w:t>
      </w:r>
      <w:r w:rsidR="00C307C9">
        <w:t>d</w:t>
      </w:r>
      <w:r w:rsidR="00492BE0">
        <w:t xml:space="preserve">isposición derogatoria única de la </w:t>
      </w:r>
      <w:r w:rsidR="00492BE0" w:rsidRPr="00492BE0">
        <w:rPr>
          <w:i/>
          <w:iCs/>
        </w:rPr>
        <w:t>Ley 63/1997, de 26 de diciembre, de Medidas Urgentes para la Mejora del Mercado de Trabajo y el Fomento de la Contratación Indefinida</w:t>
      </w:r>
      <w:r w:rsidR="00492BE0" w:rsidRPr="00492BE0">
        <w:t>.</w:t>
      </w:r>
      <w:r w:rsidR="00492BE0">
        <w:t xml:space="preserve"> </w:t>
      </w:r>
    </w:p>
    <w:p w14:paraId="35BAE437" w14:textId="00D71FF3" w:rsidR="00616B7E" w:rsidRDefault="00616B7E" w:rsidP="00A33890">
      <w:r>
        <w:t xml:space="preserve">Actualmente es la </w:t>
      </w:r>
      <w:r w:rsidRPr="00616B7E">
        <w:rPr>
          <w:i/>
          <w:iCs/>
        </w:rPr>
        <w:t>Ley 43/2006, de 29 de diciembre, para la mejora del crecimiento y del empleo</w:t>
      </w:r>
      <w:r>
        <w:rPr>
          <w:i/>
          <w:iCs/>
        </w:rPr>
        <w:t>,</w:t>
      </w:r>
      <w:r>
        <w:t xml:space="preserve"> la </w:t>
      </w:r>
      <w:r w:rsidR="00E927CA">
        <w:t>que,</w:t>
      </w:r>
      <w:r>
        <w:t xml:space="preserve"> en su </w:t>
      </w:r>
      <w:r w:rsidR="00C307C9">
        <w:t>d</w:t>
      </w:r>
      <w:r>
        <w:t xml:space="preserve">isposición </w:t>
      </w:r>
      <w:r w:rsidR="00C307C9">
        <w:t>a</w:t>
      </w:r>
      <w:r>
        <w:t xml:space="preserve">dicional primera, regula el contrato </w:t>
      </w:r>
      <w:r w:rsidRPr="00616B7E">
        <w:t>temporal de fomento del empleo para personas con discapacidad</w:t>
      </w:r>
      <w:r>
        <w:t>, de cuyas particularidades nos ocuparemos a continuación.</w:t>
      </w:r>
      <w:r w:rsidR="00E927CA">
        <w:t xml:space="preserve"> Cierto es que el artículo 15 de la </w:t>
      </w:r>
      <w:r w:rsidR="00E927CA" w:rsidRPr="00E927CA">
        <w:rPr>
          <w:i/>
          <w:iCs/>
        </w:rPr>
        <w:t>Ley 44/2007, de 13 de diciembre, para la regulación del régimen de las empresas de inserción</w:t>
      </w:r>
      <w:r w:rsidR="00E927CA">
        <w:t xml:space="preserve">, amplió el ámbito subjetivo de aplicación de este contrato a las empresas de </w:t>
      </w:r>
      <w:r w:rsidR="00C40A35">
        <w:t>inserción,</w:t>
      </w:r>
      <w:r w:rsidR="00E927CA">
        <w:t xml:space="preserve"> aunque con un régimen </w:t>
      </w:r>
      <w:r w:rsidR="00C40A35">
        <w:t>particular</w:t>
      </w:r>
      <w:r w:rsidR="00E927CA">
        <w:t>.</w:t>
      </w:r>
    </w:p>
    <w:p w14:paraId="57F16579" w14:textId="77777777" w:rsidR="004B0665" w:rsidRDefault="004B0665" w:rsidP="00A33890"/>
    <w:p w14:paraId="20D1AF79" w14:textId="4909744D" w:rsidR="00A33890" w:rsidRDefault="00A33890" w:rsidP="00A33890">
      <w:pPr>
        <w:rPr>
          <w:b/>
          <w:bCs/>
        </w:rPr>
      </w:pPr>
      <w:r w:rsidRPr="00A33890">
        <w:rPr>
          <w:b/>
          <w:bCs/>
        </w:rPr>
        <w:t xml:space="preserve">3.2 Singularidades </w:t>
      </w:r>
      <w:r>
        <w:rPr>
          <w:b/>
          <w:bCs/>
        </w:rPr>
        <w:t>propias del contrato</w:t>
      </w:r>
      <w:r w:rsidR="00553081">
        <w:rPr>
          <w:b/>
          <w:bCs/>
        </w:rPr>
        <w:t xml:space="preserve">: </w:t>
      </w:r>
      <w:proofErr w:type="spellStart"/>
      <w:r w:rsidR="00553081">
        <w:rPr>
          <w:b/>
          <w:bCs/>
        </w:rPr>
        <w:t>acasualidad</w:t>
      </w:r>
      <w:proofErr w:type="spellEnd"/>
      <w:r w:rsidR="00553081">
        <w:rPr>
          <w:b/>
          <w:bCs/>
        </w:rPr>
        <w:t>, duración e incentivos económicos</w:t>
      </w:r>
      <w:r w:rsidRPr="00A33890">
        <w:rPr>
          <w:b/>
          <w:bCs/>
        </w:rPr>
        <w:t xml:space="preserve"> </w:t>
      </w:r>
    </w:p>
    <w:p w14:paraId="064C272B" w14:textId="5EF01882" w:rsidR="00E927CA" w:rsidRDefault="00E927CA" w:rsidP="00A33890">
      <w:r>
        <w:t xml:space="preserve">Como se viene poniendo de relieve, </w:t>
      </w:r>
      <w:r w:rsidR="00A222B7">
        <w:t xml:space="preserve">la característica más reconocible del contrato y también </w:t>
      </w:r>
      <w:r>
        <w:t xml:space="preserve">el atractivo primordial para el empresario que hace uso de </w:t>
      </w:r>
      <w:r w:rsidR="00A222B7">
        <w:t xml:space="preserve">él </w:t>
      </w:r>
      <w:r>
        <w:t xml:space="preserve">es la </w:t>
      </w:r>
      <w:proofErr w:type="spellStart"/>
      <w:r w:rsidRPr="00553081">
        <w:rPr>
          <w:i/>
          <w:iCs/>
        </w:rPr>
        <w:t>acasualidad</w:t>
      </w:r>
      <w:proofErr w:type="spellEnd"/>
      <w:r>
        <w:t xml:space="preserve">. </w:t>
      </w:r>
      <w:r w:rsidR="00A222B7">
        <w:t>Adicionalmente</w:t>
      </w:r>
      <w:r>
        <w:t xml:space="preserve">, en la esfera de la Seguridad Social, el empresario que contrate temporalmente a personas con discapacidad mediante el contrato de fomento del empleo se beneficiará de bonificaciones de cuotas.  </w:t>
      </w:r>
    </w:p>
    <w:p w14:paraId="3E0D705C" w14:textId="77777777" w:rsidR="004B0665" w:rsidRDefault="00E927CA" w:rsidP="00A33890">
      <w:r>
        <w:t xml:space="preserve">Según hemos podido comprobar en el apartado anterior, el único reducto de colectivos </w:t>
      </w:r>
      <w:r w:rsidR="00A222B7">
        <w:t>beneficiarios</w:t>
      </w:r>
      <w:r>
        <w:t xml:space="preserve"> </w:t>
      </w:r>
      <w:r w:rsidR="00A222B7">
        <w:t>de</w:t>
      </w:r>
      <w:r>
        <w:t xml:space="preserve"> esta medida es el de personas con discapacidad y </w:t>
      </w:r>
      <w:r w:rsidRPr="00E927CA">
        <w:t>personas en situación de exclusión social</w:t>
      </w:r>
      <w:r>
        <w:t xml:space="preserve"> en los términos establecido en </w:t>
      </w:r>
      <w:r w:rsidR="00037E7C">
        <w:t xml:space="preserve">el artículo segundo de </w:t>
      </w:r>
      <w:r>
        <w:t xml:space="preserve">la Ley 44/2007. Estamos en la posición de afirmar que dentro del régimen jurídico de la temporalidad laboral en nuestro país </w:t>
      </w:r>
      <w:r w:rsidR="00037E7C">
        <w:t>la causalidad es requisito objetivo para cualquier contratación excepto para la que nos ocupa</w:t>
      </w:r>
      <w:r w:rsidR="00037E7C">
        <w:rPr>
          <w:rStyle w:val="Refdenotaalpie"/>
        </w:rPr>
        <w:footnoteReference w:id="21"/>
      </w:r>
      <w:r w:rsidR="00037E7C">
        <w:t>.</w:t>
      </w:r>
    </w:p>
    <w:p w14:paraId="3DB60957" w14:textId="0B5A367C" w:rsidR="00E927CA" w:rsidRDefault="00037E7C" w:rsidP="00A33890">
      <w:r>
        <w:lastRenderedPageBreak/>
        <w:t>El contrato temporal de fomento del empleo para personas con discapacidad no exige concurrencia de causa alguna para su celebración, al contrario, es válido para la realización de cualquier actividad, independientemente de su naturaleza</w:t>
      </w:r>
      <w:r>
        <w:rPr>
          <w:rStyle w:val="Refdenotaalpie"/>
        </w:rPr>
        <w:footnoteReference w:id="22"/>
      </w:r>
      <w:r>
        <w:t xml:space="preserve">. Nos encontramos ante una medida de acción positiva que ha de repercutir en el empleo del colectivo facilitando su colocación en empresas ordinarias </w:t>
      </w:r>
      <w:r w:rsidR="000B2DE9">
        <w:t xml:space="preserve">y </w:t>
      </w:r>
      <w:r>
        <w:t>permitiendo el conocimiento por parte de los empleadores de las características de los trabajadores con discapacidad, eliminando así barreras sociales, de carácter cultural, ancladas en viejos modelos bajo la premisa de la menor productividad del colectivo</w:t>
      </w:r>
      <w:r>
        <w:rPr>
          <w:rStyle w:val="Refdenotaalpie"/>
        </w:rPr>
        <w:footnoteReference w:id="23"/>
      </w:r>
      <w:r>
        <w:t xml:space="preserve">. En este sentido, con estas contrataciones también se incide sobre la eliminación de barreras físicas, estando estos contratos sujetos a las subvenciones reguladas en el artículo 12 </w:t>
      </w:r>
      <w:r w:rsidRPr="00037E7C">
        <w:t xml:space="preserve">del </w:t>
      </w:r>
      <w:r w:rsidRPr="00037E7C">
        <w:rPr>
          <w:i/>
          <w:iCs/>
        </w:rPr>
        <w:t>Real Decreto 1451/1983, de 11 de mayo, por el que, en cumplimiento de lo previsto en Ley 13/1982, de 7 de abril, se regula el empleo selectivo y las medidas de fomento del empleo de los trabajadores minusválidos</w:t>
      </w:r>
      <w:r>
        <w:rPr>
          <w:i/>
          <w:iCs/>
        </w:rPr>
        <w:t xml:space="preserve">, </w:t>
      </w:r>
      <w:r>
        <w:t xml:space="preserve">estando destinadas las mismas a la </w:t>
      </w:r>
      <w:r w:rsidRPr="00037E7C">
        <w:t xml:space="preserve">adaptación de los puestos de trabajo </w:t>
      </w:r>
      <w:r>
        <w:t>y a la</w:t>
      </w:r>
      <w:r w:rsidRPr="00037E7C">
        <w:t xml:space="preserve"> dotación de equipos de protección personal</w:t>
      </w:r>
      <w:r>
        <w:t xml:space="preserve">. </w:t>
      </w:r>
    </w:p>
    <w:p w14:paraId="55047C7E" w14:textId="5073D4E5" w:rsidR="00037E7C" w:rsidRDefault="00037E7C" w:rsidP="00A33890">
      <w:r>
        <w:t xml:space="preserve">Por lo demás, este contrato </w:t>
      </w:r>
      <w:r w:rsidR="00C307C9">
        <w:t xml:space="preserve">se </w:t>
      </w:r>
      <w:r w:rsidR="00553081">
        <w:t>ordena</w:t>
      </w:r>
      <w:r w:rsidR="00C307C9">
        <w:t xml:space="preserve"> con una </w:t>
      </w:r>
      <w:r w:rsidR="00C307C9" w:rsidRPr="00553081">
        <w:rPr>
          <w:i/>
          <w:iCs/>
        </w:rPr>
        <w:t>duración</w:t>
      </w:r>
      <w:r w:rsidR="00C307C9">
        <w:t xml:space="preserve"> mínima de un año y máxima de tres</w:t>
      </w:r>
      <w:r w:rsidR="00C307C9">
        <w:rPr>
          <w:rStyle w:val="Refdenotaalpie"/>
        </w:rPr>
        <w:footnoteReference w:id="24"/>
      </w:r>
      <w:r w:rsidR="00C307C9">
        <w:t xml:space="preserve"> a cuyo término tendrá derecho el trabajador a percibir una indemnización equivalente a doce días de salario por año de servicio</w:t>
      </w:r>
      <w:r w:rsidR="00C307C9">
        <w:rPr>
          <w:rStyle w:val="Refdenotaalpie"/>
        </w:rPr>
        <w:footnoteReference w:id="25"/>
      </w:r>
      <w:r w:rsidR="00C307C9">
        <w:t>.</w:t>
      </w:r>
    </w:p>
    <w:p w14:paraId="63695802" w14:textId="77777777" w:rsidR="004B0665" w:rsidRDefault="00037E7C" w:rsidP="00A33890">
      <w:r w:rsidRPr="00822CE2">
        <w:lastRenderedPageBreak/>
        <w:t xml:space="preserve">En lo que respecta a </w:t>
      </w:r>
      <w:r w:rsidR="00822CE2" w:rsidRPr="00822CE2">
        <w:t xml:space="preserve">los </w:t>
      </w:r>
      <w:r w:rsidR="00822CE2" w:rsidRPr="00553081">
        <w:rPr>
          <w:i/>
          <w:iCs/>
        </w:rPr>
        <w:t>incentivos económicos</w:t>
      </w:r>
      <w:r w:rsidR="00822CE2">
        <w:t xml:space="preserve"> tras la contratación, sin perjuicios de la comentada subvención por adaptación del puesto o dotación de equipos de protección personal, los empresarios que contraten haciendo uso de esta modalidad se podrán beneficiar de las bonificaciones de cuotas recogidas en el artículo 2.2.4) de la Ley 43/2006, a saber, </w:t>
      </w:r>
      <w:r w:rsidR="00822CE2" w:rsidRPr="00822CE2">
        <w:t>291,66 euros/mes (3.500 euros/año) durante toda la vigencia del contrato</w:t>
      </w:r>
      <w:r w:rsidR="00822CE2">
        <w:t>, y</w:t>
      </w:r>
      <w:r w:rsidR="00822CE2" w:rsidRPr="00822CE2">
        <w:t xml:space="preserve"> </w:t>
      </w:r>
      <w:r w:rsidR="00822CE2">
        <w:t>e</w:t>
      </w:r>
      <w:r w:rsidR="00822CE2" w:rsidRPr="00822CE2">
        <w:t xml:space="preserve">n supuestos de persona con parálisis cerebral, enfermedad mental o personas con discapacidad intelectual con grado reconocido igual o superior al 33 por ciento o personas con discapacidad física o sensorial con reconocimiento de grado igual o superior al 65 por ciento, de 341,66 euros/mes (4.100 euros/año). Además, si la persona con discapacidad tiene en el momento de la contratación 45 o más años, o si es mujer, la </w:t>
      </w:r>
      <w:r w:rsidR="00822CE2">
        <w:t>bonificación</w:t>
      </w:r>
      <w:r w:rsidR="00822CE2" w:rsidRPr="00822CE2">
        <w:t xml:space="preserve"> se incrementará en 50 euros/mes (600 euros/año), siendo en este </w:t>
      </w:r>
      <w:r w:rsidR="00822CE2">
        <w:t>supuesto</w:t>
      </w:r>
      <w:r w:rsidR="00822CE2" w:rsidRPr="00822CE2">
        <w:t xml:space="preserve"> compatible entre sí</w:t>
      </w:r>
      <w:r w:rsidR="00822CE2">
        <w:t xml:space="preserve"> la bonificación adicional que correspondería por emplear a trabajadores de la referida edad y que además sean mujeres</w:t>
      </w:r>
      <w:r w:rsidR="00822CE2">
        <w:rPr>
          <w:rStyle w:val="Refdenotaalpie"/>
        </w:rPr>
        <w:footnoteReference w:id="26"/>
      </w:r>
      <w:r w:rsidR="00822CE2">
        <w:t>. Resulta significativo que esta sea la única bonificación de cuotas que se contemple para la contratación temporal de personas con discapacidad</w:t>
      </w:r>
      <w:r w:rsidR="00D92757">
        <w:t xml:space="preserve"> en el empleo ordinario</w:t>
      </w:r>
      <w:r w:rsidR="00822CE2">
        <w:t xml:space="preserve"> junto a la comentada prevista para los contratos formativos. </w:t>
      </w:r>
    </w:p>
    <w:p w14:paraId="4F436B73" w14:textId="6FFC4BC5" w:rsidR="00037E7C" w:rsidRDefault="00822CE2" w:rsidP="00A33890">
      <w:r>
        <w:t xml:space="preserve">Obsérvese por tanto que las medidas de acción positiva que se proyectan sobre tal modalidad de fomento </w:t>
      </w:r>
      <w:r w:rsidR="00553081">
        <w:t>“facilitan”</w:t>
      </w:r>
      <w:r>
        <w:t xml:space="preserve"> tanto la entrada al mundo del trabajo, con la supresión del requisito de la causalidad en la contratación temporal, como su mantenimiento, con una disminución de los costes empresariales de contratación desconocida en la contratación temporal de personas con discapacidad mientras perviva dicha relación laboral. Pero, es más, si el empresario opta por la trasformación de este contrato temporal en indefinido, tendrá derecho, según lo establecido en el apartado 6 de la disposición adicional primera de la Ley 43/2006, a las subvenciones recogidas en el </w:t>
      </w:r>
      <w:r w:rsidRPr="00822CE2">
        <w:t>Real Decreto 1451/1983</w:t>
      </w:r>
      <w:r>
        <w:t>, entre las que destaca la subvención directa por la mera contratación indefinida de 3.097€</w:t>
      </w:r>
      <w:r>
        <w:rPr>
          <w:rStyle w:val="Refdenotaalpie"/>
        </w:rPr>
        <w:footnoteReference w:id="27"/>
      </w:r>
      <w:r w:rsidR="00373133">
        <w:t>,</w:t>
      </w:r>
      <w:r>
        <w:t xml:space="preserve"> y</w:t>
      </w:r>
      <w:r w:rsidR="00373133">
        <w:t>, según el artículo 2.2.1 de la Ley 43/2006,</w:t>
      </w:r>
      <w:r>
        <w:t xml:space="preserve"> a las bonificaciones de cuotas previstas para la contratación indefinida en </w:t>
      </w:r>
      <w:r w:rsidR="00373133">
        <w:t>ese mismo precepto</w:t>
      </w:r>
      <w:r>
        <w:t>.</w:t>
      </w:r>
    </w:p>
    <w:p w14:paraId="6474A8CF" w14:textId="137868A3" w:rsidR="00A33890" w:rsidRDefault="00914207" w:rsidP="00A33890">
      <w:r>
        <w:lastRenderedPageBreak/>
        <w:t>Se comprueba como</w:t>
      </w:r>
      <w:r w:rsidR="00553081">
        <w:t>,</w:t>
      </w:r>
      <w:r>
        <w:t xml:space="preserve"> desde una óptica economicista</w:t>
      </w:r>
      <w:r w:rsidR="00553081">
        <w:t>,</w:t>
      </w:r>
      <w:r>
        <w:t xml:space="preserve"> el régimen jurídico del contrato de fomento del empleo para personas con discapacidad contiene importantes incentivos económicos para </w:t>
      </w:r>
      <w:r w:rsidR="00553081">
        <w:t xml:space="preserve">proceder a la </w:t>
      </w:r>
      <w:r>
        <w:t>contrata</w:t>
      </w:r>
      <w:r w:rsidR="00553081">
        <w:t>ción</w:t>
      </w:r>
      <w:r>
        <w:t xml:space="preserve"> con </w:t>
      </w:r>
      <w:r w:rsidR="00553081">
        <w:t xml:space="preserve">una </w:t>
      </w:r>
      <w:r>
        <w:t>repercusión directa en el patrimonio empresarial. Principalmente</w:t>
      </w:r>
      <w:r w:rsidR="00553081">
        <w:t xml:space="preserve"> por la</w:t>
      </w:r>
      <w:r>
        <w:t xml:space="preserve"> vía </w:t>
      </w:r>
      <w:r w:rsidR="00553081">
        <w:t xml:space="preserve">de </w:t>
      </w:r>
      <w:r>
        <w:t>reducción de gastos</w:t>
      </w:r>
      <w:r w:rsidR="00553081">
        <w:t>,</w:t>
      </w:r>
      <w:r>
        <w:t xml:space="preserve"> con las bonificaciones de cuotas, pero también vía ingresos </w:t>
      </w:r>
      <w:r w:rsidR="004B0665">
        <w:t>c</w:t>
      </w:r>
      <w:r>
        <w:t xml:space="preserve">on las subvenciones para la adaptación de puestos o, en su caso, tras la transformación en indefinida de la relación laboral. Desde un prisma acorde a la concepción actual de la discapacidad estos inventivos </w:t>
      </w:r>
      <w:r w:rsidRPr="00914207">
        <w:t xml:space="preserve">en ningún caso </w:t>
      </w:r>
      <w:r>
        <w:t xml:space="preserve">pueden </w:t>
      </w:r>
      <w:r w:rsidRPr="00914207">
        <w:t>esta</w:t>
      </w:r>
      <w:r>
        <w:t>r</w:t>
      </w:r>
      <w:r w:rsidRPr="00914207">
        <w:t xml:space="preserve"> destinados a compensar al empleador de una hipotética falta de productividad de la persona con discapacidad</w:t>
      </w:r>
      <w:r>
        <w:t>, ya que habrá</w:t>
      </w:r>
      <w:r w:rsidRPr="00914207">
        <w:t xml:space="preserve"> de suponérsele</w:t>
      </w:r>
      <w:r>
        <w:t xml:space="preserve"> a la misma –como a cualquier otro trabajador–</w:t>
      </w:r>
      <w:r w:rsidRPr="00914207">
        <w:t xml:space="preserve"> plena productividad</w:t>
      </w:r>
      <w:r>
        <w:t>. C</w:t>
      </w:r>
      <w:r w:rsidRPr="00914207">
        <w:t>omo su propio nombre indica</w:t>
      </w:r>
      <w:r w:rsidR="00553081">
        <w:t>,</w:t>
      </w:r>
      <w:r>
        <w:t xml:space="preserve"> estamos ante </w:t>
      </w:r>
      <w:r w:rsidRPr="00914207">
        <w:t>un estímulo</w:t>
      </w:r>
      <w:r>
        <w:t xml:space="preserve"> cuya</w:t>
      </w:r>
      <w:r w:rsidRPr="00914207">
        <w:t xml:space="preserve"> finalidad no </w:t>
      </w:r>
      <w:r>
        <w:t>es el</w:t>
      </w:r>
      <w:r w:rsidRPr="00914207">
        <w:t xml:space="preserve"> compensar </w:t>
      </w:r>
      <w:r>
        <w:t>sino, más bien,</w:t>
      </w:r>
      <w:r w:rsidRPr="00914207">
        <w:t xml:space="preserve"> recompensar</w:t>
      </w:r>
      <w:r>
        <w:rPr>
          <w:rStyle w:val="Refdenotaalpie"/>
        </w:rPr>
        <w:footnoteReference w:id="28"/>
      </w:r>
      <w:r w:rsidRPr="00914207">
        <w:t xml:space="preserve">. </w:t>
      </w:r>
      <w:r>
        <w:t>En palabras de LAHERA FORTEZA, “e</w:t>
      </w:r>
      <w:r w:rsidRPr="00914207">
        <w:t>l incentivo económico en la contratación de discapacitados es un instrumento de integración ordinaria que intenta superar las posibles reticencias empresariales en torno a estos trabajadores</w:t>
      </w:r>
      <w:r>
        <w:rPr>
          <w:rStyle w:val="Refdenotaalpie"/>
        </w:rPr>
        <w:footnoteReference w:id="29"/>
      </w:r>
      <w:r>
        <w:t xml:space="preserve">”, </w:t>
      </w:r>
      <w:r w:rsidRPr="00914207">
        <w:t>l</w:t>
      </w:r>
      <w:r>
        <w:t xml:space="preserve">o que se conseguiría con la </w:t>
      </w:r>
      <w:r w:rsidR="00553081">
        <w:t>superación</w:t>
      </w:r>
      <w:r>
        <w:t xml:space="preserve"> de</w:t>
      </w:r>
      <w:r w:rsidRPr="00914207">
        <w:t xml:space="preserve"> barreras –o prejuicios– empresariales previas a la contratación asentadas en una concepción errónea de la discapacidad. </w:t>
      </w:r>
      <w:r>
        <w:t>Y es que, en el</w:t>
      </w:r>
      <w:r w:rsidRPr="00914207">
        <w:t xml:space="preserve"> momento de la efectiva prestación de servicios</w:t>
      </w:r>
      <w:r>
        <w:t xml:space="preserve"> laborales por parte de las personas con discapacidad es cuando se evidencia su capacidad</w:t>
      </w:r>
      <w:r w:rsidRPr="00914207">
        <w:t xml:space="preserve"> y</w:t>
      </w:r>
      <w:r>
        <w:t xml:space="preserve"> nace la oportunidad de “</w:t>
      </w:r>
      <w:r w:rsidRPr="00914207">
        <w:t>romper los prejuicios instalados –en ocasiones a causa de la pasividad pacífica de quien los sufre– en el imaginario social</w:t>
      </w:r>
      <w:r>
        <w:rPr>
          <w:rStyle w:val="Refdenotaalpie"/>
        </w:rPr>
        <w:footnoteReference w:id="30"/>
      </w:r>
      <w:r>
        <w:t>”</w:t>
      </w:r>
      <w:r w:rsidRPr="00914207">
        <w:t>.</w:t>
      </w:r>
    </w:p>
    <w:p w14:paraId="60AE1627" w14:textId="77777777" w:rsidR="004B0665" w:rsidRDefault="004B0665" w:rsidP="00A33890"/>
    <w:p w14:paraId="4DD621CD" w14:textId="45F5CC23" w:rsidR="005E126A" w:rsidRDefault="00A33890" w:rsidP="00A33890">
      <w:pPr>
        <w:rPr>
          <w:b/>
          <w:bCs/>
        </w:rPr>
      </w:pPr>
      <w:r w:rsidRPr="00A33890">
        <w:rPr>
          <w:b/>
          <w:bCs/>
        </w:rPr>
        <w:t>3.3 Motivos para defender su actual vigencia</w:t>
      </w:r>
    </w:p>
    <w:p w14:paraId="06AEFD66" w14:textId="7F126DE4" w:rsidR="00990DFD" w:rsidRDefault="005E126A" w:rsidP="00A33890">
      <w:r>
        <w:t>Expuesto hasta aquí el régimen jurídico aplicable a esta singular modalidad de contratación temporal</w:t>
      </w:r>
      <w:r w:rsidR="00F237A2">
        <w:t xml:space="preserve">, se dedicarán estas líneas a profundizar sobre la afectación del RD Ley 32/2021 en lo que respecta a su vigencia. Ya se han significado las dudas doctrinales al respecto, así como la incidencia de la reforma en la potencialización de las relaciones laborales indefinidas a costa de la temporalidad mediante la reducción de este tipo de contratos y sus causas. </w:t>
      </w:r>
      <w:r w:rsidR="00227352">
        <w:t>Consecuentemente</w:t>
      </w:r>
      <w:r w:rsidR="00227352" w:rsidRPr="00227352">
        <w:t>,</w:t>
      </w:r>
      <w:r w:rsidR="00227352">
        <w:t xml:space="preserve"> </w:t>
      </w:r>
      <w:r w:rsidR="00227352" w:rsidRPr="00553081">
        <w:t>tras</w:t>
      </w:r>
      <w:r w:rsidR="00227352">
        <w:t xml:space="preserve"> una modificación sustancial del artículo 15 ET, en la d</w:t>
      </w:r>
      <w:r w:rsidR="00227352" w:rsidRPr="00227352">
        <w:t xml:space="preserve">isposición </w:t>
      </w:r>
      <w:r w:rsidR="00227352">
        <w:t>d</w:t>
      </w:r>
      <w:r w:rsidR="00227352" w:rsidRPr="00227352">
        <w:t xml:space="preserve">erogatoria </w:t>
      </w:r>
      <w:r w:rsidR="00227352">
        <w:t>ú</w:t>
      </w:r>
      <w:r w:rsidR="00227352" w:rsidRPr="00227352">
        <w:t xml:space="preserve">nica del </w:t>
      </w:r>
      <w:r w:rsidR="00227352">
        <w:t>RD Ley</w:t>
      </w:r>
      <w:r w:rsidR="00227352" w:rsidRPr="00227352">
        <w:t xml:space="preserve"> 32/2021</w:t>
      </w:r>
      <w:r w:rsidR="00227352">
        <w:t xml:space="preserve"> expresamente quedan derogadas “</w:t>
      </w:r>
      <w:r w:rsidR="00227352" w:rsidRPr="00227352">
        <w:t>las disposiciones referidas a los contratos temporales previstos en el artículo 15.1.a)</w:t>
      </w:r>
      <w:r w:rsidR="00227352">
        <w:t>”</w:t>
      </w:r>
      <w:r w:rsidR="00990DFD">
        <w:t xml:space="preserve"> contenidas en cualquier norma del ordenamiento jurídico</w:t>
      </w:r>
      <w:r w:rsidR="00227352">
        <w:rPr>
          <w:rStyle w:val="Refdenotaalpie"/>
        </w:rPr>
        <w:footnoteReference w:id="31"/>
      </w:r>
      <w:r w:rsidR="00227352">
        <w:t xml:space="preserve">, </w:t>
      </w:r>
      <w:r w:rsidR="00990DFD">
        <w:t xml:space="preserve">precepto que hacía referencia al contrato de </w:t>
      </w:r>
      <w:r w:rsidR="00990DFD" w:rsidRPr="00990DFD">
        <w:t>obra o servicio determinado</w:t>
      </w:r>
      <w:r w:rsidR="00990DFD">
        <w:t>.</w:t>
      </w:r>
      <w:r w:rsidR="00227352" w:rsidRPr="00227352">
        <w:t xml:space="preserve"> </w:t>
      </w:r>
      <w:r w:rsidR="00990DFD">
        <w:t xml:space="preserve">No se </w:t>
      </w:r>
      <w:r w:rsidR="00990DFD">
        <w:lastRenderedPageBreak/>
        <w:t>encuentra en esta disposición derogatoria referencia expresa alguna al contrato temporal de fomento del empleo</w:t>
      </w:r>
      <w:r w:rsidR="00553081">
        <w:t>.</w:t>
      </w:r>
    </w:p>
    <w:p w14:paraId="3CAFB1D9" w14:textId="6CCC36C3" w:rsidR="00F237A2" w:rsidRDefault="00990DFD" w:rsidP="00990DFD">
      <w:r>
        <w:t xml:space="preserve">Con todo, el apartado primero de la disposición derogatoria incluye una clausula general que enuncia la revocación de “cuantas normas de igual o inferior rango contradigan o se opongan a lo dispuesto en este real decreto-ley”. Podríamos preguntarnos si se ha producido una derogación implícita del contrato temporal de fomento del empleo, habida cuenta de la </w:t>
      </w:r>
      <w:r w:rsidRPr="00990DFD">
        <w:rPr>
          <w:i/>
          <w:iCs/>
        </w:rPr>
        <w:t xml:space="preserve">ratio </w:t>
      </w:r>
      <w:proofErr w:type="spellStart"/>
      <w:r w:rsidRPr="00990DFD">
        <w:rPr>
          <w:i/>
          <w:iCs/>
        </w:rPr>
        <w:t>legis</w:t>
      </w:r>
      <w:proofErr w:type="spellEnd"/>
      <w:r w:rsidR="00553081">
        <w:t xml:space="preserve"> de la reforma</w:t>
      </w:r>
      <w:r w:rsidR="00DB6FA2">
        <w:rPr>
          <w:rStyle w:val="Refdenotaalpie"/>
          <w:i/>
          <w:iCs/>
        </w:rPr>
        <w:footnoteReference w:id="32"/>
      </w:r>
      <w:r>
        <w:t xml:space="preserve"> y la acotación efectiva de la temporalidad. Se adelanta que en estas líneas se defenderá la vigencia de dicha modalidad contractual, expresándose a continuación los motivos que nos llevan a tomar dicha opción.  </w:t>
      </w:r>
    </w:p>
    <w:p w14:paraId="698B0876" w14:textId="77777777" w:rsidR="00FA2844" w:rsidRDefault="00990DFD" w:rsidP="00990DFD">
      <w:r>
        <w:t xml:space="preserve">Como se ha aducido, la nueva norma no contiene previsión expresa de su </w:t>
      </w:r>
      <w:r w:rsidR="00EA1376">
        <w:t>derogación,</w:t>
      </w:r>
      <w:r>
        <w:t xml:space="preserve"> pero podríamos aplicar extensivamente la clausula general incluida en el apartado primero</w:t>
      </w:r>
      <w:r w:rsidR="00553081">
        <w:t>,</w:t>
      </w:r>
      <w:r>
        <w:t xml:space="preserve"> o el principio </w:t>
      </w:r>
      <w:proofErr w:type="spellStart"/>
      <w:r w:rsidRPr="00990DFD">
        <w:rPr>
          <w:i/>
          <w:iCs/>
        </w:rPr>
        <w:t>lex</w:t>
      </w:r>
      <w:proofErr w:type="spellEnd"/>
      <w:r w:rsidRPr="00990DFD">
        <w:rPr>
          <w:i/>
          <w:iCs/>
        </w:rPr>
        <w:t xml:space="preserve"> posterior </w:t>
      </w:r>
      <w:proofErr w:type="spellStart"/>
      <w:r w:rsidRPr="00990DFD">
        <w:rPr>
          <w:i/>
          <w:iCs/>
        </w:rPr>
        <w:t>derogat</w:t>
      </w:r>
      <w:proofErr w:type="spellEnd"/>
      <w:r w:rsidRPr="00990DFD">
        <w:rPr>
          <w:i/>
          <w:iCs/>
        </w:rPr>
        <w:t xml:space="preserve"> priori</w:t>
      </w:r>
      <w:r>
        <w:rPr>
          <w:i/>
          <w:iCs/>
        </w:rPr>
        <w:t xml:space="preserve">. </w:t>
      </w:r>
      <w:r w:rsidR="00EA1376">
        <w:t>Antes bien, esta interpretación, que hemos tachado ya de extensiva, no tiene cabida a nuestro juicio. Principalmente, porque la reforma no incluye una clausula que prohíba la contratación temporal</w:t>
      </w:r>
      <w:r w:rsidR="00EA1376">
        <w:rPr>
          <w:rStyle w:val="Refdenotaalpie"/>
        </w:rPr>
        <w:footnoteReference w:id="33"/>
      </w:r>
      <w:r w:rsidR="00EA1376">
        <w:t xml:space="preserve"> sino que </w:t>
      </w:r>
      <w:r w:rsidR="00553081">
        <w:t>inserta</w:t>
      </w:r>
      <w:r w:rsidR="00EA1376">
        <w:t xml:space="preserve"> en el artículo 15.1 ET una presunción –entendemos que </w:t>
      </w:r>
      <w:r w:rsidR="00EA1376" w:rsidRPr="00EA1376">
        <w:rPr>
          <w:i/>
          <w:iCs/>
        </w:rPr>
        <w:t>iuris tantum</w:t>
      </w:r>
      <w:r w:rsidR="00EA1376">
        <w:t xml:space="preserve">– de indefinición y la prohibición de celebrar contratos de </w:t>
      </w:r>
      <w:r w:rsidR="00EA1376" w:rsidRPr="00EA1376">
        <w:rPr>
          <w:i/>
          <w:iCs/>
        </w:rPr>
        <w:t xml:space="preserve">duración determinada </w:t>
      </w:r>
      <w:r w:rsidR="00EA1376">
        <w:t xml:space="preserve">más allá de los supuestos </w:t>
      </w:r>
      <w:r w:rsidR="00553081">
        <w:t>previstos de</w:t>
      </w:r>
      <w:r w:rsidR="00EA1376">
        <w:t xml:space="preserve"> </w:t>
      </w:r>
      <w:r w:rsidR="00EA1376" w:rsidRPr="00EA1376">
        <w:t>circunstancias de la producción o por sustitución de persona trabajadora</w:t>
      </w:r>
      <w:r w:rsidR="00EA1376">
        <w:t xml:space="preserve">. </w:t>
      </w:r>
    </w:p>
    <w:p w14:paraId="603C60A8" w14:textId="5405473E" w:rsidR="00DB6FA2" w:rsidRDefault="00EA1376" w:rsidP="00990DFD">
      <w:r>
        <w:t>Resulta preciso distinguir entre un contrato de duración determinada, la especie, y un contrato temporal, el género</w:t>
      </w:r>
      <w:r>
        <w:rPr>
          <w:rStyle w:val="Refdenotaalpie"/>
        </w:rPr>
        <w:footnoteReference w:id="34"/>
      </w:r>
      <w:r>
        <w:t xml:space="preserve">. </w:t>
      </w:r>
      <w:r w:rsidRPr="00553081">
        <w:t>Si bien las líneas que separan una tipología de otra no resultan fáciles de trazar,</w:t>
      </w:r>
      <w:r>
        <w:t xml:space="preserve"> existen pasajes normativos que evidencian el distingo. En este sentido, el propio artículo 15.6 ET establece que “l</w:t>
      </w:r>
      <w:r w:rsidRPr="00EA1376">
        <w:t>as personas con contratos temporales y de duración determinada tendrán los mismos derechos</w:t>
      </w:r>
      <w:r>
        <w:t xml:space="preserve"> […]”</w:t>
      </w:r>
      <w:r w:rsidR="00DB6FA2">
        <w:t xml:space="preserve">, existiendo otros ejemplos en nuestra normativa laboral básica </w:t>
      </w:r>
      <w:r w:rsidR="00553081">
        <w:t>que separan ambas tipologías</w:t>
      </w:r>
      <w:r>
        <w:rPr>
          <w:rStyle w:val="Refdenotaalpie"/>
        </w:rPr>
        <w:footnoteReference w:id="35"/>
      </w:r>
      <w:r w:rsidR="00DB6FA2">
        <w:t xml:space="preserve">. Entendemos que los propios contratos formativos son contratos temporales en la medida que tienen prevista una fecha de finalización, y el propio contrato temporal de fomento del empleo ha de incluirse dentro de esta categoría. Existe por tanto la posibilidad de celebrar contratos temporales, cuando este previstos normativamente, extramuros del artículo 15.1, precepto delimitador de la contratación a través de las modalidades de duración determinada. </w:t>
      </w:r>
    </w:p>
    <w:p w14:paraId="1B73DC6E" w14:textId="71BE4D90" w:rsidR="00DB6FA2" w:rsidRDefault="00DB6FA2" w:rsidP="00DB6FA2">
      <w:pPr>
        <w:rPr>
          <w:i/>
          <w:iCs/>
        </w:rPr>
      </w:pPr>
      <w:r>
        <w:t xml:space="preserve">A mayor abundamiento, para la aplicación de la clausula general de derogación no se puede obviar el criterio de especialidad normativa. Aún aceptando cierto </w:t>
      </w:r>
      <w:r>
        <w:lastRenderedPageBreak/>
        <w:t>conflicto normativo</w:t>
      </w:r>
      <w:r w:rsidR="00C6200E">
        <w:t>,</w:t>
      </w:r>
      <w:r>
        <w:t xml:space="preserve"> el criterio cronológico no puede ser acogido de forma absoluta, máxime –tal y como se ha manifestado– cuando entendemos que ambas son </w:t>
      </w:r>
      <w:r w:rsidR="00C6200E">
        <w:t xml:space="preserve">perfectamente </w:t>
      </w:r>
      <w:r>
        <w:t xml:space="preserve">compatibles entre sí. Aplicando el artículo 2.2 del Código Civil, siendo las dos normas del mismo rango jerárquico, solo se aceptaría la derogación tácita si </w:t>
      </w:r>
      <w:r w:rsidR="00C6200E">
        <w:t>existiera</w:t>
      </w:r>
      <w:r>
        <w:t xml:space="preserve"> tal incompatibilidad, primando en caso contrario la especialidad a la temporalidad, por lo que en el supuesto que nos ocupa, </w:t>
      </w:r>
      <w:proofErr w:type="spellStart"/>
      <w:r w:rsidRPr="00DB6FA2">
        <w:rPr>
          <w:i/>
          <w:iCs/>
        </w:rPr>
        <w:t>lex</w:t>
      </w:r>
      <w:proofErr w:type="spellEnd"/>
      <w:r w:rsidRPr="00DB6FA2">
        <w:rPr>
          <w:i/>
          <w:iCs/>
        </w:rPr>
        <w:t xml:space="preserve"> posterior </w:t>
      </w:r>
      <w:proofErr w:type="spellStart"/>
      <w:r w:rsidRPr="00DB6FA2">
        <w:rPr>
          <w:i/>
          <w:iCs/>
        </w:rPr>
        <w:t>generalis</w:t>
      </w:r>
      <w:proofErr w:type="spellEnd"/>
      <w:r w:rsidRPr="00DB6FA2">
        <w:rPr>
          <w:i/>
          <w:iCs/>
        </w:rPr>
        <w:t xml:space="preserve"> no </w:t>
      </w:r>
      <w:proofErr w:type="spellStart"/>
      <w:r w:rsidRPr="00DB6FA2">
        <w:rPr>
          <w:i/>
          <w:iCs/>
        </w:rPr>
        <w:t>derogat</w:t>
      </w:r>
      <w:proofErr w:type="spellEnd"/>
      <w:r w:rsidRPr="00DB6FA2">
        <w:rPr>
          <w:i/>
          <w:iCs/>
        </w:rPr>
        <w:t xml:space="preserve"> priori </w:t>
      </w:r>
      <w:proofErr w:type="spellStart"/>
      <w:r w:rsidRPr="00DB6FA2">
        <w:rPr>
          <w:i/>
          <w:iCs/>
        </w:rPr>
        <w:t>speciali</w:t>
      </w:r>
      <w:proofErr w:type="spellEnd"/>
      <w:r>
        <w:rPr>
          <w:rStyle w:val="Refdenotaalpie"/>
          <w:i/>
          <w:iCs/>
        </w:rPr>
        <w:footnoteReference w:id="36"/>
      </w:r>
      <w:r>
        <w:rPr>
          <w:i/>
          <w:iCs/>
        </w:rPr>
        <w:t>.</w:t>
      </w:r>
    </w:p>
    <w:p w14:paraId="07252145" w14:textId="77777777" w:rsidR="00FA2844" w:rsidRDefault="00DB6FA2" w:rsidP="009D0F06">
      <w:r>
        <w:t xml:space="preserve">A la misma conclusión hemos de llegar si seguimos el recorrido histórico de la modalidad </w:t>
      </w:r>
      <w:r w:rsidR="00C71488">
        <w:t xml:space="preserve">contractual </w:t>
      </w:r>
      <w:r>
        <w:t xml:space="preserve">que nos ocupa. Cierto es que la </w:t>
      </w:r>
      <w:r w:rsidR="00C71488">
        <w:t xml:space="preserve">redacción del </w:t>
      </w:r>
      <w:r w:rsidR="00E63D2C">
        <w:t>ET</w:t>
      </w:r>
      <w:r w:rsidR="00C71488">
        <w:t xml:space="preserve"> de</w:t>
      </w:r>
      <w:r>
        <w:t xml:space="preserve"> 1981</w:t>
      </w:r>
      <w:r w:rsidR="00C71488">
        <w:t xml:space="preserve"> </w:t>
      </w:r>
      <w:r>
        <w:t xml:space="preserve">amparaba su nacimiento mediante norma </w:t>
      </w:r>
      <w:r w:rsidR="00C71488">
        <w:t xml:space="preserve">de rango </w:t>
      </w:r>
      <w:r>
        <w:t>reglamentari</w:t>
      </w:r>
      <w:r w:rsidR="00C71488">
        <w:t>o</w:t>
      </w:r>
      <w:r>
        <w:t xml:space="preserve"> como así se produjo, ya que el entonces artículo 15. uno. d)</w:t>
      </w:r>
      <w:r w:rsidR="00C71488">
        <w:t>,</w:t>
      </w:r>
      <w:r>
        <w:t xml:space="preserve"> previa remisión a</w:t>
      </w:r>
      <w:r w:rsidR="00C71488">
        <w:t xml:space="preserve"> su</w:t>
      </w:r>
      <w:r>
        <w:t xml:space="preserve"> artículo 17.3</w:t>
      </w:r>
      <w:r w:rsidR="00C71488">
        <w:t xml:space="preserve">, </w:t>
      </w:r>
      <w:r>
        <w:t xml:space="preserve">habilitaba al </w:t>
      </w:r>
      <w:r w:rsidRPr="00DB6FA2">
        <w:t xml:space="preserve">Gobierno </w:t>
      </w:r>
      <w:r>
        <w:t xml:space="preserve">a hacer </w:t>
      </w:r>
      <w:r w:rsidRPr="00DB6FA2">
        <w:t xml:space="preserve">uso de la autorización prevista en </w:t>
      </w:r>
      <w:r>
        <w:t>él</w:t>
      </w:r>
      <w:r w:rsidR="00C71488">
        <w:t xml:space="preserve"> para regular un contrato de duración determinada</w:t>
      </w:r>
      <w:r>
        <w:t xml:space="preserve">. Desde entonces, </w:t>
      </w:r>
      <w:r w:rsidRPr="00E63D2C">
        <w:t xml:space="preserve">tal y como se expuso </w:t>
      </w:r>
      <w:r w:rsidR="00E63D2C" w:rsidRPr="00E63D2C">
        <w:rPr>
          <w:i/>
          <w:iCs/>
        </w:rPr>
        <w:t>supra</w:t>
      </w:r>
      <w:r w:rsidR="00E63D2C">
        <w:rPr>
          <w:i/>
          <w:iCs/>
        </w:rPr>
        <w:t>,</w:t>
      </w:r>
      <w:r>
        <w:t xml:space="preserve"> este contrato fue prorrogando en sucesivas normas reglamentarias hasta su consolidación en una norma de rango legal, la </w:t>
      </w:r>
      <w:r w:rsidRPr="00DB6FA2">
        <w:t>Ley 43/2006</w:t>
      </w:r>
      <w:r>
        <w:t xml:space="preserve">. Estamos desde entonces ante un contrato típico que jamás ha sido objeto de derogación, sin que podamos presumir que la </w:t>
      </w:r>
      <w:proofErr w:type="spellStart"/>
      <w:r w:rsidRPr="00DB6FA2">
        <w:rPr>
          <w:i/>
          <w:iCs/>
        </w:rPr>
        <w:t>voluntas</w:t>
      </w:r>
      <w:proofErr w:type="spellEnd"/>
      <w:r w:rsidRPr="00DB6FA2">
        <w:rPr>
          <w:i/>
          <w:iCs/>
        </w:rPr>
        <w:t xml:space="preserve"> </w:t>
      </w:r>
      <w:proofErr w:type="spellStart"/>
      <w:r w:rsidRPr="00DB6FA2">
        <w:rPr>
          <w:i/>
          <w:iCs/>
        </w:rPr>
        <w:t>legis</w:t>
      </w:r>
      <w:proofErr w:type="spellEnd"/>
      <w:r w:rsidR="00C71488">
        <w:rPr>
          <w:i/>
          <w:iCs/>
        </w:rPr>
        <w:t xml:space="preserve"> </w:t>
      </w:r>
      <w:r w:rsidR="00C71488">
        <w:t>del Gobierno-legislador ha sido en esta ocasión su remoción</w:t>
      </w:r>
      <w:r w:rsidR="008B74D0">
        <w:t xml:space="preserve">, como </w:t>
      </w:r>
      <w:r w:rsidR="00C71488">
        <w:t>tampoco</w:t>
      </w:r>
      <w:r w:rsidR="008B74D0">
        <w:t xml:space="preserve"> se presumió en 1994 tras la reforma del ET que suprimió </w:t>
      </w:r>
      <w:r w:rsidR="00C71488">
        <w:t>la</w:t>
      </w:r>
      <w:r w:rsidR="008B74D0">
        <w:t xml:space="preserve"> habilitación gubernamental expresa</w:t>
      </w:r>
      <w:r w:rsidR="00CB0555">
        <w:t xml:space="preserve"> </w:t>
      </w:r>
      <w:r w:rsidR="00C71488">
        <w:t xml:space="preserve">del artículo 15. Uno. d) ET </w:t>
      </w:r>
      <w:r w:rsidR="00CB0555">
        <w:t>y centr</w:t>
      </w:r>
      <w:r w:rsidR="00C71488">
        <w:t>ó</w:t>
      </w:r>
      <w:r w:rsidR="00CB0555">
        <w:t xml:space="preserve"> –también</w:t>
      </w:r>
      <w:r w:rsidR="00C71488">
        <w:t>–</w:t>
      </w:r>
      <w:r w:rsidR="00CB0555">
        <w:t xml:space="preserve"> sus miras en la causalidad de la contratación temporal.</w:t>
      </w:r>
      <w:r w:rsidR="008B74D0">
        <w:t xml:space="preserve"> </w:t>
      </w:r>
    </w:p>
    <w:p w14:paraId="04C13AE3" w14:textId="77777777" w:rsidR="00FA2844" w:rsidRDefault="00FA2844" w:rsidP="009D0F06"/>
    <w:p w14:paraId="337198A1" w14:textId="65EE5F0C" w:rsidR="00E73D98" w:rsidRPr="00FA2844" w:rsidRDefault="00C71488" w:rsidP="009D0F06">
      <w:r>
        <w:rPr>
          <w:rFonts w:eastAsiaTheme="majorEastAsia" w:cstheme="majorBidi"/>
          <w:b/>
          <w:bCs/>
          <w:caps/>
          <w:szCs w:val="26"/>
        </w:rPr>
        <w:t xml:space="preserve">4. </w:t>
      </w:r>
      <w:r w:rsidRPr="00C71488">
        <w:rPr>
          <w:rFonts w:eastAsiaTheme="majorEastAsia" w:cstheme="majorBidi"/>
          <w:b/>
          <w:bCs/>
          <w:caps/>
          <w:szCs w:val="26"/>
        </w:rPr>
        <w:t>El convenio colectivo de aplicación a los Centros Especiales de Empleo: un nuevo empuje al empleo protegid</w:t>
      </w:r>
      <w:r w:rsidR="00E73D98">
        <w:rPr>
          <w:rFonts w:eastAsiaTheme="majorEastAsia" w:cstheme="majorBidi"/>
          <w:b/>
          <w:bCs/>
          <w:caps/>
          <w:szCs w:val="26"/>
        </w:rPr>
        <w:t>o</w:t>
      </w:r>
    </w:p>
    <w:p w14:paraId="7FB08397" w14:textId="04698C73" w:rsidR="00E73D98" w:rsidRDefault="00CF70A7" w:rsidP="00E73D98">
      <w:r>
        <w:t>S</w:t>
      </w:r>
      <w:r w:rsidR="00E73D98">
        <w:t xml:space="preserve">e finaliza </w:t>
      </w:r>
      <w:r>
        <w:t>el presente</w:t>
      </w:r>
      <w:r w:rsidR="00E73D98">
        <w:t xml:space="preserve"> análisis con la nueva clausula prevista en la d</w:t>
      </w:r>
      <w:r w:rsidR="00E73D98" w:rsidRPr="00E73D98">
        <w:t>isposición adicional vigesimoséptima</w:t>
      </w:r>
      <w:r w:rsidR="00E73D98">
        <w:t xml:space="preserve"> del </w:t>
      </w:r>
      <w:r>
        <w:t xml:space="preserve">ET </w:t>
      </w:r>
      <w:r w:rsidR="00E73D98">
        <w:t xml:space="preserve">que conlleva </w:t>
      </w:r>
      <w:r w:rsidR="00E73D98" w:rsidRPr="00E73D98">
        <w:t xml:space="preserve">la inaplicación de la </w:t>
      </w:r>
      <w:r w:rsidR="00E73D98">
        <w:t>regla</w:t>
      </w:r>
      <w:r w:rsidR="00E73D98" w:rsidRPr="00E73D98">
        <w:t xml:space="preserve"> contenida</w:t>
      </w:r>
      <w:r w:rsidR="00E73D98">
        <w:t xml:space="preserve"> tras la reforma</w:t>
      </w:r>
      <w:r w:rsidR="00E73D98" w:rsidRPr="00E73D98">
        <w:t xml:space="preserve"> en el artículo 42.6 relativa al convenio colectivo aplicable en contratas y subcontrata</w:t>
      </w:r>
      <w:r>
        <w:t>s</w:t>
      </w:r>
      <w:r w:rsidR="00E73D98" w:rsidRPr="00E73D98">
        <w:t xml:space="preserve"> a los </w:t>
      </w:r>
      <w:r>
        <w:t>CCEE</w:t>
      </w:r>
      <w:r w:rsidR="00E73D98" w:rsidRPr="00E73D98">
        <w:t>.</w:t>
      </w:r>
    </w:p>
    <w:p w14:paraId="61A6B2B5" w14:textId="1B4A1738" w:rsidR="00093871" w:rsidRDefault="00093871" w:rsidP="00E73D98">
      <w:r>
        <w:t>En este punto, la reforma laboral ha introducido una nueva regla consistente en la aplicación del convenio colectivo sectorial de la actividad efectivamente desarrollada por parte de la contratista o subcontratista salvo que la misma cuente con un convenio propio</w:t>
      </w:r>
      <w:r w:rsidR="00D82281">
        <w:t xml:space="preserve"> </w:t>
      </w:r>
      <w:r w:rsidR="00CF70A7">
        <w:t>atendiendo</w:t>
      </w:r>
      <w:r w:rsidR="00D82281">
        <w:t xml:space="preserve"> a lo </w:t>
      </w:r>
      <w:r w:rsidR="00CF70A7">
        <w:t>estipulado</w:t>
      </w:r>
      <w:r w:rsidR="00D82281">
        <w:t xml:space="preserve"> en el artículo 84 ET</w:t>
      </w:r>
      <w:r>
        <w:t>. Pese a que el alcance de la misma ha sido menos “ambicioso” del que se esperaba</w:t>
      </w:r>
      <w:r>
        <w:rPr>
          <w:rStyle w:val="Refdenotaalpie"/>
        </w:rPr>
        <w:footnoteReference w:id="37"/>
      </w:r>
      <w:r w:rsidR="00EE59B7">
        <w:t xml:space="preserve">, </w:t>
      </w:r>
      <w:r w:rsidR="000113F7">
        <w:t>en la medida en que</w:t>
      </w:r>
      <w:r w:rsidR="00EE59B7">
        <w:t xml:space="preserve"> se apuntaba </w:t>
      </w:r>
      <w:r w:rsidR="000113F7">
        <w:t>hacía</w:t>
      </w:r>
      <w:r w:rsidR="00EE59B7">
        <w:t xml:space="preserve"> la aplicación del convenio colectivo que correspondería asumir a la empresa principal, la precitada disposición adicional vigesimoséptima establece que “e</w:t>
      </w:r>
      <w:r w:rsidR="00EE59B7" w:rsidRPr="00EE59B7">
        <w:t xml:space="preserve">n los casos de contratas </w:t>
      </w:r>
      <w:r w:rsidR="00EE59B7" w:rsidRPr="00EE59B7">
        <w:lastRenderedPageBreak/>
        <w:t>y subcontratas suscritas con los centros especiales de empleo regulados en el texto refundido de la Ley General de derechos de las personas con discapacidad y de su inclusión social, aprobado por el Real Decreto Legislativo 1/2013, de 29 de noviembre, no será de aplicación el artículo 42.6 del texto refundido de la Ley del Estatuto de los Trabajadores</w:t>
      </w:r>
      <w:r w:rsidR="00EE59B7">
        <w:t>”</w:t>
      </w:r>
      <w:r w:rsidR="00EE59B7" w:rsidRPr="00EE59B7">
        <w:t>.</w:t>
      </w:r>
    </w:p>
    <w:p w14:paraId="42CA4534" w14:textId="685EE0D4" w:rsidR="009E6A1B" w:rsidRDefault="00034732" w:rsidP="00844CFE">
      <w:r>
        <w:t xml:space="preserve">Como de la propia justificación de la reforma se desprende, la motivación de </w:t>
      </w:r>
      <w:r w:rsidR="00CF70A7">
        <w:t>la</w:t>
      </w:r>
      <w:r>
        <w:t xml:space="preserve"> modificación relativa al convenio aplicable </w:t>
      </w:r>
      <w:r w:rsidR="000113F7">
        <w:t xml:space="preserve">en caso de contratas y subcontratas </w:t>
      </w:r>
      <w:r>
        <w:t>tiene carácter tuitivo,</w:t>
      </w:r>
      <w:r w:rsidR="00CF70A7">
        <w:t xml:space="preserve"> estando prevista para</w:t>
      </w:r>
      <w:r>
        <w:t xml:space="preserve"> conseguir “un nivel adecuado de protección a las personas trabajadoras de las subcontratas, en relación con los trabajos que desarrollan”</w:t>
      </w:r>
      <w:r w:rsidR="00844CFE">
        <w:t xml:space="preserve"> así como impedir que se utilice la externalización como mecanismo de reducción de los estándares laborales de las personas que trabajan para las empresas subcontratistas”</w:t>
      </w:r>
      <w:r>
        <w:t>.</w:t>
      </w:r>
      <w:r w:rsidR="00844CFE">
        <w:t xml:space="preserve"> Sin embargo, de estos avances centrados en la “equiparación de condiciones” de trabajo se ven privadas las personas con discapacidad empleadas en </w:t>
      </w:r>
      <w:r w:rsidR="00CF70A7">
        <w:t>CCEE</w:t>
      </w:r>
      <w:r w:rsidR="00844CFE">
        <w:t xml:space="preserve"> sin justificación alguna. </w:t>
      </w:r>
    </w:p>
    <w:p w14:paraId="107CAAE8" w14:textId="2E3177DD" w:rsidR="000113F7" w:rsidRDefault="00D82281" w:rsidP="00844CFE">
      <w:r>
        <w:t xml:space="preserve">No se </w:t>
      </w:r>
      <w:r w:rsidR="00CF70A7">
        <w:t>explicitarán</w:t>
      </w:r>
      <w:r>
        <w:t xml:space="preserve"> en estas líneas los incentivos económicos</w:t>
      </w:r>
      <w:r>
        <w:rPr>
          <w:rStyle w:val="Refdenotaalpie"/>
        </w:rPr>
        <w:footnoteReference w:id="38"/>
      </w:r>
      <w:r>
        <w:t xml:space="preserve"> a los que tienen acceso los </w:t>
      </w:r>
      <w:r w:rsidR="00CF70A7">
        <w:t>CCEE</w:t>
      </w:r>
      <w:r>
        <w:t xml:space="preserve"> por la contratación de personas con discapacidad</w:t>
      </w:r>
      <w:r w:rsidR="00CF70A7">
        <w:t>, notablemente superiores a los de la empresa ordinaria,</w:t>
      </w:r>
      <w:r>
        <w:t xml:space="preserve"> ni tampoco </w:t>
      </w:r>
      <w:r w:rsidR="00CF70A7">
        <w:t>se aducirán</w:t>
      </w:r>
      <w:r>
        <w:t xml:space="preserve"> las condiciones de trabajo de las personas que en ellos se emplean</w:t>
      </w:r>
      <w:r>
        <w:rPr>
          <w:rStyle w:val="Refdenotaalpie"/>
        </w:rPr>
        <w:footnoteReference w:id="39"/>
      </w:r>
      <w:r w:rsidR="00CF70A7">
        <w:t>,</w:t>
      </w:r>
      <w:r>
        <w:t xml:space="preserve"> precisamente por la aplicación de un convenio colectivo sectorial específico para la actividad que desarrollan</w:t>
      </w:r>
      <w:r w:rsidR="00C855DD">
        <w:rPr>
          <w:rStyle w:val="Refdenotaalpie"/>
        </w:rPr>
        <w:footnoteReference w:id="40"/>
      </w:r>
      <w:r>
        <w:t xml:space="preserve">.  Pero sí conviene resaltar la desconexión existente entre la concepción teórica de esta fórmula de empleo y </w:t>
      </w:r>
      <w:r w:rsidR="00CF70A7">
        <w:t>su</w:t>
      </w:r>
      <w:r>
        <w:t xml:space="preserve"> efectividad práctica para entender la impertinencia de la reforma en este punto en particular y en la regulación del empleo selectivo en general. </w:t>
      </w:r>
    </w:p>
    <w:p w14:paraId="61168C23" w14:textId="0E3D3C6C" w:rsidR="000113F7" w:rsidRDefault="00D82281" w:rsidP="00844CFE">
      <w:r>
        <w:t>En efecto, en el terreno práctico estos centros suelen actuar como empresas ordinarias, habiéndose llegado a asimilar sus funciones con las de una Empresa de Trabajo Temporal</w:t>
      </w:r>
      <w:r>
        <w:rPr>
          <w:rStyle w:val="Refdenotaalpie"/>
        </w:rPr>
        <w:footnoteReference w:id="41"/>
      </w:r>
      <w:r>
        <w:t>, sin que</w:t>
      </w:r>
      <w:r w:rsidR="00C855DD">
        <w:t xml:space="preserve"> generalmente</w:t>
      </w:r>
      <w:r>
        <w:t xml:space="preserve"> sirva a los fines para los que están previstos</w:t>
      </w:r>
      <w:r>
        <w:rPr>
          <w:rStyle w:val="Refdenotaalpie"/>
        </w:rPr>
        <w:footnoteReference w:id="42"/>
      </w:r>
      <w:r>
        <w:t xml:space="preserve">, </w:t>
      </w:r>
      <w:r w:rsidRPr="00D82281">
        <w:rPr>
          <w:i/>
          <w:iCs/>
        </w:rPr>
        <w:t xml:space="preserve">id </w:t>
      </w:r>
      <w:proofErr w:type="spellStart"/>
      <w:r w:rsidRPr="00D82281">
        <w:rPr>
          <w:i/>
          <w:iCs/>
        </w:rPr>
        <w:t>est</w:t>
      </w:r>
      <w:proofErr w:type="spellEnd"/>
      <w:r>
        <w:t xml:space="preserve">, una pasarela hacia el empleo ordinario. </w:t>
      </w:r>
      <w:r w:rsidR="00C855DD">
        <w:t>Ciertamente, unas condiciones laborales o incluso salariales particulares –como es el caso</w:t>
      </w:r>
      <w:r w:rsidR="00C855DD">
        <w:sym w:font="Symbol" w:char="F02D"/>
      </w:r>
      <w:r w:rsidR="00C855DD">
        <w:t xml:space="preserve"> podrían estar justificadas en orden a las premisas de la relación laboral de carácter </w:t>
      </w:r>
      <w:r w:rsidR="00C855DD">
        <w:lastRenderedPageBreak/>
        <w:t xml:space="preserve">especial que unen a los </w:t>
      </w:r>
      <w:r w:rsidR="00D92757">
        <w:t>C</w:t>
      </w:r>
      <w:r w:rsidR="00F57264">
        <w:t>CEE</w:t>
      </w:r>
      <w:r w:rsidR="00C855DD">
        <w:t xml:space="preserve"> con las personas trabajadoras con discapacidad</w:t>
      </w:r>
      <w:r w:rsidR="000113F7">
        <w:rPr>
          <w:rStyle w:val="Refdenotaalpie"/>
        </w:rPr>
        <w:footnoteReference w:id="43"/>
      </w:r>
      <w:r w:rsidR="00C855DD">
        <w:t xml:space="preserve"> y que requieren, además de un porcentaje de discapacidad igual o superior al treinta y </w:t>
      </w:r>
      <w:proofErr w:type="gramStart"/>
      <w:r w:rsidR="00C855DD">
        <w:t>tres porciento</w:t>
      </w:r>
      <w:proofErr w:type="gramEnd"/>
      <w:r w:rsidR="00C855DD">
        <w:t>, “</w:t>
      </w:r>
      <w:r w:rsidR="00C855DD" w:rsidRPr="00C855DD">
        <w:t>una disminución de su capacidad en el trabajo al menos igual o superior a dicho porcentaje</w:t>
      </w:r>
      <w:r w:rsidR="00C855DD">
        <w:t>”</w:t>
      </w:r>
      <w:r w:rsidR="00F57264">
        <w:rPr>
          <w:rStyle w:val="Refdenotaalpie"/>
        </w:rPr>
        <w:footnoteReference w:id="44"/>
      </w:r>
      <w:r w:rsidR="00C855DD">
        <w:t>. Sin embargo, esto último ni se verifica ni es posible hacerlo</w:t>
      </w:r>
      <w:r w:rsidR="00C855DD">
        <w:rPr>
          <w:rStyle w:val="Refdenotaalpie"/>
        </w:rPr>
        <w:footnoteReference w:id="45"/>
      </w:r>
      <w:r w:rsidR="00C855DD">
        <w:t xml:space="preserve"> </w:t>
      </w:r>
      <w:r w:rsidR="000113F7">
        <w:t>por lo que los trabajadores con discapacidad empleados en el medio protegido en la práctica podrán desarrollar actividades ordinarias, realizar tareas con una capacidad productiva plena y disfrutar de unas condiciones laborales más precarias que un trabajador sin discapacidad comparable.</w:t>
      </w:r>
    </w:p>
    <w:p w14:paraId="645918B5" w14:textId="5CFBC262" w:rsidR="002D354D" w:rsidRPr="00E13F5F" w:rsidRDefault="000113F7" w:rsidP="00E13F5F">
      <w:r>
        <w:t>Con estos condicionantes prácticos</w:t>
      </w:r>
      <w:r w:rsidR="00046B23">
        <w:t>,</w:t>
      </w:r>
      <w:r>
        <w:t xml:space="preserve"> esta diferenciación legal en cuanto a las condiciones laborales frente a un trabajo de facto análogo, podría quebrar el principio de igualdad.</w:t>
      </w:r>
    </w:p>
    <w:sectPr w:rsidR="002D354D" w:rsidRPr="00E13F5F">
      <w:footerReference w:type="even"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259EB8" w14:textId="77777777" w:rsidR="00A96704" w:rsidRDefault="00A96704" w:rsidP="00E13F5F">
      <w:pPr>
        <w:spacing w:after="0" w:line="240" w:lineRule="auto"/>
      </w:pPr>
      <w:r>
        <w:separator/>
      </w:r>
    </w:p>
  </w:endnote>
  <w:endnote w:type="continuationSeparator" w:id="0">
    <w:p w14:paraId="133E5E90" w14:textId="77777777" w:rsidR="00A96704" w:rsidRDefault="00A96704" w:rsidP="00E13F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536005637"/>
      <w:docPartObj>
        <w:docPartGallery w:val="Page Numbers (Bottom of Page)"/>
        <w:docPartUnique/>
      </w:docPartObj>
    </w:sdtPr>
    <w:sdtEndPr>
      <w:rPr>
        <w:rStyle w:val="Nmerodepgina"/>
      </w:rPr>
    </w:sdtEndPr>
    <w:sdtContent>
      <w:p w14:paraId="53A70C31" w14:textId="65C8A9A1" w:rsidR="00822CE2" w:rsidRDefault="00822CE2" w:rsidP="00B549AC">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776AB4CD" w14:textId="77777777" w:rsidR="00822CE2" w:rsidRDefault="00822CE2" w:rsidP="00822CE2">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254748550"/>
      <w:docPartObj>
        <w:docPartGallery w:val="Page Numbers (Bottom of Page)"/>
        <w:docPartUnique/>
      </w:docPartObj>
    </w:sdtPr>
    <w:sdtEndPr>
      <w:rPr>
        <w:rStyle w:val="Nmerodepgina"/>
      </w:rPr>
    </w:sdtEndPr>
    <w:sdtContent>
      <w:p w14:paraId="0C8E1991" w14:textId="1F195001" w:rsidR="00822CE2" w:rsidRDefault="00822CE2" w:rsidP="00B549AC">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17FE2996" w14:textId="77777777" w:rsidR="00822CE2" w:rsidRDefault="00822CE2" w:rsidP="00822CE2">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CD5DF3" w14:textId="77777777" w:rsidR="00A96704" w:rsidRDefault="00A96704" w:rsidP="00E13F5F">
      <w:pPr>
        <w:spacing w:after="0" w:line="240" w:lineRule="auto"/>
      </w:pPr>
      <w:r>
        <w:separator/>
      </w:r>
    </w:p>
  </w:footnote>
  <w:footnote w:type="continuationSeparator" w:id="0">
    <w:p w14:paraId="7443FD18" w14:textId="77777777" w:rsidR="00A96704" w:rsidRDefault="00A96704" w:rsidP="00E13F5F">
      <w:pPr>
        <w:spacing w:after="0" w:line="240" w:lineRule="auto"/>
      </w:pPr>
      <w:r>
        <w:continuationSeparator/>
      </w:r>
    </w:p>
  </w:footnote>
  <w:footnote w:id="1">
    <w:p w14:paraId="615732C0" w14:textId="3FBE661E" w:rsidR="002C3AD7" w:rsidRPr="002C3AD7" w:rsidRDefault="007F73E0" w:rsidP="002C3AD7">
      <w:pPr>
        <w:pStyle w:val="Textonotapie"/>
        <w:rPr>
          <w:i/>
          <w:iCs/>
        </w:rPr>
      </w:pPr>
      <w:r>
        <w:rPr>
          <w:rStyle w:val="Refdenotaalpie"/>
        </w:rPr>
        <w:footnoteRef/>
      </w:r>
      <w:r>
        <w:t xml:space="preserve"> </w:t>
      </w:r>
      <w:r w:rsidR="00CB5EE5">
        <w:t>En el año 2020</w:t>
      </w:r>
      <w:r w:rsidR="009420AF">
        <w:t xml:space="preserve">, el 89,86% (en términos absolutos: </w:t>
      </w:r>
      <w:r w:rsidR="009420AF" w:rsidRPr="009420AF">
        <w:t>223.285</w:t>
      </w:r>
      <w:r w:rsidR="009420AF">
        <w:t xml:space="preserve">) de los contratos de trabajo suscritos entre empresarios y trabajadores con discapacidad fueron temporales. </w:t>
      </w:r>
      <w:r w:rsidR="002C3AD7">
        <w:t>De entre ellos, el 7,27% (16.235) fueron contratos de fomento del empleo. Vid. SEPE</w:t>
      </w:r>
      <w:r w:rsidR="004A5EDC">
        <w:t>,</w:t>
      </w:r>
      <w:r w:rsidR="002C3AD7">
        <w:t xml:space="preserve"> </w:t>
      </w:r>
      <w:r w:rsidR="002C3AD7" w:rsidRPr="002C3AD7">
        <w:rPr>
          <w:i/>
          <w:iCs/>
        </w:rPr>
        <w:t>Informe del Mercado de Trabajo</w:t>
      </w:r>
    </w:p>
    <w:p w14:paraId="4DA99B0A" w14:textId="3A2FDF65" w:rsidR="007F73E0" w:rsidRPr="002C3AD7" w:rsidRDefault="002C3AD7" w:rsidP="002C3AD7">
      <w:pPr>
        <w:pStyle w:val="Textonotapie"/>
      </w:pPr>
      <w:r w:rsidRPr="002C3AD7">
        <w:rPr>
          <w:i/>
          <w:iCs/>
        </w:rPr>
        <w:t>de las Personas con Discapacidad</w:t>
      </w:r>
      <w:r>
        <w:rPr>
          <w:i/>
          <w:iCs/>
        </w:rPr>
        <w:t xml:space="preserve"> </w:t>
      </w:r>
      <w:r w:rsidRPr="002C3AD7">
        <w:rPr>
          <w:i/>
          <w:iCs/>
        </w:rPr>
        <w:t>Estatal</w:t>
      </w:r>
      <w:r>
        <w:rPr>
          <w:i/>
          <w:iCs/>
        </w:rPr>
        <w:t xml:space="preserve">. </w:t>
      </w:r>
      <w:r w:rsidRPr="002C3AD7">
        <w:rPr>
          <w:i/>
          <w:iCs/>
        </w:rPr>
        <w:t>Datos 2020</w:t>
      </w:r>
      <w:r w:rsidR="004A5EDC">
        <w:rPr>
          <w:i/>
          <w:iCs/>
        </w:rPr>
        <w:t>,</w:t>
      </w:r>
      <w:r>
        <w:rPr>
          <w:i/>
          <w:iCs/>
        </w:rPr>
        <w:t xml:space="preserve"> </w:t>
      </w:r>
      <w:r>
        <w:t>2021. p. 44.</w:t>
      </w:r>
    </w:p>
  </w:footnote>
  <w:footnote w:id="2">
    <w:p w14:paraId="3AC7ACB3" w14:textId="4026E1A8" w:rsidR="00724807" w:rsidRDefault="00724807">
      <w:pPr>
        <w:pStyle w:val="Textonotapie"/>
      </w:pPr>
      <w:r>
        <w:rPr>
          <w:rStyle w:val="Refdenotaalpie"/>
        </w:rPr>
        <w:footnoteRef/>
      </w:r>
      <w:r>
        <w:t xml:space="preserve"> </w:t>
      </w:r>
      <w:r w:rsidRPr="004A5EDC">
        <w:t xml:space="preserve">CERMI, </w:t>
      </w:r>
      <w:r w:rsidRPr="004A5EDC">
        <w:rPr>
          <w:i/>
          <w:iCs/>
        </w:rPr>
        <w:t>Informe de la comisión de inclusión laboral del CERMI sobre las principales novedades y modificaciones operadas por el real decreto-ley 32/2021 (reforma laboral),</w:t>
      </w:r>
      <w:r w:rsidR="004A5EDC">
        <w:t xml:space="preserve"> 2021,</w:t>
      </w:r>
      <w:r>
        <w:t xml:space="preserve"> p. 6 y 7. (</w:t>
      </w:r>
      <w:hyperlink r:id="rId1" w:history="1">
        <w:r w:rsidRPr="00B549AC">
          <w:rPr>
            <w:rStyle w:val="Hipervnculo"/>
          </w:rPr>
          <w:t>http://seman</w:t>
        </w:r>
        <w:r w:rsidRPr="00B549AC">
          <w:rPr>
            <w:rStyle w:val="Hipervnculo"/>
          </w:rPr>
          <w:t>a</w:t>
        </w:r>
        <w:r w:rsidRPr="00B549AC">
          <w:rPr>
            <w:rStyle w:val="Hipervnculo"/>
          </w:rPr>
          <w:t>l.cermi.es/noticia/Informe-Comision-Inclusion-Laboral-CERMI-novedades-modificaciones-Real-Decreto-reforma-labor</w:t>
        </w:r>
        <w:r w:rsidRPr="00B549AC">
          <w:rPr>
            <w:rStyle w:val="Hipervnculo"/>
          </w:rPr>
          <w:t>a</w:t>
        </w:r>
        <w:r w:rsidRPr="00B549AC">
          <w:rPr>
            <w:rStyle w:val="Hipervnculo"/>
          </w:rPr>
          <w:t>l.aspx</w:t>
        </w:r>
      </w:hyperlink>
      <w:r w:rsidR="00FA2844">
        <w:rPr>
          <w:rStyle w:val="Hipervnculo"/>
        </w:rPr>
        <w:t>)</w:t>
      </w:r>
      <w:r>
        <w:t xml:space="preserve">. </w:t>
      </w:r>
      <w:r w:rsidR="000113F7">
        <w:t xml:space="preserve">Esta organización se ha posicionado a favor de la vigencia del mismo. </w:t>
      </w:r>
    </w:p>
  </w:footnote>
  <w:footnote w:id="3">
    <w:p w14:paraId="047FB041" w14:textId="5AB11AB9" w:rsidR="00FC5FDC" w:rsidRDefault="00FC5FDC" w:rsidP="00FC5FDC">
      <w:pPr>
        <w:pStyle w:val="Textonotapie"/>
      </w:pPr>
      <w:r>
        <w:rPr>
          <w:rStyle w:val="Refdenotaalpie"/>
        </w:rPr>
        <w:footnoteRef/>
      </w:r>
      <w:r>
        <w:t xml:space="preserve"> “la simplificación y reordenación de las modalidades de contratación laboral”. </w:t>
      </w:r>
      <w:r w:rsidR="00CB5EE5">
        <w:t>Si bien la intención es loable, en realidad solo se ha suprimido una modalidad contractual: el contrato de obra o servicio determinado.</w:t>
      </w:r>
    </w:p>
  </w:footnote>
  <w:footnote w:id="4">
    <w:p w14:paraId="21B1E21D" w14:textId="7E04F158" w:rsidR="000F119C" w:rsidRDefault="000F119C">
      <w:pPr>
        <w:pStyle w:val="Textonotapie"/>
      </w:pPr>
      <w:r>
        <w:rPr>
          <w:rStyle w:val="Refdenotaalpie"/>
        </w:rPr>
        <w:footnoteRef/>
      </w:r>
      <w:r>
        <w:t xml:space="preserve"> He aquí una modificación importante introducida en el contrato formativo por el </w:t>
      </w:r>
      <w:r w:rsidRPr="000F119C">
        <w:t>RD Ley 32/2021</w:t>
      </w:r>
      <w:r>
        <w:t>, y es que el antiguo contrato en formación</w:t>
      </w:r>
      <w:r w:rsidR="004768CD">
        <w:t xml:space="preserve"> y aprendizaje</w:t>
      </w:r>
      <w:r>
        <w:t xml:space="preserve"> estaba reservado únicamente para </w:t>
      </w:r>
      <w:r w:rsidRPr="000F119C">
        <w:t>mayores de dieciséis y menores de veinticinco años</w:t>
      </w:r>
      <w:r w:rsidR="009E5A62">
        <w:t xml:space="preserve"> (11.2a ET).</w:t>
      </w:r>
    </w:p>
  </w:footnote>
  <w:footnote w:id="5">
    <w:p w14:paraId="56A504BF" w14:textId="189AC96B" w:rsidR="00925A13" w:rsidRDefault="00925A13" w:rsidP="00925A13">
      <w:pPr>
        <w:pStyle w:val="Textonotapie"/>
      </w:pPr>
      <w:r>
        <w:rPr>
          <w:rStyle w:val="Refdenotaalpie"/>
        </w:rPr>
        <w:footnoteRef/>
      </w:r>
      <w:r>
        <w:t xml:space="preserve"> Precisamente este límite de treinta años, fue el que se contuvo en la disposición transitoria novena</w:t>
      </w:r>
      <w:r w:rsidR="00425CB8">
        <w:t xml:space="preserve"> de la</w:t>
      </w:r>
      <w:r>
        <w:t xml:space="preserve"> </w:t>
      </w:r>
      <w:r w:rsidR="00425CB8" w:rsidRPr="00425CB8">
        <w:t>Ley 3/2012, de 6 de julio, de medidas urgentes para la reforma del mercado laboral</w:t>
      </w:r>
      <w:r w:rsidR="00425CB8">
        <w:t xml:space="preserve">, </w:t>
      </w:r>
      <w:r>
        <w:t xml:space="preserve">que </w:t>
      </w:r>
      <w:r w:rsidR="00425CB8">
        <w:t>suprimió</w:t>
      </w:r>
      <w:r>
        <w:t xml:space="preserve"> el límite de veinticinco en el caso de contratos para la formación y el aprendizaje hasta que la tasa de desempleo se situara por debajo del 15 por ciento.</w:t>
      </w:r>
    </w:p>
  </w:footnote>
  <w:footnote w:id="6">
    <w:p w14:paraId="277D83C2" w14:textId="3076C659" w:rsidR="006527F6" w:rsidRDefault="006527F6">
      <w:pPr>
        <w:pStyle w:val="Textonotapie"/>
      </w:pPr>
      <w:r>
        <w:rPr>
          <w:rStyle w:val="Refdenotaalpie"/>
        </w:rPr>
        <w:footnoteRef/>
      </w:r>
      <w:r>
        <w:t xml:space="preserve"> El </w:t>
      </w:r>
      <w:r w:rsidRPr="000F119C">
        <w:t>RD Ley 32/202</w:t>
      </w:r>
      <w:r>
        <w:t xml:space="preserve">1 ha reducido en un año la duración máxima permitida para cada una de estas modalidades. </w:t>
      </w:r>
    </w:p>
  </w:footnote>
  <w:footnote w:id="7">
    <w:p w14:paraId="297D3078" w14:textId="7F33077A" w:rsidR="00C33CD5" w:rsidRDefault="00C33CD5">
      <w:pPr>
        <w:pStyle w:val="Textonotapie"/>
      </w:pPr>
      <w:r>
        <w:rPr>
          <w:rStyle w:val="Refdenotaalpie"/>
        </w:rPr>
        <w:footnoteRef/>
      </w:r>
      <w:r>
        <w:t xml:space="preserve"> </w:t>
      </w:r>
      <w:r w:rsidRPr="00C33CD5">
        <w:t>Que, según la norma, podrá, a su vez, solicitar informe de los equipos técnicos de valoración y orientación de la discapacidad competentes.</w:t>
      </w:r>
    </w:p>
  </w:footnote>
  <w:footnote w:id="8">
    <w:p w14:paraId="478EAE5A" w14:textId="20CC32D6" w:rsidR="00B86753" w:rsidRDefault="00B86753">
      <w:pPr>
        <w:pStyle w:val="Textonotapie"/>
      </w:pPr>
      <w:r>
        <w:rPr>
          <w:rStyle w:val="Refdenotaalpie"/>
        </w:rPr>
        <w:footnoteRef/>
      </w:r>
      <w:r>
        <w:t xml:space="preserve"> Véase el artículo sexto. </w:t>
      </w:r>
    </w:p>
  </w:footnote>
  <w:footnote w:id="9">
    <w:p w14:paraId="2B7F08D4" w14:textId="658BB315" w:rsidR="00B86753" w:rsidRDefault="00B86753">
      <w:pPr>
        <w:pStyle w:val="Textonotapie"/>
      </w:pPr>
      <w:r>
        <w:rPr>
          <w:rStyle w:val="Refdenotaalpie"/>
        </w:rPr>
        <w:footnoteRef/>
      </w:r>
      <w:r>
        <w:t xml:space="preserve"> Se añade la disposición adicional sexta que posibilita la ampliación de la duración contractual hasta cuatro años y introduces particularidades en el proceso formativo. </w:t>
      </w:r>
    </w:p>
  </w:footnote>
  <w:footnote w:id="10">
    <w:p w14:paraId="7A21845C" w14:textId="3BDD2312" w:rsidR="00EA2F80" w:rsidRPr="00595632" w:rsidRDefault="00EA2F80">
      <w:pPr>
        <w:pStyle w:val="Textonotapie"/>
      </w:pPr>
      <w:r>
        <w:rPr>
          <w:rStyle w:val="Refdenotaalpie"/>
        </w:rPr>
        <w:footnoteRef/>
      </w:r>
      <w:r>
        <w:t xml:space="preserve"> </w:t>
      </w:r>
      <w:r w:rsidR="00595632">
        <w:t xml:space="preserve">En aplicación de la nueva regla, siguiendo las reglas de cotización fijadas en el artículo 42 </w:t>
      </w:r>
      <w:r>
        <w:t xml:space="preserve">de la </w:t>
      </w:r>
      <w:r w:rsidRPr="00EA2F80">
        <w:rPr>
          <w:i/>
          <w:iCs/>
        </w:rPr>
        <w:t>Orden PCM/1353/2021, de 2 de diciembre, por la que se desarrollan las normas legales de cotización de la Seguridad Social, desempleo, protección por cese de actividad, Fondo de Garantía Salarial y Formación Profesional para el ejercicio de 2021</w:t>
      </w:r>
      <w:r w:rsidR="00595632">
        <w:rPr>
          <w:i/>
          <w:iCs/>
        </w:rPr>
        <w:t xml:space="preserve">, </w:t>
      </w:r>
      <w:r w:rsidR="005A2B13">
        <w:t>la reducción era de 58,65€ mientras que la bonificación de la cuota empresarial por contingencias comunes asciende a 22,81€.</w:t>
      </w:r>
    </w:p>
  </w:footnote>
  <w:footnote w:id="11">
    <w:p w14:paraId="167D62A2" w14:textId="71F210AD" w:rsidR="000430E0" w:rsidRDefault="000430E0">
      <w:pPr>
        <w:pStyle w:val="Textonotapie"/>
      </w:pPr>
      <w:r>
        <w:rPr>
          <w:rStyle w:val="Refdenotaalpie"/>
        </w:rPr>
        <w:footnoteRef/>
      </w:r>
      <w:r>
        <w:t xml:space="preserve"> </w:t>
      </w:r>
      <w:r w:rsidR="00B86753">
        <w:t>No obstante, s</w:t>
      </w:r>
      <w:r w:rsidRPr="000430E0">
        <w:t xml:space="preserve">egún lo dispuesto en </w:t>
      </w:r>
      <w:r>
        <w:t xml:space="preserve">la </w:t>
      </w:r>
      <w:r w:rsidR="00C307C9">
        <w:t>d</w:t>
      </w:r>
      <w:r>
        <w:t xml:space="preserve">isposición </w:t>
      </w:r>
      <w:r w:rsidR="00C307C9">
        <w:t>t</w:t>
      </w:r>
      <w:r>
        <w:t xml:space="preserve">ransitoria primera </w:t>
      </w:r>
      <w:r w:rsidRPr="000430E0">
        <w:t xml:space="preserve">del </w:t>
      </w:r>
      <w:r w:rsidR="004A5EDC">
        <w:t>RD L</w:t>
      </w:r>
      <w:r w:rsidRPr="000430E0">
        <w:t>ey 32/202</w:t>
      </w:r>
      <w:r>
        <w:t>1, l</w:t>
      </w:r>
      <w:r w:rsidRPr="000430E0">
        <w:t xml:space="preserve">os contratos en prácticas y para la formación y el aprendizaje </w:t>
      </w:r>
      <w:r>
        <w:t>continúan en vigor</w:t>
      </w:r>
      <w:r w:rsidRPr="000430E0">
        <w:t xml:space="preserve"> hasta su duración máxima</w:t>
      </w:r>
      <w:r>
        <w:t>, por lo que seguirá siendo de aplicación estas normas de cotización</w:t>
      </w:r>
      <w:r w:rsidRPr="000430E0">
        <w:t>.</w:t>
      </w:r>
    </w:p>
  </w:footnote>
  <w:footnote w:id="12">
    <w:p w14:paraId="486420E0" w14:textId="769EF035" w:rsidR="000430E0" w:rsidRDefault="000430E0">
      <w:pPr>
        <w:pStyle w:val="Textonotapie"/>
      </w:pPr>
      <w:r>
        <w:rPr>
          <w:rStyle w:val="Refdenotaalpie"/>
        </w:rPr>
        <w:footnoteRef/>
      </w:r>
      <w:r>
        <w:t xml:space="preserve"> O del </w:t>
      </w:r>
      <w:r w:rsidRPr="000430E0">
        <w:t xml:space="preserve">75 por ciento, en el supuesto de que la empresa contratante tenga una plantilla igual o superior a </w:t>
      </w:r>
      <w:r>
        <w:t xml:space="preserve">doscientos cincuenta trabajadores. </w:t>
      </w:r>
    </w:p>
  </w:footnote>
  <w:footnote w:id="13">
    <w:p w14:paraId="632974CB" w14:textId="4C31B1E2" w:rsidR="00546C74" w:rsidRDefault="00546C74">
      <w:pPr>
        <w:pStyle w:val="Textonotapie"/>
      </w:pPr>
      <w:r>
        <w:rPr>
          <w:rStyle w:val="Refdenotaalpie"/>
        </w:rPr>
        <w:footnoteRef/>
      </w:r>
      <w:r>
        <w:t xml:space="preserve"> Establece el reseñado precepto que “a</w:t>
      </w:r>
      <w:r w:rsidRPr="00546C74">
        <w:t xml:space="preserve"> los contratos formativos en alternancia les resultarán de aplicación los beneficios en la cotización a la Seguridad Social que, a la entrada en vigor de esta disposición, estén establecidos para los contratos para la formación y el aprendizaje</w:t>
      </w:r>
      <w:r>
        <w:t>”.</w:t>
      </w:r>
      <w:r w:rsidR="00B86753">
        <w:t xml:space="preserve"> Una solución transitoria similar hubiese sido idónea para que siguiese siendo de aplicación el Real Decreto 1529/2012 al nuevo contrato formativo en alternancia. </w:t>
      </w:r>
    </w:p>
  </w:footnote>
  <w:footnote w:id="14">
    <w:p w14:paraId="29D92804" w14:textId="3EF3B446" w:rsidR="00130C9C" w:rsidRDefault="00130C9C">
      <w:pPr>
        <w:pStyle w:val="Textonotapie"/>
      </w:pPr>
      <w:r>
        <w:rPr>
          <w:rStyle w:val="Refdenotaalpie"/>
        </w:rPr>
        <w:footnoteRef/>
      </w:r>
      <w:r>
        <w:t xml:space="preserve"> La misma se introduce en nuestro ordenamiento en virtud del artículo primero de la </w:t>
      </w:r>
      <w:r w:rsidRPr="00130C9C">
        <w:rPr>
          <w:i/>
          <w:iCs/>
        </w:rPr>
        <w:t>Ley 63/1997, de 26 de diciembre, de Medidas Urgentes para la Mejora del Mercado de Trabajo y el Fomento de la Contratación Indefinida</w:t>
      </w:r>
      <w:r w:rsidR="009D0F06">
        <w:rPr>
          <w:i/>
          <w:iCs/>
        </w:rPr>
        <w:t xml:space="preserve">, </w:t>
      </w:r>
      <w:r w:rsidR="009D0F06">
        <w:t>que modificó el artículo 11 ET</w:t>
      </w:r>
      <w:r w:rsidRPr="00130C9C">
        <w:t>.</w:t>
      </w:r>
    </w:p>
  </w:footnote>
  <w:footnote w:id="15">
    <w:p w14:paraId="223BF0AE" w14:textId="126D0C31" w:rsidR="00A33890" w:rsidRDefault="00A33890">
      <w:pPr>
        <w:pStyle w:val="Textonotapie"/>
      </w:pPr>
      <w:r>
        <w:rPr>
          <w:rStyle w:val="Refdenotaalpie"/>
        </w:rPr>
        <w:footnoteRef/>
      </w:r>
      <w:r>
        <w:t xml:space="preserve"> Véase el preámbulo de la misma. </w:t>
      </w:r>
    </w:p>
  </w:footnote>
  <w:footnote w:id="16">
    <w:p w14:paraId="614145D2" w14:textId="2E35BBFA" w:rsidR="00A33890" w:rsidRDefault="00A33890">
      <w:pPr>
        <w:pStyle w:val="Textonotapie"/>
      </w:pPr>
      <w:r>
        <w:rPr>
          <w:rStyle w:val="Refdenotaalpie"/>
        </w:rPr>
        <w:footnoteRef/>
      </w:r>
      <w:r>
        <w:t xml:space="preserve"> En virtud de la </w:t>
      </w:r>
      <w:r w:rsidR="00C307C9">
        <w:t>d</w:t>
      </w:r>
      <w:r>
        <w:t xml:space="preserve">isposición </w:t>
      </w:r>
      <w:r w:rsidR="00C307C9">
        <w:t>d</w:t>
      </w:r>
      <w:r w:rsidRPr="00A33890">
        <w:t>erogatoria Única del RD</w:t>
      </w:r>
      <w:r>
        <w:t xml:space="preserve"> L</w:t>
      </w:r>
      <w:r w:rsidRPr="00A33890">
        <w:t>ey 32/2021</w:t>
      </w:r>
      <w:r>
        <w:t>.</w:t>
      </w:r>
    </w:p>
  </w:footnote>
  <w:footnote w:id="17">
    <w:p w14:paraId="5A134F62" w14:textId="178401AD" w:rsidR="00A33890" w:rsidRDefault="00A33890">
      <w:pPr>
        <w:pStyle w:val="Textonotapie"/>
      </w:pPr>
      <w:r>
        <w:rPr>
          <w:rStyle w:val="Refdenotaalpie"/>
        </w:rPr>
        <w:footnoteRef/>
      </w:r>
      <w:r>
        <w:t xml:space="preserve"> </w:t>
      </w:r>
      <w:r w:rsidR="00E75262">
        <w:t>Ciertamente esta norma era bastante generosa. Además de las personas con discapacidad se incluían en el artículo segundo a: mayores de cuarenta y cinco años, inscritos como demandante de empleo, quienes no hubieses desarrollado actividad por cuenta ajena de forma habitual o quienes hubiesen abandonado una actividad por cuenta propia con tres meses de antelación y estuviesen inscritos en las oficinas de empleo.</w:t>
      </w:r>
    </w:p>
  </w:footnote>
  <w:footnote w:id="18">
    <w:p w14:paraId="21A9D716" w14:textId="35770E47" w:rsidR="00E75262" w:rsidRDefault="00E75262">
      <w:pPr>
        <w:pStyle w:val="Textonotapie"/>
      </w:pPr>
      <w:r>
        <w:rPr>
          <w:rStyle w:val="Refdenotaalpie"/>
        </w:rPr>
        <w:footnoteRef/>
      </w:r>
      <w:r>
        <w:t xml:space="preserve"> </w:t>
      </w:r>
      <w:r w:rsidR="00616B7E" w:rsidRPr="004B0665">
        <w:t>Véase</w:t>
      </w:r>
      <w:r w:rsidRPr="004B0665">
        <w:t xml:space="preserve"> en este sentido</w:t>
      </w:r>
      <w:r w:rsidR="004B0665">
        <w:t xml:space="preserve"> </w:t>
      </w:r>
      <w:r w:rsidR="004B0665" w:rsidRPr="004B0665">
        <w:t xml:space="preserve">CORDERO GORDILLO, V., </w:t>
      </w:r>
      <w:r w:rsidR="004B0665" w:rsidRPr="004B0665">
        <w:rPr>
          <w:i/>
          <w:iCs/>
        </w:rPr>
        <w:t>Régimen jurídico del empleo de las personas con discapacidad</w:t>
      </w:r>
      <w:r w:rsidR="004B0665" w:rsidRPr="004B0665">
        <w:t>, Tirant lo Blanch, Valencia, 2012</w:t>
      </w:r>
      <w:r w:rsidR="004B0665">
        <w:t>,</w:t>
      </w:r>
      <w:r w:rsidR="004B0665" w:rsidRPr="004B0665">
        <w:t xml:space="preserve"> </w:t>
      </w:r>
      <w:r w:rsidRPr="004B0665">
        <w:t>p. 208</w:t>
      </w:r>
      <w:r w:rsidR="004B0665">
        <w:t>.</w:t>
      </w:r>
    </w:p>
  </w:footnote>
  <w:footnote w:id="19">
    <w:p w14:paraId="6B77B91E" w14:textId="026BC871" w:rsidR="004E11EF" w:rsidRDefault="004E11EF">
      <w:pPr>
        <w:pStyle w:val="Textonotapie"/>
      </w:pPr>
      <w:r>
        <w:rPr>
          <w:rStyle w:val="Refdenotaalpie"/>
        </w:rPr>
        <w:footnoteRef/>
      </w:r>
      <w:r>
        <w:t xml:space="preserve"> Lo que se acometió en las “leyes de acompañamiento” o “leyes de medidas” de los presupuestos de los años 1995, 1996 y 1997.</w:t>
      </w:r>
    </w:p>
  </w:footnote>
  <w:footnote w:id="20">
    <w:p w14:paraId="5A7D07CE" w14:textId="08034768" w:rsidR="004E11EF" w:rsidRDefault="004E11EF">
      <w:pPr>
        <w:pStyle w:val="Textonotapie"/>
      </w:pPr>
      <w:r>
        <w:rPr>
          <w:rStyle w:val="Refdenotaalpie"/>
        </w:rPr>
        <w:footnoteRef/>
      </w:r>
      <w:r>
        <w:t xml:space="preserve"> </w:t>
      </w:r>
      <w:r w:rsidRPr="004B0665">
        <w:t xml:space="preserve">En este sentido, </w:t>
      </w:r>
      <w:r w:rsidR="004B0665" w:rsidRPr="004B0665">
        <w:t xml:space="preserve">CORDERO GORDILLO, V., Régimen… </w:t>
      </w:r>
      <w:proofErr w:type="spellStart"/>
      <w:r w:rsidR="004B0665" w:rsidRPr="004B0665">
        <w:rPr>
          <w:i/>
          <w:iCs/>
        </w:rPr>
        <w:t>op</w:t>
      </w:r>
      <w:proofErr w:type="spellEnd"/>
      <w:r w:rsidR="004B0665" w:rsidRPr="004B0665">
        <w:rPr>
          <w:i/>
          <w:iCs/>
        </w:rPr>
        <w:t>. cit</w:t>
      </w:r>
      <w:r w:rsidR="004B0665" w:rsidRPr="004B0665">
        <w:t>.,</w:t>
      </w:r>
      <w:r w:rsidRPr="004B0665">
        <w:t xml:space="preserve"> p. 209.  Como apunta la autora, este aspecto requería una experiencia laboral previa de la persona</w:t>
      </w:r>
      <w:r>
        <w:t xml:space="preserve"> con discapacidad, dificultando el acceso a esta medida de fomento del empleo a determinadas personas dentro del colectivo que tienen más difícil el acceso al mismo, como pudieran ser personas con discapacidad congénita o con discapacidad intelectual.   </w:t>
      </w:r>
    </w:p>
  </w:footnote>
  <w:footnote w:id="21">
    <w:p w14:paraId="3CFF2F97" w14:textId="4298AA82" w:rsidR="00037E7C" w:rsidRDefault="00037E7C">
      <w:pPr>
        <w:pStyle w:val="Textonotapie"/>
      </w:pPr>
      <w:r>
        <w:rPr>
          <w:rStyle w:val="Refdenotaalpie"/>
        </w:rPr>
        <w:footnoteRef/>
      </w:r>
      <w:r>
        <w:t xml:space="preserve"> No</w:t>
      </w:r>
      <w:r w:rsidR="00B90F1E">
        <w:t>s referimos a una causalidad objetiva, es decir, que en la empresa concurran unos presupuestos objetivos que permitan la contratación. No</w:t>
      </w:r>
      <w:r>
        <w:t xml:space="preserve"> obstante, </w:t>
      </w:r>
      <w:r w:rsidR="00B90F1E">
        <w:t xml:space="preserve">en el contrato temporal del empleo si han de concurrir causas subjetivas que justifican la contratación en lo que </w:t>
      </w:r>
      <w:r>
        <w:t>respect</w:t>
      </w:r>
      <w:r w:rsidR="00B90F1E">
        <w:t>a</w:t>
      </w:r>
      <w:r>
        <w:t xml:space="preserve"> a las personas en riesgo de exclus</w:t>
      </w:r>
      <w:r w:rsidRPr="00B90F1E">
        <w:t>ión</w:t>
      </w:r>
      <w:r>
        <w:t xml:space="preserve"> social, </w:t>
      </w:r>
      <w:r w:rsidR="00B90F1E">
        <w:t>lo que se desprende de la conjunción de varios preceptos. Por un lado,</w:t>
      </w:r>
      <w:r>
        <w:t xml:space="preserve"> el artículo 15.6 de la Ley 44/2007 </w:t>
      </w:r>
      <w:r w:rsidR="00B90F1E">
        <w:t xml:space="preserve">que </w:t>
      </w:r>
      <w:r>
        <w:t xml:space="preserve">excluye de aplicación el apartado primero de la </w:t>
      </w:r>
      <w:r w:rsidR="00C307C9">
        <w:t>d</w:t>
      </w:r>
      <w:r>
        <w:t xml:space="preserve">isposición </w:t>
      </w:r>
      <w:r w:rsidR="00C307C9">
        <w:t>a</w:t>
      </w:r>
      <w:r>
        <w:t xml:space="preserve">dicional primera de la </w:t>
      </w:r>
      <w:r w:rsidRPr="00037E7C">
        <w:t>Ley 43/2006</w:t>
      </w:r>
      <w:r>
        <w:t xml:space="preserve">, el cual exonera para la celebración del contrato la causa de </w:t>
      </w:r>
      <w:r w:rsidRPr="004B0665">
        <w:t>temporalidad</w:t>
      </w:r>
      <w:r w:rsidR="00B90F1E" w:rsidRPr="004B0665">
        <w:t xml:space="preserve">. Por otro, el apartado segundo del precitado artículo 15 del cual se desprende al precisar </w:t>
      </w:r>
      <w:r w:rsidRPr="004B0665">
        <w:t>el objeto del contrato</w:t>
      </w:r>
      <w:r w:rsidR="00B90F1E" w:rsidRPr="004B0665">
        <w:t xml:space="preserve"> que la justificación subjetiva </w:t>
      </w:r>
      <w:r w:rsidRPr="004B0665">
        <w:t xml:space="preserve">del mismo </w:t>
      </w:r>
      <w:r w:rsidR="00B90F1E" w:rsidRPr="004B0665">
        <w:t>se encuentra en</w:t>
      </w:r>
      <w:r w:rsidRPr="004B0665">
        <w:t xml:space="preserve"> el itinerario de inserción personalizado al que debe quedar sujeto el trabajador</w:t>
      </w:r>
      <w:r w:rsidR="00553081" w:rsidRPr="004B0665">
        <w:t xml:space="preserve"> (lo mismo ocurriría con los contratos formativos)</w:t>
      </w:r>
      <w:r w:rsidR="00B90F1E" w:rsidRPr="004B0665">
        <w:t>. Si bien el contrato temporal de fomento del empleo para personas con discapacidad exige un requisito subjetivo, la discapacidad, su celebración no se vincula a ninguna justificación.</w:t>
      </w:r>
    </w:p>
  </w:footnote>
  <w:footnote w:id="22">
    <w:p w14:paraId="19ABDDBF" w14:textId="0E43BF15" w:rsidR="00037E7C" w:rsidRDefault="00037E7C">
      <w:pPr>
        <w:pStyle w:val="Textonotapie"/>
      </w:pPr>
      <w:r>
        <w:rPr>
          <w:rStyle w:val="Refdenotaalpie"/>
        </w:rPr>
        <w:footnoteRef/>
      </w:r>
      <w:r>
        <w:t xml:space="preserve"> Dispone el apartado primero de la </w:t>
      </w:r>
      <w:r w:rsidR="00C307C9">
        <w:t>d</w:t>
      </w:r>
      <w:r>
        <w:t xml:space="preserve">isposición </w:t>
      </w:r>
      <w:r w:rsidR="00C307C9">
        <w:t>a</w:t>
      </w:r>
      <w:r>
        <w:t xml:space="preserve">dicional primera de la </w:t>
      </w:r>
      <w:r w:rsidRPr="00037E7C">
        <w:t>Ley 43/2006</w:t>
      </w:r>
      <w:r>
        <w:t xml:space="preserve"> que “l</w:t>
      </w:r>
      <w:r w:rsidRPr="00037E7C">
        <w:t>as empresas podrán contratar temporalmente para la realización de sus actividades, cualquiera que fuere la naturaleza de las mismas, a trabajadores con discapacidad desempleados inscritos en la Oficina de Empleo</w:t>
      </w:r>
      <w:r>
        <w:t>…”.</w:t>
      </w:r>
    </w:p>
  </w:footnote>
  <w:footnote w:id="23">
    <w:p w14:paraId="3AE55F2A" w14:textId="403B261C" w:rsidR="00037E7C" w:rsidRPr="00C307C9" w:rsidRDefault="00037E7C" w:rsidP="00C307C9">
      <w:pPr>
        <w:pStyle w:val="Textonotapie"/>
      </w:pPr>
      <w:r>
        <w:rPr>
          <w:rStyle w:val="Refdenotaalpie"/>
        </w:rPr>
        <w:footnoteRef/>
      </w:r>
      <w:r>
        <w:t xml:space="preserve"> </w:t>
      </w:r>
      <w:r w:rsidR="00C307C9">
        <w:t xml:space="preserve">Téngase presente que la discapacidad se concibe como una relación causal entre déficits de salud y barreras sociales, quedando conceptuada la misma en términos jurídicos en la </w:t>
      </w:r>
      <w:r w:rsidR="00C307C9" w:rsidRPr="00C307C9">
        <w:t>Convención Internacional sobre los Derechos de las Personas con Discapacidad</w:t>
      </w:r>
      <w:r w:rsidR="00C307C9">
        <w:t xml:space="preserve"> del año 2006 de la Organización de Naciones Unidas, definiendo en su artículo primero que “las personas con discapacidad incluyen a aquellas que tengan deficiencias físicas, mentales, intelectuales o sensoriales a largo plazo que, al interactuar con diversas barreras, puedan impedir su participación plena y efectiva en la sociedad, en igualdad de condiciones con las demás”. En términos casi idénticos se traslada esta definición al artículo 4.1 del </w:t>
      </w:r>
      <w:r w:rsidR="00C307C9" w:rsidRPr="00C307C9">
        <w:rPr>
          <w:i/>
          <w:iCs/>
        </w:rPr>
        <w:t>Real Decreto Legislativo 1/2013, de 29 de noviembre, por el que se aprueba el Texto Refundido de la Ley General de derechos de las personas con discapacidad y de su inclusión social</w:t>
      </w:r>
      <w:r w:rsidR="00C307C9" w:rsidRPr="004B0665">
        <w:rPr>
          <w:i/>
          <w:iCs/>
        </w:rPr>
        <w:t xml:space="preserve">. </w:t>
      </w:r>
      <w:r w:rsidR="00C307C9" w:rsidRPr="004B0665">
        <w:t xml:space="preserve">En este sentido, </w:t>
      </w:r>
      <w:r w:rsidR="00553081" w:rsidRPr="004B0665">
        <w:t xml:space="preserve">como manifestamos en </w:t>
      </w:r>
      <w:r w:rsidR="004B0665" w:rsidRPr="004B0665">
        <w:t xml:space="preserve">RUEDA MONROY, J.A., </w:t>
      </w:r>
      <w:r w:rsidR="004B0665" w:rsidRPr="004B0665">
        <w:rPr>
          <w:i/>
          <w:iCs/>
        </w:rPr>
        <w:t>La reserva de empleo para las personas con discapacidad en España. Consideraciones y propuestas desde el modelo relacional de la discapacidad</w:t>
      </w:r>
      <w:r w:rsidR="004B0665" w:rsidRPr="004B0665">
        <w:t xml:space="preserve">, </w:t>
      </w:r>
      <w:proofErr w:type="spellStart"/>
      <w:r w:rsidR="004B0665" w:rsidRPr="004B0665">
        <w:t>Laborum</w:t>
      </w:r>
      <w:proofErr w:type="spellEnd"/>
      <w:r w:rsidR="004B0665" w:rsidRPr="004B0665">
        <w:t xml:space="preserve">, Murcia, 2021, </w:t>
      </w:r>
      <w:r w:rsidR="00553081" w:rsidRPr="004B0665">
        <w:t xml:space="preserve">pp. 129-130: </w:t>
      </w:r>
      <w:r w:rsidR="00C307C9" w:rsidRPr="004B0665">
        <w:t>las medidas de acción positiv</w:t>
      </w:r>
      <w:r w:rsidR="00553081" w:rsidRPr="004B0665">
        <w:t>a “</w:t>
      </w:r>
      <w:r w:rsidR="00553081" w:rsidRPr="00553081">
        <w:t>han de tener como meta la eliminación de las diferencias entre colectivos mediante el</w:t>
      </w:r>
      <w:r w:rsidR="00553081">
        <w:t xml:space="preserve"> </w:t>
      </w:r>
      <w:r w:rsidR="00553081" w:rsidRPr="00553081">
        <w:t>reequilibrio de la desventaja social y estructural que poseen, o lo que es lo mismo, procurando la eliminación de las barreras físicas y sociales existentes en el entorno</w:t>
      </w:r>
      <w:r w:rsidR="00553081">
        <w:t>”.</w:t>
      </w:r>
    </w:p>
  </w:footnote>
  <w:footnote w:id="24">
    <w:p w14:paraId="5CECDCC8" w14:textId="3E0D6D77" w:rsidR="00C307C9" w:rsidRDefault="00C307C9">
      <w:pPr>
        <w:pStyle w:val="Textonotapie"/>
      </w:pPr>
      <w:r>
        <w:rPr>
          <w:rStyle w:val="Refdenotaalpie"/>
        </w:rPr>
        <w:footnoteRef/>
      </w:r>
      <w:r>
        <w:t xml:space="preserve"> Apartado 2 de la disposición adicional primera de la </w:t>
      </w:r>
      <w:r w:rsidRPr="00C307C9">
        <w:t>Ley 43/2006</w:t>
      </w:r>
      <w:r>
        <w:t>.</w:t>
      </w:r>
    </w:p>
  </w:footnote>
  <w:footnote w:id="25">
    <w:p w14:paraId="5B32F8D6" w14:textId="4E0DCDE3" w:rsidR="00C307C9" w:rsidRDefault="00C307C9">
      <w:pPr>
        <w:pStyle w:val="Textonotapie"/>
      </w:pPr>
      <w:r>
        <w:rPr>
          <w:rStyle w:val="Refdenotaalpie"/>
        </w:rPr>
        <w:footnoteRef/>
      </w:r>
      <w:r>
        <w:t xml:space="preserve"> Apartado 3 de la disposición adicional primera de la </w:t>
      </w:r>
      <w:r w:rsidRPr="00C307C9">
        <w:t>Ley 43/2006</w:t>
      </w:r>
      <w:r>
        <w:t>.</w:t>
      </w:r>
    </w:p>
  </w:footnote>
  <w:footnote w:id="26">
    <w:p w14:paraId="5A25154E" w14:textId="6FB2E913" w:rsidR="00822CE2" w:rsidRDefault="00822CE2">
      <w:pPr>
        <w:pStyle w:val="Textonotapie"/>
      </w:pPr>
      <w:r>
        <w:rPr>
          <w:rStyle w:val="Refdenotaalpie"/>
        </w:rPr>
        <w:footnoteRef/>
      </w:r>
      <w:r>
        <w:t xml:space="preserve"> Curiosamente esta compatibilidad no se permite en casos de bonificaciones de cuotas por contratación indefinida, estableciendo el artículo 2.2.3) de la Ley 43/2006 lo siguiente: “</w:t>
      </w:r>
      <w:r w:rsidRPr="00822CE2">
        <w:t>Si el trabajador con discapacidad tiene en el momento de la contratación 45 o más años o si se trata de una mujer, la bonificación que corresponda de acuerdo con los números anteriores, se incrementará, respectivamente, en 100 euros/mes (1200 euros/año) o en 70,83 euros/mes (850 euros/año), sin que los incrementos establecidos en este número sean compatibles entre sí</w:t>
      </w:r>
      <w:r>
        <w:t>”. Esta previsión ha merecido la crítica por parte del CERMI</w:t>
      </w:r>
      <w:r w:rsidR="00553081">
        <w:t xml:space="preserve">, </w:t>
      </w:r>
      <w:r>
        <w:t>ha</w:t>
      </w:r>
      <w:r w:rsidR="00553081">
        <w:t>biendo</w:t>
      </w:r>
      <w:r>
        <w:t xml:space="preserve"> recomendado hacer compatible esta bonificación en ambos casos. Véase en este sentido, </w:t>
      </w:r>
      <w:r w:rsidRPr="004B0665">
        <w:t xml:space="preserve">CERMI, </w:t>
      </w:r>
      <w:r w:rsidRPr="004B0665">
        <w:rPr>
          <w:i/>
          <w:iCs/>
        </w:rPr>
        <w:t>Estrategia global de acción para el empleo de personas con discapacidad 2007-2008</w:t>
      </w:r>
      <w:r w:rsidRPr="004B0665">
        <w:t xml:space="preserve">. Propuesta </w:t>
      </w:r>
      <w:proofErr w:type="spellStart"/>
      <w:r w:rsidRPr="004B0665">
        <w:t>Cermi</w:t>
      </w:r>
      <w:proofErr w:type="spellEnd"/>
      <w:r w:rsidRPr="004B0665">
        <w:t>, Cinca, Madrid, 2007, p. 129</w:t>
      </w:r>
      <w:r w:rsidR="00553081" w:rsidRPr="004B0665">
        <w:t>.</w:t>
      </w:r>
    </w:p>
  </w:footnote>
  <w:footnote w:id="27">
    <w:p w14:paraId="2CD24F8C" w14:textId="18CAC6DD" w:rsidR="00822CE2" w:rsidRDefault="00822CE2">
      <w:pPr>
        <w:pStyle w:val="Textonotapie"/>
      </w:pPr>
      <w:r>
        <w:rPr>
          <w:rStyle w:val="Refdenotaalpie"/>
        </w:rPr>
        <w:footnoteRef/>
      </w:r>
      <w:r>
        <w:t xml:space="preserve"> Dispone el artículo 7.1 de la citada norma que “l</w:t>
      </w:r>
      <w:r w:rsidRPr="00822CE2">
        <w:t>as empresas que contraten por tiempo indefinido y a jornada completa a trabajadores minusválidos tendrán derecho a una subvención de 3.907 euros por cada contrato de trabajo celebrado</w:t>
      </w:r>
      <w:r>
        <w:t>”. En caso de contratación a tiempo parcial esta subvención será reducida proporcionalmente según la jornada pactada en virtud del mismo precepto reglamentario. No obstante, e</w:t>
      </w:r>
      <w:r w:rsidRPr="00822CE2">
        <w:t>n virtud del artículo 10 de la norma reglamentaria que nos ocupa, la subvención queda supeditada al mantenimiento en el empleo de la persona con discapacidad contratada por un mínimo de tres años</w:t>
      </w:r>
      <w:r>
        <w:t xml:space="preserve">, por lo que habrá que entender como </w:t>
      </w:r>
      <w:proofErr w:type="spellStart"/>
      <w:r w:rsidRPr="00822CE2">
        <w:rPr>
          <w:i/>
          <w:iCs/>
        </w:rPr>
        <w:t>dies</w:t>
      </w:r>
      <w:proofErr w:type="spellEnd"/>
      <w:r w:rsidRPr="00822CE2">
        <w:rPr>
          <w:i/>
          <w:iCs/>
        </w:rPr>
        <w:t xml:space="preserve"> a quo</w:t>
      </w:r>
      <w:r>
        <w:t xml:space="preserve"> de dicho plazo el de la transformación en indefinida de la relación laboral</w:t>
      </w:r>
      <w:r w:rsidRPr="00822CE2">
        <w:t>.</w:t>
      </w:r>
    </w:p>
  </w:footnote>
  <w:footnote w:id="28">
    <w:p w14:paraId="57E9CD11" w14:textId="7D03F586" w:rsidR="00914207" w:rsidRPr="00823127" w:rsidRDefault="00914207">
      <w:pPr>
        <w:pStyle w:val="Textonotapie"/>
      </w:pPr>
      <w:r>
        <w:rPr>
          <w:rStyle w:val="Refdenotaalpie"/>
        </w:rPr>
        <w:footnoteRef/>
      </w:r>
      <w:r>
        <w:t xml:space="preserve"> </w:t>
      </w:r>
      <w:r w:rsidRPr="00823127">
        <w:t>Véase Rueda Monroy</w:t>
      </w:r>
      <w:r w:rsidR="00823127" w:rsidRPr="00823127">
        <w:t xml:space="preserve">, J.A., </w:t>
      </w:r>
      <w:r w:rsidR="00823127" w:rsidRPr="00823127">
        <w:rPr>
          <w:i/>
          <w:iCs/>
        </w:rPr>
        <w:t>La reserva</w:t>
      </w:r>
      <w:r w:rsidR="00823127" w:rsidRPr="00823127">
        <w:t xml:space="preserve">… </w:t>
      </w:r>
      <w:proofErr w:type="spellStart"/>
      <w:r w:rsidR="00823127" w:rsidRPr="00823127">
        <w:rPr>
          <w:i/>
          <w:iCs/>
        </w:rPr>
        <w:t>op</w:t>
      </w:r>
      <w:proofErr w:type="spellEnd"/>
      <w:r w:rsidR="00823127" w:rsidRPr="00823127">
        <w:rPr>
          <w:i/>
          <w:iCs/>
        </w:rPr>
        <w:t>. cit</w:t>
      </w:r>
      <w:r w:rsidR="00823127" w:rsidRPr="00823127">
        <w:t>., pp.</w:t>
      </w:r>
      <w:r w:rsidRPr="00823127">
        <w:t xml:space="preserve"> 163 y ss. </w:t>
      </w:r>
    </w:p>
  </w:footnote>
  <w:footnote w:id="29">
    <w:p w14:paraId="1FBF64DF" w14:textId="05777D0E" w:rsidR="00914207" w:rsidRPr="00823127" w:rsidRDefault="00914207">
      <w:pPr>
        <w:pStyle w:val="Textonotapie"/>
      </w:pPr>
      <w:r w:rsidRPr="00823127">
        <w:rPr>
          <w:rStyle w:val="Refdenotaalpie"/>
        </w:rPr>
        <w:footnoteRef/>
      </w:r>
      <w:r w:rsidRPr="00823127">
        <w:t xml:space="preserve"> LAHERA FORTEZA, J., “Acceso al mercado laboral y contratación de los discapacitados”, en AA. VV. (VALDÉS DAL-RE, F. Dir.) </w:t>
      </w:r>
      <w:r w:rsidRPr="00FA2844">
        <w:rPr>
          <w:i/>
          <w:iCs/>
        </w:rPr>
        <w:t>Relaciones Laborales de las personas con discapacid</w:t>
      </w:r>
      <w:r w:rsidRPr="00823127">
        <w:t>ad, Biblioteca Nueva, Madrid, 2005, pp. 89-140, p. 115.</w:t>
      </w:r>
    </w:p>
  </w:footnote>
  <w:footnote w:id="30">
    <w:p w14:paraId="4435649E" w14:textId="1318F87E" w:rsidR="00914207" w:rsidRDefault="00914207">
      <w:pPr>
        <w:pStyle w:val="Textonotapie"/>
      </w:pPr>
      <w:r w:rsidRPr="00823127">
        <w:rPr>
          <w:rStyle w:val="Refdenotaalpie"/>
        </w:rPr>
        <w:footnoteRef/>
      </w:r>
      <w:r w:rsidRPr="00823127">
        <w:t xml:space="preserve"> </w:t>
      </w:r>
      <w:r w:rsidR="00823127" w:rsidRPr="00823127">
        <w:t xml:space="preserve">Rueda Monroy, J.A., </w:t>
      </w:r>
      <w:r w:rsidR="00823127" w:rsidRPr="00823127">
        <w:rPr>
          <w:i/>
          <w:iCs/>
        </w:rPr>
        <w:t>La reserva</w:t>
      </w:r>
      <w:r w:rsidR="00823127" w:rsidRPr="00823127">
        <w:t xml:space="preserve">… </w:t>
      </w:r>
      <w:proofErr w:type="spellStart"/>
      <w:r w:rsidR="00823127" w:rsidRPr="00823127">
        <w:rPr>
          <w:i/>
          <w:iCs/>
        </w:rPr>
        <w:t>op</w:t>
      </w:r>
      <w:proofErr w:type="spellEnd"/>
      <w:r w:rsidR="00823127" w:rsidRPr="00823127">
        <w:rPr>
          <w:i/>
          <w:iCs/>
        </w:rPr>
        <w:t>. cit.,</w:t>
      </w:r>
      <w:r w:rsidR="00823127" w:rsidRPr="00823127">
        <w:t xml:space="preserve"> </w:t>
      </w:r>
      <w:r w:rsidRPr="00823127">
        <w:t>p. 165</w:t>
      </w:r>
      <w:r w:rsidR="00823127" w:rsidRPr="00823127">
        <w:t>.</w:t>
      </w:r>
    </w:p>
  </w:footnote>
  <w:footnote w:id="31">
    <w:p w14:paraId="212CB3F2" w14:textId="1628D6F4" w:rsidR="00227352" w:rsidRDefault="00227352">
      <w:pPr>
        <w:pStyle w:val="Textonotapie"/>
      </w:pPr>
      <w:r>
        <w:rPr>
          <w:rStyle w:val="Refdenotaalpie"/>
        </w:rPr>
        <w:footnoteRef/>
      </w:r>
      <w:r>
        <w:t xml:space="preserve"> Apartado 3 de la d</w:t>
      </w:r>
      <w:r w:rsidRPr="00227352">
        <w:t xml:space="preserve">isposición </w:t>
      </w:r>
      <w:r>
        <w:t>d</w:t>
      </w:r>
      <w:r w:rsidRPr="00227352">
        <w:t xml:space="preserve">erogatoria </w:t>
      </w:r>
      <w:r>
        <w:t>ú</w:t>
      </w:r>
      <w:r w:rsidRPr="00227352">
        <w:t xml:space="preserve">nica del </w:t>
      </w:r>
      <w:r>
        <w:t>RD Ley</w:t>
      </w:r>
      <w:r w:rsidRPr="00227352">
        <w:t xml:space="preserve"> 32/2021</w:t>
      </w:r>
      <w:r>
        <w:t>.</w:t>
      </w:r>
    </w:p>
  </w:footnote>
  <w:footnote w:id="32">
    <w:p w14:paraId="17170D35" w14:textId="793B5262" w:rsidR="00DB6FA2" w:rsidRDefault="00DB6FA2">
      <w:pPr>
        <w:pStyle w:val="Textonotapie"/>
      </w:pPr>
      <w:r>
        <w:rPr>
          <w:rStyle w:val="Refdenotaalpie"/>
        </w:rPr>
        <w:footnoteRef/>
      </w:r>
      <w:r>
        <w:t xml:space="preserve"> En la propia exposición de motivos de la reforma se expresa la intención el Gobierno de que “</w:t>
      </w:r>
      <w:r w:rsidRPr="00DB6FA2">
        <w:t>el contrato temporal tenga un origen exclusivamente causal</w:t>
      </w:r>
      <w:r>
        <w:t>”.</w:t>
      </w:r>
    </w:p>
  </w:footnote>
  <w:footnote w:id="33">
    <w:p w14:paraId="593F4839" w14:textId="58DFF7DE" w:rsidR="00EA1376" w:rsidRDefault="00EA1376">
      <w:pPr>
        <w:pStyle w:val="Textonotapie"/>
      </w:pPr>
      <w:r>
        <w:rPr>
          <w:rStyle w:val="Refdenotaalpie"/>
        </w:rPr>
        <w:footnoteRef/>
      </w:r>
      <w:r>
        <w:t xml:space="preserve"> En este sentido, </w:t>
      </w:r>
      <w:r w:rsidR="00FA2844" w:rsidRPr="004A5EDC">
        <w:t xml:space="preserve">CERMI, </w:t>
      </w:r>
      <w:r w:rsidR="00FA2844" w:rsidRPr="004A5EDC">
        <w:rPr>
          <w:i/>
          <w:iCs/>
        </w:rPr>
        <w:t>Informe</w:t>
      </w:r>
      <w:r w:rsidR="00FA2844">
        <w:rPr>
          <w:i/>
          <w:iCs/>
        </w:rPr>
        <w:t xml:space="preserve">… </w:t>
      </w:r>
      <w:proofErr w:type="spellStart"/>
      <w:r w:rsidR="00FA2844">
        <w:rPr>
          <w:i/>
          <w:iCs/>
        </w:rPr>
        <w:t>op</w:t>
      </w:r>
      <w:proofErr w:type="spellEnd"/>
      <w:r w:rsidR="00FA2844">
        <w:rPr>
          <w:i/>
          <w:iCs/>
        </w:rPr>
        <w:t>. cit</w:t>
      </w:r>
      <w:r w:rsidR="00FA2844" w:rsidRPr="00FA2844">
        <w:rPr>
          <w:i/>
          <w:iCs/>
        </w:rPr>
        <w:t>.</w:t>
      </w:r>
      <w:r w:rsidR="00FA2844" w:rsidRPr="00FA2844">
        <w:rPr>
          <w:i/>
          <w:iCs/>
        </w:rPr>
        <w:t xml:space="preserve"> </w:t>
      </w:r>
      <w:r w:rsidRPr="00FA2844">
        <w:t>p.6</w:t>
      </w:r>
      <w:r w:rsidR="00FA2844" w:rsidRPr="00FA2844">
        <w:t>.</w:t>
      </w:r>
    </w:p>
  </w:footnote>
  <w:footnote w:id="34">
    <w:p w14:paraId="0B0AB1FC" w14:textId="560F4117" w:rsidR="00EA1376" w:rsidRDefault="00EA1376">
      <w:pPr>
        <w:pStyle w:val="Textonotapie"/>
      </w:pPr>
      <w:r>
        <w:rPr>
          <w:rStyle w:val="Refdenotaalpie"/>
        </w:rPr>
        <w:footnoteRef/>
      </w:r>
      <w:r>
        <w:t xml:space="preserve"> Lo que se puede deducir de la redacción del artículo 14.1 ET al establecer lo siguiente: “e</w:t>
      </w:r>
      <w:r w:rsidRPr="00EA1376">
        <w:t xml:space="preserve">n el supuesto de los </w:t>
      </w:r>
      <w:r w:rsidRPr="00EA1376">
        <w:rPr>
          <w:i/>
          <w:iCs/>
        </w:rPr>
        <w:t>contratos temporales de duración determinada</w:t>
      </w:r>
      <w:r w:rsidRPr="00EA1376">
        <w:t xml:space="preserve"> del artículo 15 concertados</w:t>
      </w:r>
      <w:r>
        <w:t>…”.</w:t>
      </w:r>
    </w:p>
  </w:footnote>
  <w:footnote w:id="35">
    <w:p w14:paraId="66694800" w14:textId="05071FA8" w:rsidR="00EA1376" w:rsidRDefault="00EA1376">
      <w:pPr>
        <w:pStyle w:val="Textonotapie"/>
      </w:pPr>
      <w:r>
        <w:rPr>
          <w:rStyle w:val="Refdenotaalpie"/>
        </w:rPr>
        <w:footnoteRef/>
      </w:r>
      <w:r>
        <w:t xml:space="preserve"> Otros </w:t>
      </w:r>
      <w:r w:rsidR="00744ACD">
        <w:t>ejemplos</w:t>
      </w:r>
      <w:r>
        <w:t xml:space="preserve"> en el propio ET</w:t>
      </w:r>
      <w:r w:rsidR="00744ACD">
        <w:t xml:space="preserve">, los </w:t>
      </w:r>
      <w:r w:rsidR="008A53E2">
        <w:t>artículos</w:t>
      </w:r>
      <w:r>
        <w:t xml:space="preserve"> </w:t>
      </w:r>
      <w:r w:rsidR="00DB6FA2">
        <w:t>15.7, 15.8</w:t>
      </w:r>
      <w:r w:rsidR="00744ACD">
        <w:t xml:space="preserve"> o </w:t>
      </w:r>
      <w:r>
        <w:t>33.2</w:t>
      </w:r>
      <w:r w:rsidR="008A53E2">
        <w:t xml:space="preserve">. En el </w:t>
      </w:r>
      <w:r w:rsidR="008A53E2" w:rsidRPr="008A53E2">
        <w:rPr>
          <w:i/>
          <w:iCs/>
        </w:rPr>
        <w:t>Real Decreto Legislativo 5/2000, de 4 de agosto, por el que se aprueba el texto refundido de la Ley sobre Infracciones y Sanciones en el Orden Social</w:t>
      </w:r>
      <w:r w:rsidR="008A53E2">
        <w:t>, entre otros, el artículo 7.2.</w:t>
      </w:r>
    </w:p>
  </w:footnote>
  <w:footnote w:id="36">
    <w:p w14:paraId="0BB91C10" w14:textId="1E4081D9" w:rsidR="00DB6FA2" w:rsidRPr="00FA2844" w:rsidRDefault="00DB6FA2" w:rsidP="00DB6FA2">
      <w:pPr>
        <w:pStyle w:val="Textonotapie"/>
      </w:pPr>
      <w:r>
        <w:rPr>
          <w:rStyle w:val="Refdenotaalpie"/>
        </w:rPr>
        <w:footnoteRef/>
      </w:r>
      <w:r>
        <w:t xml:space="preserve"> </w:t>
      </w:r>
      <w:r w:rsidRPr="00FA2844">
        <w:t xml:space="preserve">Véase en este sentido, </w:t>
      </w:r>
      <w:r w:rsidR="00FA2844" w:rsidRPr="00FA2844">
        <w:t>TARDÍO PATO, J.A.</w:t>
      </w:r>
      <w:r w:rsidRPr="00FA2844">
        <w:t xml:space="preserve">, </w:t>
      </w:r>
      <w:r w:rsidR="00FA2844" w:rsidRPr="00FA2844">
        <w:t>“</w:t>
      </w:r>
      <w:r w:rsidRPr="00FA2844">
        <w:t>El principio de especialidad normativa (</w:t>
      </w:r>
      <w:proofErr w:type="spellStart"/>
      <w:r w:rsidRPr="00FA2844">
        <w:t>lex</w:t>
      </w:r>
      <w:proofErr w:type="spellEnd"/>
      <w:r w:rsidRPr="00FA2844">
        <w:t xml:space="preserve"> </w:t>
      </w:r>
      <w:proofErr w:type="spellStart"/>
      <w:r w:rsidRPr="00FA2844">
        <w:t>specialis</w:t>
      </w:r>
      <w:proofErr w:type="spellEnd"/>
      <w:r w:rsidRPr="00FA2844">
        <w:t>) y sus aplicaciones jurisprudenciales</w:t>
      </w:r>
      <w:r w:rsidR="00FA2844" w:rsidRPr="00FA2844">
        <w:t>”</w:t>
      </w:r>
      <w:r w:rsidRPr="00FA2844">
        <w:t xml:space="preserve">, </w:t>
      </w:r>
      <w:r w:rsidRPr="00FA2844">
        <w:rPr>
          <w:i/>
          <w:iCs/>
        </w:rPr>
        <w:t xml:space="preserve">Revista de administración pública </w:t>
      </w:r>
      <w:r w:rsidR="00FA2844" w:rsidRPr="00FA2844">
        <w:rPr>
          <w:i/>
          <w:iCs/>
        </w:rPr>
        <w:t>n</w:t>
      </w:r>
      <w:r w:rsidRPr="00FA2844">
        <w:rPr>
          <w:i/>
          <w:iCs/>
        </w:rPr>
        <w:t>úm. 162</w:t>
      </w:r>
      <w:r w:rsidR="00FA2844" w:rsidRPr="00FA2844">
        <w:t>, pp</w:t>
      </w:r>
      <w:r w:rsidRPr="00FA2844">
        <w:t>. 189-225</w:t>
      </w:r>
      <w:r w:rsidR="00FA2844" w:rsidRPr="00FA2844">
        <w:t>, 2003,</w:t>
      </w:r>
      <w:r w:rsidRPr="00FA2844">
        <w:t xml:space="preserve"> pp. 207 y ss.</w:t>
      </w:r>
    </w:p>
  </w:footnote>
  <w:footnote w:id="37">
    <w:p w14:paraId="464FA15F" w14:textId="53FCF4AB" w:rsidR="00093871" w:rsidRDefault="00093871">
      <w:pPr>
        <w:pStyle w:val="Textonotapie"/>
      </w:pPr>
      <w:r w:rsidRPr="00FA2844">
        <w:rPr>
          <w:rStyle w:val="Refdenotaalpie"/>
        </w:rPr>
        <w:footnoteRef/>
      </w:r>
      <w:r w:rsidRPr="00FA2844">
        <w:t xml:space="preserve"> </w:t>
      </w:r>
      <w:r w:rsidR="00FA2844" w:rsidRPr="00FA2844">
        <w:t>NORES TORRES</w:t>
      </w:r>
      <w:r>
        <w:t xml:space="preserve">, </w:t>
      </w:r>
      <w:r w:rsidR="00FA2844">
        <w:t>L.E. “</w:t>
      </w:r>
      <w:r w:rsidRPr="00093871">
        <w:t>La reforma del Art. 42 ET en el RDL 32/2021, de 28 de diciembre</w:t>
      </w:r>
      <w:r w:rsidR="00FA2844">
        <w:t>”</w:t>
      </w:r>
      <w:r>
        <w:t xml:space="preserve">, </w:t>
      </w:r>
      <w:proofErr w:type="spellStart"/>
      <w:r w:rsidRPr="00093871">
        <w:rPr>
          <w:i/>
          <w:iCs/>
        </w:rPr>
        <w:t>Labos</w:t>
      </w:r>
      <w:proofErr w:type="spellEnd"/>
      <w:r w:rsidRPr="00093871">
        <w:t xml:space="preserve">, </w:t>
      </w:r>
      <w:r w:rsidRPr="00FA2844">
        <w:rPr>
          <w:i/>
          <w:iCs/>
        </w:rPr>
        <w:t>Vol. 3, Número extraordinario ‘La reforma laboral de 2021’</w:t>
      </w:r>
      <w:r w:rsidRPr="00093871">
        <w:t>,</w:t>
      </w:r>
      <w:r w:rsidR="00FA2844">
        <w:t xml:space="preserve"> 2022,</w:t>
      </w:r>
      <w:r w:rsidRPr="00093871">
        <w:t xml:space="preserve"> pp. 73-8</w:t>
      </w:r>
      <w:r>
        <w:t>p. 76</w:t>
      </w:r>
    </w:p>
  </w:footnote>
  <w:footnote w:id="38">
    <w:p w14:paraId="7B62E89A" w14:textId="5C8B3158" w:rsidR="00D82281" w:rsidRDefault="00D82281">
      <w:pPr>
        <w:pStyle w:val="Textonotapie"/>
      </w:pPr>
      <w:r>
        <w:rPr>
          <w:rStyle w:val="Refdenotaalpie"/>
        </w:rPr>
        <w:footnoteRef/>
      </w:r>
      <w:r>
        <w:t xml:space="preserve"> </w:t>
      </w:r>
      <w:r w:rsidR="00CF70A7">
        <w:t xml:space="preserve">Verbigracia, las bonificaciones del </w:t>
      </w:r>
      <w:r w:rsidR="00CF70A7" w:rsidRPr="00CF70A7">
        <w:t>100 por 100 de la cuota empresarial a la Seguridad Social</w:t>
      </w:r>
      <w:r w:rsidR="00CF70A7">
        <w:t xml:space="preserve"> por la contratación indefinida o temporal contempladas en el artículo 2.3 de la Ley 43/2006.</w:t>
      </w:r>
    </w:p>
  </w:footnote>
  <w:footnote w:id="39">
    <w:p w14:paraId="14AB2875" w14:textId="2EABB99B" w:rsidR="00D82281" w:rsidRDefault="00D82281">
      <w:pPr>
        <w:pStyle w:val="Textonotapie"/>
      </w:pPr>
      <w:r>
        <w:rPr>
          <w:rStyle w:val="Refdenotaalpie"/>
        </w:rPr>
        <w:footnoteRef/>
      </w:r>
      <w:r>
        <w:t xml:space="preserve"> </w:t>
      </w:r>
      <w:r w:rsidR="000113F7">
        <w:t>Lo que ha sido puesto de relieve incluso por l</w:t>
      </w:r>
      <w:r w:rsidR="000113F7" w:rsidRPr="000113F7">
        <w:t xml:space="preserve">a </w:t>
      </w:r>
      <w:r w:rsidR="000113F7">
        <w:t>r</w:t>
      </w:r>
      <w:r w:rsidR="000113F7" w:rsidRPr="000113F7">
        <w:t xml:space="preserve">ed </w:t>
      </w:r>
      <w:r w:rsidR="000113F7">
        <w:t>a</w:t>
      </w:r>
      <w:r w:rsidR="000113F7" w:rsidRPr="000113F7">
        <w:t xml:space="preserve">cadémica de </w:t>
      </w:r>
      <w:r w:rsidR="000113F7">
        <w:t>e</w:t>
      </w:r>
      <w:r w:rsidR="000113F7" w:rsidRPr="000113F7">
        <w:t xml:space="preserve">xpertos en </w:t>
      </w:r>
      <w:r w:rsidR="000113F7">
        <w:t>d</w:t>
      </w:r>
      <w:r w:rsidR="000113F7" w:rsidRPr="000113F7">
        <w:t>iscapacidad (ANED) en el informe “</w:t>
      </w:r>
      <w:proofErr w:type="spellStart"/>
      <w:r w:rsidR="000113F7" w:rsidRPr="000113F7">
        <w:t>Report</w:t>
      </w:r>
      <w:proofErr w:type="spellEnd"/>
      <w:r w:rsidR="000113F7" w:rsidRPr="000113F7">
        <w:t xml:space="preserve"> </w:t>
      </w:r>
      <w:proofErr w:type="spellStart"/>
      <w:r w:rsidR="000113F7" w:rsidRPr="000113F7">
        <w:t>on</w:t>
      </w:r>
      <w:proofErr w:type="spellEnd"/>
      <w:r w:rsidR="000113F7" w:rsidRPr="000113F7">
        <w:t xml:space="preserve"> </w:t>
      </w:r>
      <w:proofErr w:type="spellStart"/>
      <w:r w:rsidR="000113F7" w:rsidRPr="000113F7">
        <w:t>the</w:t>
      </w:r>
      <w:proofErr w:type="spellEnd"/>
      <w:r w:rsidR="000113F7" w:rsidRPr="000113F7">
        <w:t xml:space="preserve"> </w:t>
      </w:r>
      <w:proofErr w:type="spellStart"/>
      <w:r w:rsidR="000113F7" w:rsidRPr="000113F7">
        <w:t>employment</w:t>
      </w:r>
      <w:proofErr w:type="spellEnd"/>
      <w:r w:rsidR="000113F7" w:rsidRPr="000113F7">
        <w:t xml:space="preserve"> of </w:t>
      </w:r>
      <w:proofErr w:type="spellStart"/>
      <w:r w:rsidR="000113F7" w:rsidRPr="000113F7">
        <w:t>disabled</w:t>
      </w:r>
      <w:proofErr w:type="spellEnd"/>
      <w:r w:rsidR="000113F7" w:rsidRPr="000113F7">
        <w:t xml:space="preserve"> </w:t>
      </w:r>
      <w:proofErr w:type="spellStart"/>
      <w:r w:rsidR="000113F7" w:rsidRPr="000113F7">
        <w:t>people</w:t>
      </w:r>
      <w:proofErr w:type="spellEnd"/>
      <w:r w:rsidR="000113F7" w:rsidRPr="000113F7">
        <w:t xml:space="preserve"> in </w:t>
      </w:r>
      <w:proofErr w:type="spellStart"/>
      <w:r w:rsidR="000113F7" w:rsidRPr="000113F7">
        <w:t>European</w:t>
      </w:r>
      <w:proofErr w:type="spellEnd"/>
      <w:r w:rsidR="000113F7" w:rsidRPr="000113F7">
        <w:t xml:space="preserve"> </w:t>
      </w:r>
      <w:proofErr w:type="spellStart"/>
      <w:r w:rsidR="000113F7" w:rsidRPr="000113F7">
        <w:t>countries</w:t>
      </w:r>
      <w:proofErr w:type="spellEnd"/>
      <w:r w:rsidR="000113F7" w:rsidRPr="000113F7">
        <w:t>”</w:t>
      </w:r>
      <w:r w:rsidR="000113F7">
        <w:t xml:space="preserve">. </w:t>
      </w:r>
      <w:proofErr w:type="spellStart"/>
      <w:r w:rsidR="000113F7">
        <w:t>Vease</w:t>
      </w:r>
      <w:proofErr w:type="spellEnd"/>
      <w:r w:rsidR="000113F7">
        <w:t xml:space="preserve"> </w:t>
      </w:r>
      <w:r w:rsidR="000113F7" w:rsidRPr="000113F7">
        <w:t xml:space="preserve">ANED, </w:t>
      </w:r>
      <w:proofErr w:type="spellStart"/>
      <w:r w:rsidR="000113F7" w:rsidRPr="000113F7">
        <w:t>Report</w:t>
      </w:r>
      <w:proofErr w:type="spellEnd"/>
      <w:r w:rsidR="000113F7" w:rsidRPr="000113F7">
        <w:t xml:space="preserve"> </w:t>
      </w:r>
      <w:proofErr w:type="spellStart"/>
      <w:r w:rsidR="000113F7" w:rsidRPr="000113F7">
        <w:t>on</w:t>
      </w:r>
      <w:proofErr w:type="spellEnd"/>
      <w:r w:rsidR="000113F7" w:rsidRPr="000113F7">
        <w:t xml:space="preserve"> </w:t>
      </w:r>
      <w:proofErr w:type="spellStart"/>
      <w:r w:rsidR="000113F7" w:rsidRPr="000113F7">
        <w:t>the</w:t>
      </w:r>
      <w:proofErr w:type="spellEnd"/>
      <w:r w:rsidR="000113F7" w:rsidRPr="000113F7">
        <w:t xml:space="preserve"> </w:t>
      </w:r>
      <w:proofErr w:type="spellStart"/>
      <w:r w:rsidR="000113F7" w:rsidRPr="000113F7">
        <w:t>employment</w:t>
      </w:r>
      <w:proofErr w:type="spellEnd"/>
      <w:r w:rsidR="000113F7" w:rsidRPr="000113F7">
        <w:t xml:space="preserve"> of </w:t>
      </w:r>
      <w:proofErr w:type="spellStart"/>
      <w:r w:rsidR="000113F7" w:rsidRPr="000113F7">
        <w:t>disabled</w:t>
      </w:r>
      <w:proofErr w:type="spellEnd"/>
      <w:r w:rsidR="000113F7" w:rsidRPr="000113F7">
        <w:t xml:space="preserve"> </w:t>
      </w:r>
      <w:proofErr w:type="spellStart"/>
      <w:r w:rsidR="000113F7" w:rsidRPr="000113F7">
        <w:t>people</w:t>
      </w:r>
      <w:proofErr w:type="spellEnd"/>
      <w:r w:rsidR="000113F7" w:rsidRPr="000113F7">
        <w:t xml:space="preserve"> in </w:t>
      </w:r>
      <w:proofErr w:type="spellStart"/>
      <w:r w:rsidR="000113F7" w:rsidRPr="000113F7">
        <w:t>European</w:t>
      </w:r>
      <w:proofErr w:type="spellEnd"/>
      <w:r w:rsidR="000113F7" w:rsidRPr="000113F7">
        <w:t xml:space="preserve"> </w:t>
      </w:r>
      <w:proofErr w:type="spellStart"/>
      <w:r w:rsidR="000113F7" w:rsidRPr="000113F7">
        <w:t>countries</w:t>
      </w:r>
      <w:proofErr w:type="spellEnd"/>
      <w:r w:rsidR="000113F7" w:rsidRPr="000113F7">
        <w:t xml:space="preserve">, </w:t>
      </w:r>
      <w:proofErr w:type="spellStart"/>
      <w:r w:rsidR="000113F7" w:rsidRPr="000113F7">
        <w:t>Aned</w:t>
      </w:r>
      <w:proofErr w:type="spellEnd"/>
      <w:r w:rsidR="000113F7" w:rsidRPr="000113F7">
        <w:t>, 2007, p. 7 (https://sid.usal.es/idocs/F8/FDO26329/Employment_report_%20I_Spain.pdf)</w:t>
      </w:r>
    </w:p>
  </w:footnote>
  <w:footnote w:id="40">
    <w:p w14:paraId="7234D91E" w14:textId="0B37E04A" w:rsidR="00C855DD" w:rsidRDefault="00C855DD">
      <w:pPr>
        <w:pStyle w:val="Textonotapie"/>
      </w:pPr>
      <w:r>
        <w:rPr>
          <w:rStyle w:val="Refdenotaalpie"/>
        </w:rPr>
        <w:footnoteRef/>
      </w:r>
      <w:r>
        <w:t xml:space="preserve"> </w:t>
      </w:r>
      <w:r w:rsidRPr="00C855DD">
        <w:t>XV Convenio colectivo general de centros y servicios de atención a personas con discapacidad.</w:t>
      </w:r>
    </w:p>
  </w:footnote>
  <w:footnote w:id="41">
    <w:p w14:paraId="25E5472D" w14:textId="2A4315CB" w:rsidR="00D82281" w:rsidRDefault="00D82281">
      <w:pPr>
        <w:pStyle w:val="Textonotapie"/>
      </w:pPr>
      <w:r>
        <w:rPr>
          <w:rStyle w:val="Refdenotaalpie"/>
        </w:rPr>
        <w:footnoteRef/>
      </w:r>
      <w:r>
        <w:t xml:space="preserve"> </w:t>
      </w:r>
      <w:r w:rsidRPr="00D82281">
        <w:t>LLANO SÁNCHEZ, M., “El enclave laboral. Puntos críticos de una nueva herramienta de responsabilidad social corporativa”, en AA. VV. (VALDÉS DAL-RE, F. Dir.)</w:t>
      </w:r>
      <w:r w:rsidR="00FA2844">
        <w:t>,</w:t>
      </w:r>
      <w:r w:rsidRPr="00D82281">
        <w:t xml:space="preserve"> </w:t>
      </w:r>
      <w:r w:rsidRPr="00FA2844">
        <w:rPr>
          <w:i/>
          <w:iCs/>
        </w:rPr>
        <w:t>Relaciones Laborales de las personas con discapacidad</w:t>
      </w:r>
      <w:r w:rsidRPr="00D82281">
        <w:t>, Biblioteca Nueva, Madrid, 2005, pág. 148</w:t>
      </w:r>
      <w:r>
        <w:t>.</w:t>
      </w:r>
    </w:p>
  </w:footnote>
  <w:footnote w:id="42">
    <w:p w14:paraId="283BE058" w14:textId="6F9E462C" w:rsidR="00D82281" w:rsidRDefault="00D82281">
      <w:pPr>
        <w:pStyle w:val="Textonotapie"/>
      </w:pPr>
      <w:r>
        <w:rPr>
          <w:rStyle w:val="Refdenotaalpie"/>
        </w:rPr>
        <w:footnoteRef/>
      </w:r>
      <w:r>
        <w:t xml:space="preserve"> </w:t>
      </w:r>
      <w:r w:rsidRPr="00D82281">
        <w:t xml:space="preserve">GAZTELU SAN PÍO, C., “Acción positiva, acceso y ajustes razonables para personas con discapacidad en el entorno laboral”, en AA. VV. (PÉREZ BUENO, L. C., </w:t>
      </w:r>
      <w:proofErr w:type="spellStart"/>
      <w:r w:rsidRPr="00D82281">
        <w:t>dir.</w:t>
      </w:r>
      <w:proofErr w:type="spellEnd"/>
      <w:r w:rsidRPr="00D82281">
        <w:t xml:space="preserve">), </w:t>
      </w:r>
      <w:r w:rsidRPr="00FA2844">
        <w:rPr>
          <w:i/>
          <w:iCs/>
        </w:rPr>
        <w:t>2003-2012: 10 años de legislación sobre no discriminación de personas con discapacidad en España</w:t>
      </w:r>
      <w:r w:rsidRPr="00D82281">
        <w:t>, CERMI, Madrid, 2012</w:t>
      </w:r>
      <w:r>
        <w:t>, p. 310</w:t>
      </w:r>
      <w:r w:rsidRPr="00D82281">
        <w:t xml:space="preserve"> </w:t>
      </w:r>
      <w:r w:rsidR="00FA2844">
        <w:t>(</w:t>
      </w:r>
      <w:hyperlink r:id="rId2" w:history="1">
        <w:r w:rsidR="00FA2844" w:rsidRPr="00B549AC">
          <w:rPr>
            <w:rStyle w:val="Hipervnculo"/>
          </w:rPr>
          <w:t>http://riberdis.cedd.net/handle/11181/4274</w:t>
        </w:r>
      </w:hyperlink>
      <w:r w:rsidR="00FA2844">
        <w:rPr>
          <w:rStyle w:val="Hipervnculo"/>
        </w:rPr>
        <w:t>)</w:t>
      </w:r>
      <w:r>
        <w:t>.</w:t>
      </w:r>
    </w:p>
  </w:footnote>
  <w:footnote w:id="43">
    <w:p w14:paraId="5EA7500E" w14:textId="01185C89" w:rsidR="000113F7" w:rsidRDefault="000113F7">
      <w:pPr>
        <w:pStyle w:val="Textonotapie"/>
      </w:pPr>
      <w:r>
        <w:rPr>
          <w:rStyle w:val="Refdenotaalpie"/>
        </w:rPr>
        <w:footnoteRef/>
      </w:r>
      <w:r>
        <w:t xml:space="preserve"> En relación con esta distinción de condiciones y su justificación, véase la </w:t>
      </w:r>
      <w:r w:rsidRPr="000113F7">
        <w:t>S</w:t>
      </w:r>
      <w:r>
        <w:t xml:space="preserve">entencia del </w:t>
      </w:r>
      <w:r w:rsidRPr="000113F7">
        <w:t>T</w:t>
      </w:r>
      <w:r>
        <w:t xml:space="preserve">ribunal </w:t>
      </w:r>
      <w:r w:rsidRPr="000113F7">
        <w:t>S</w:t>
      </w:r>
      <w:r>
        <w:t>upremo, de</w:t>
      </w:r>
      <w:r w:rsidRPr="000113F7">
        <w:t xml:space="preserve"> 6 de febrero 2020 (</w:t>
      </w:r>
      <w:proofErr w:type="spellStart"/>
      <w:r w:rsidRPr="000113F7">
        <w:t>rec.</w:t>
      </w:r>
      <w:proofErr w:type="spellEnd"/>
      <w:r w:rsidRPr="000113F7">
        <w:t xml:space="preserve"> 646/2017)</w:t>
      </w:r>
      <w:r>
        <w:t xml:space="preserve">. </w:t>
      </w:r>
    </w:p>
  </w:footnote>
  <w:footnote w:id="44">
    <w:p w14:paraId="6FE392FC" w14:textId="1B526EE1" w:rsidR="00F57264" w:rsidRDefault="00F57264">
      <w:pPr>
        <w:pStyle w:val="Textonotapie"/>
      </w:pPr>
      <w:r>
        <w:rPr>
          <w:rStyle w:val="Refdenotaalpie"/>
        </w:rPr>
        <w:footnoteRef/>
      </w:r>
      <w:r>
        <w:t xml:space="preserve"> Art. 2.2 del </w:t>
      </w:r>
      <w:r w:rsidRPr="00F57264">
        <w:rPr>
          <w:i/>
          <w:iCs/>
        </w:rPr>
        <w:t>Real Decreto 1368/1985, de 17 de julio, por el que se regula la relación laboral de carácter especial de los minusválidos que trabajen en los Centros Especiales de Empleo</w:t>
      </w:r>
      <w:r w:rsidRPr="00F57264">
        <w:t>.</w:t>
      </w:r>
    </w:p>
  </w:footnote>
  <w:footnote w:id="45">
    <w:p w14:paraId="0FD2F9A5" w14:textId="726264D7" w:rsidR="00C855DD" w:rsidRDefault="00C855DD">
      <w:pPr>
        <w:pStyle w:val="Textonotapie"/>
      </w:pPr>
      <w:r>
        <w:rPr>
          <w:rStyle w:val="Refdenotaalpie"/>
        </w:rPr>
        <w:footnoteRef/>
      </w:r>
      <w:r>
        <w:t xml:space="preserve"> </w:t>
      </w:r>
      <w:r w:rsidRPr="00C855DD">
        <w:t>Estamos ante un requisito imposible de controlar</w:t>
      </w:r>
      <w:r>
        <w:t>, por lo que</w:t>
      </w:r>
      <w:r w:rsidRPr="00C855DD">
        <w:t xml:space="preserve"> “en la práctica no se ha tenido en cuenta la incidencia del menoscabo en la capacidad real del trabajador</w:t>
      </w:r>
      <w:r>
        <w:t>”</w:t>
      </w:r>
      <w:r w:rsidRPr="00C855DD">
        <w:t xml:space="preserve">. Vid. </w:t>
      </w:r>
      <w:r w:rsidR="00FA2844" w:rsidRPr="00FA2844">
        <w:t>ESTEBAN LEGARRETA, R.</w:t>
      </w:r>
      <w:r w:rsidR="00FA2844">
        <w:t>,</w:t>
      </w:r>
      <w:r w:rsidR="00FA2844" w:rsidRPr="00FA2844">
        <w:t xml:space="preserve"> </w:t>
      </w:r>
      <w:r w:rsidR="00FA2844" w:rsidRPr="00FA2844">
        <w:rPr>
          <w:i/>
          <w:iCs/>
        </w:rPr>
        <w:t>Contrato de trabajo y discapacidad</w:t>
      </w:r>
      <w:r w:rsidR="00FA2844" w:rsidRPr="00FA2844">
        <w:t xml:space="preserve">, </w:t>
      </w:r>
      <w:proofErr w:type="spellStart"/>
      <w:r w:rsidR="00FA2844" w:rsidRPr="00FA2844">
        <w:t>Ibidem</w:t>
      </w:r>
      <w:proofErr w:type="spellEnd"/>
      <w:r w:rsidR="00FA2844" w:rsidRPr="00FA2844">
        <w:t>, Madrid, 1999,</w:t>
      </w:r>
      <w:r w:rsidR="00FA2844">
        <w:t xml:space="preserve"> </w:t>
      </w:r>
      <w:r w:rsidRPr="00FA2844">
        <w:t>p. 285.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1D3388"/>
    <w:multiLevelType w:val="hybridMultilevel"/>
    <w:tmpl w:val="4D80B206"/>
    <w:lvl w:ilvl="0" w:tplc="C55630AA">
      <w:start w:val="1"/>
      <w:numFmt w:val="decimal"/>
      <w:pStyle w:val="Ttulo2"/>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0"/>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2730"/>
    <w:rsid w:val="000113F7"/>
    <w:rsid w:val="00030457"/>
    <w:rsid w:val="00034732"/>
    <w:rsid w:val="00037E7C"/>
    <w:rsid w:val="000416D3"/>
    <w:rsid w:val="000430E0"/>
    <w:rsid w:val="00046B23"/>
    <w:rsid w:val="00072FF6"/>
    <w:rsid w:val="00093871"/>
    <w:rsid w:val="000B2DE9"/>
    <w:rsid w:val="000E53F2"/>
    <w:rsid w:val="000E58AD"/>
    <w:rsid w:val="000F119C"/>
    <w:rsid w:val="000F549E"/>
    <w:rsid w:val="0010549F"/>
    <w:rsid w:val="00110D7C"/>
    <w:rsid w:val="00130C9C"/>
    <w:rsid w:val="00137241"/>
    <w:rsid w:val="00150152"/>
    <w:rsid w:val="00156729"/>
    <w:rsid w:val="001B3F2E"/>
    <w:rsid w:val="001C4024"/>
    <w:rsid w:val="001D0FAD"/>
    <w:rsid w:val="001D2D04"/>
    <w:rsid w:val="001E48D5"/>
    <w:rsid w:val="001E765C"/>
    <w:rsid w:val="00227352"/>
    <w:rsid w:val="00234DED"/>
    <w:rsid w:val="002559B5"/>
    <w:rsid w:val="0028275B"/>
    <w:rsid w:val="00283A0F"/>
    <w:rsid w:val="002C3AD7"/>
    <w:rsid w:val="002D354D"/>
    <w:rsid w:val="00372730"/>
    <w:rsid w:val="00373133"/>
    <w:rsid w:val="00390B9E"/>
    <w:rsid w:val="003B17AA"/>
    <w:rsid w:val="003B42B5"/>
    <w:rsid w:val="003E4D85"/>
    <w:rsid w:val="00425615"/>
    <w:rsid w:val="00425CB8"/>
    <w:rsid w:val="00452D98"/>
    <w:rsid w:val="00464264"/>
    <w:rsid w:val="0047156F"/>
    <w:rsid w:val="004768CD"/>
    <w:rsid w:val="00484151"/>
    <w:rsid w:val="004927A1"/>
    <w:rsid w:val="00492BE0"/>
    <w:rsid w:val="004A5EDC"/>
    <w:rsid w:val="004B0665"/>
    <w:rsid w:val="004E11EF"/>
    <w:rsid w:val="00531DB8"/>
    <w:rsid w:val="0054311A"/>
    <w:rsid w:val="00546C74"/>
    <w:rsid w:val="00553081"/>
    <w:rsid w:val="00563E11"/>
    <w:rsid w:val="00576673"/>
    <w:rsid w:val="00594EDA"/>
    <w:rsid w:val="00595632"/>
    <w:rsid w:val="005973EB"/>
    <w:rsid w:val="005A01B0"/>
    <w:rsid w:val="005A1F6E"/>
    <w:rsid w:val="005A2B13"/>
    <w:rsid w:val="005E126A"/>
    <w:rsid w:val="005F0C21"/>
    <w:rsid w:val="005F4A47"/>
    <w:rsid w:val="00616B7E"/>
    <w:rsid w:val="006527F6"/>
    <w:rsid w:val="006561AA"/>
    <w:rsid w:val="006655CC"/>
    <w:rsid w:val="006668E5"/>
    <w:rsid w:val="00686A8E"/>
    <w:rsid w:val="006D2583"/>
    <w:rsid w:val="006E2B63"/>
    <w:rsid w:val="006E2F22"/>
    <w:rsid w:val="00724807"/>
    <w:rsid w:val="007400BA"/>
    <w:rsid w:val="00744ACD"/>
    <w:rsid w:val="007452FF"/>
    <w:rsid w:val="007F73E0"/>
    <w:rsid w:val="007F76A1"/>
    <w:rsid w:val="00822CE2"/>
    <w:rsid w:val="00823127"/>
    <w:rsid w:val="00835122"/>
    <w:rsid w:val="0084248D"/>
    <w:rsid w:val="00844CFE"/>
    <w:rsid w:val="00845094"/>
    <w:rsid w:val="0087118F"/>
    <w:rsid w:val="008A53E2"/>
    <w:rsid w:val="008B74D0"/>
    <w:rsid w:val="00914207"/>
    <w:rsid w:val="00925A13"/>
    <w:rsid w:val="009365C1"/>
    <w:rsid w:val="009420AF"/>
    <w:rsid w:val="00953964"/>
    <w:rsid w:val="009577DD"/>
    <w:rsid w:val="00963054"/>
    <w:rsid w:val="009833AB"/>
    <w:rsid w:val="009906E0"/>
    <w:rsid w:val="00990DFD"/>
    <w:rsid w:val="009D0F06"/>
    <w:rsid w:val="009E5A62"/>
    <w:rsid w:val="009E64B8"/>
    <w:rsid w:val="009E6A1B"/>
    <w:rsid w:val="00A222B7"/>
    <w:rsid w:val="00A33890"/>
    <w:rsid w:val="00A6043E"/>
    <w:rsid w:val="00A65A87"/>
    <w:rsid w:val="00A8502D"/>
    <w:rsid w:val="00A96704"/>
    <w:rsid w:val="00AE4709"/>
    <w:rsid w:val="00AF2BF2"/>
    <w:rsid w:val="00B1657E"/>
    <w:rsid w:val="00B86753"/>
    <w:rsid w:val="00B86B98"/>
    <w:rsid w:val="00B90F1E"/>
    <w:rsid w:val="00BD1B57"/>
    <w:rsid w:val="00BF3BC6"/>
    <w:rsid w:val="00BF4F54"/>
    <w:rsid w:val="00C0730D"/>
    <w:rsid w:val="00C307C9"/>
    <w:rsid w:val="00C33CD5"/>
    <w:rsid w:val="00C3703D"/>
    <w:rsid w:val="00C40A35"/>
    <w:rsid w:val="00C6200E"/>
    <w:rsid w:val="00C651F9"/>
    <w:rsid w:val="00C71488"/>
    <w:rsid w:val="00C855DD"/>
    <w:rsid w:val="00CA4D1F"/>
    <w:rsid w:val="00CB0555"/>
    <w:rsid w:val="00CB5EE5"/>
    <w:rsid w:val="00CD22B7"/>
    <w:rsid w:val="00CE32F1"/>
    <w:rsid w:val="00CF70A7"/>
    <w:rsid w:val="00D25B05"/>
    <w:rsid w:val="00D31BF0"/>
    <w:rsid w:val="00D336AF"/>
    <w:rsid w:val="00D82281"/>
    <w:rsid w:val="00D868F5"/>
    <w:rsid w:val="00D92757"/>
    <w:rsid w:val="00DB6FA2"/>
    <w:rsid w:val="00DC624E"/>
    <w:rsid w:val="00E13F5F"/>
    <w:rsid w:val="00E5093A"/>
    <w:rsid w:val="00E547E9"/>
    <w:rsid w:val="00E63D2C"/>
    <w:rsid w:val="00E73D98"/>
    <w:rsid w:val="00E75262"/>
    <w:rsid w:val="00E927CA"/>
    <w:rsid w:val="00EA1376"/>
    <w:rsid w:val="00EA2F80"/>
    <w:rsid w:val="00EB6C29"/>
    <w:rsid w:val="00EE59B7"/>
    <w:rsid w:val="00F237A2"/>
    <w:rsid w:val="00F30B2F"/>
    <w:rsid w:val="00F319AF"/>
    <w:rsid w:val="00F57264"/>
    <w:rsid w:val="00F754D4"/>
    <w:rsid w:val="00F808B9"/>
    <w:rsid w:val="00FA2844"/>
    <w:rsid w:val="00FC5FDC"/>
    <w:rsid w:val="00FE6D2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A1167"/>
  <w15:docId w15:val="{DC77CF69-CF2C-4C68-A88E-ED8FB67A6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2730"/>
    <w:pPr>
      <w:jc w:val="both"/>
    </w:pPr>
    <w:rPr>
      <w:rFonts w:ascii="Arial" w:hAnsi="Arial"/>
      <w:sz w:val="24"/>
    </w:rPr>
  </w:style>
  <w:style w:type="paragraph" w:styleId="Ttulo1">
    <w:name w:val="heading 1"/>
    <w:basedOn w:val="Normal"/>
    <w:next w:val="Normal"/>
    <w:link w:val="Ttulo1Car"/>
    <w:uiPriority w:val="9"/>
    <w:qFormat/>
    <w:rsid w:val="00E13F5F"/>
    <w:pPr>
      <w:keepNext/>
      <w:keepLines/>
      <w:spacing w:before="480" w:after="0"/>
      <w:jc w:val="center"/>
      <w:outlineLvl w:val="0"/>
    </w:pPr>
    <w:rPr>
      <w:rFonts w:eastAsiaTheme="majorEastAsia" w:cstheme="majorBidi"/>
      <w:b/>
      <w:bCs/>
      <w:caps/>
      <w:sz w:val="28"/>
      <w:szCs w:val="28"/>
    </w:rPr>
  </w:style>
  <w:style w:type="paragraph" w:styleId="Ttulo2">
    <w:name w:val="heading 2"/>
    <w:basedOn w:val="Normal"/>
    <w:next w:val="Normal"/>
    <w:link w:val="Ttulo2Car"/>
    <w:uiPriority w:val="9"/>
    <w:unhideWhenUsed/>
    <w:qFormat/>
    <w:rsid w:val="00E13F5F"/>
    <w:pPr>
      <w:keepNext/>
      <w:keepLines/>
      <w:numPr>
        <w:numId w:val="1"/>
      </w:numPr>
      <w:spacing w:after="240"/>
      <w:outlineLvl w:val="1"/>
    </w:pPr>
    <w:rPr>
      <w:rFonts w:eastAsiaTheme="majorEastAsia" w:cstheme="majorBidi"/>
      <w:b/>
      <w:bCs/>
      <w:caps/>
      <w:szCs w:val="26"/>
    </w:rPr>
  </w:style>
  <w:style w:type="paragraph" w:styleId="Ttulo3">
    <w:name w:val="heading 3"/>
    <w:basedOn w:val="Normal"/>
    <w:next w:val="Normal"/>
    <w:link w:val="Ttulo3Car"/>
    <w:uiPriority w:val="9"/>
    <w:unhideWhenUsed/>
    <w:qFormat/>
    <w:rsid w:val="00724807"/>
    <w:pPr>
      <w:keepNext/>
      <w:keepLines/>
      <w:spacing w:before="40" w:after="0"/>
      <w:outlineLvl w:val="2"/>
    </w:pPr>
    <w:rPr>
      <w:rFonts w:asciiTheme="majorHAnsi" w:eastAsiaTheme="majorEastAsia" w:hAnsiTheme="majorHAnsi" w:cstheme="majorBidi"/>
      <w:color w:val="243F60" w:themeColor="accent1" w:themeShade="7F"/>
      <w:szCs w:val="24"/>
    </w:rPr>
  </w:style>
  <w:style w:type="paragraph" w:styleId="Ttulo5">
    <w:name w:val="heading 5"/>
    <w:basedOn w:val="Normal"/>
    <w:next w:val="Normal"/>
    <w:link w:val="Ttulo5Car"/>
    <w:uiPriority w:val="9"/>
    <w:unhideWhenUsed/>
    <w:qFormat/>
    <w:rsid w:val="00925A13"/>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13F5F"/>
    <w:rPr>
      <w:rFonts w:ascii="Arial" w:eastAsiaTheme="majorEastAsia" w:hAnsi="Arial" w:cstheme="majorBidi"/>
      <w:b/>
      <w:bCs/>
      <w:caps/>
      <w:sz w:val="28"/>
      <w:szCs w:val="28"/>
    </w:rPr>
  </w:style>
  <w:style w:type="character" w:customStyle="1" w:styleId="Ttulo2Car">
    <w:name w:val="Título 2 Car"/>
    <w:basedOn w:val="Fuentedeprrafopredeter"/>
    <w:link w:val="Ttulo2"/>
    <w:uiPriority w:val="9"/>
    <w:rsid w:val="00E13F5F"/>
    <w:rPr>
      <w:rFonts w:ascii="Arial" w:eastAsiaTheme="majorEastAsia" w:hAnsi="Arial" w:cstheme="majorBidi"/>
      <w:b/>
      <w:bCs/>
      <w:caps/>
      <w:sz w:val="24"/>
      <w:szCs w:val="26"/>
    </w:rPr>
  </w:style>
  <w:style w:type="paragraph" w:styleId="Textonotapie">
    <w:name w:val="footnote text"/>
    <w:basedOn w:val="Normal"/>
    <w:link w:val="TextonotapieCar"/>
    <w:uiPriority w:val="99"/>
    <w:unhideWhenUsed/>
    <w:rsid w:val="00E13F5F"/>
    <w:pPr>
      <w:spacing w:after="0" w:line="240" w:lineRule="auto"/>
    </w:pPr>
    <w:rPr>
      <w:sz w:val="20"/>
      <w:szCs w:val="20"/>
    </w:rPr>
  </w:style>
  <w:style w:type="character" w:customStyle="1" w:styleId="TextonotapieCar">
    <w:name w:val="Texto nota pie Car"/>
    <w:basedOn w:val="Fuentedeprrafopredeter"/>
    <w:link w:val="Textonotapie"/>
    <w:uiPriority w:val="99"/>
    <w:rsid w:val="00E13F5F"/>
    <w:rPr>
      <w:rFonts w:ascii="Arial" w:hAnsi="Arial"/>
      <w:sz w:val="20"/>
      <w:szCs w:val="20"/>
    </w:rPr>
  </w:style>
  <w:style w:type="character" w:styleId="Refdenotaalpie">
    <w:name w:val="footnote reference"/>
    <w:basedOn w:val="Fuentedeprrafopredeter"/>
    <w:uiPriority w:val="99"/>
    <w:semiHidden/>
    <w:unhideWhenUsed/>
    <w:rsid w:val="00E13F5F"/>
    <w:rPr>
      <w:vertAlign w:val="superscript"/>
    </w:rPr>
  </w:style>
  <w:style w:type="paragraph" w:styleId="NormalWeb">
    <w:name w:val="Normal (Web)"/>
    <w:basedOn w:val="Normal"/>
    <w:uiPriority w:val="99"/>
    <w:semiHidden/>
    <w:unhideWhenUsed/>
    <w:rsid w:val="0047156F"/>
    <w:pPr>
      <w:spacing w:before="100" w:beforeAutospacing="1" w:after="100" w:afterAutospacing="1" w:line="240" w:lineRule="auto"/>
      <w:jc w:val="left"/>
    </w:pPr>
    <w:rPr>
      <w:rFonts w:ascii="Times New Roman" w:eastAsia="Times New Roman" w:hAnsi="Times New Roman" w:cs="Times New Roman"/>
      <w:szCs w:val="24"/>
      <w:lang w:eastAsia="es-ES_tradnl"/>
    </w:rPr>
  </w:style>
  <w:style w:type="character" w:styleId="Textoennegrita">
    <w:name w:val="Strong"/>
    <w:basedOn w:val="Fuentedeprrafopredeter"/>
    <w:uiPriority w:val="22"/>
    <w:qFormat/>
    <w:rsid w:val="0047156F"/>
    <w:rPr>
      <w:b/>
      <w:bCs/>
    </w:rPr>
  </w:style>
  <w:style w:type="character" w:styleId="Hipervnculo">
    <w:name w:val="Hyperlink"/>
    <w:basedOn w:val="Fuentedeprrafopredeter"/>
    <w:uiPriority w:val="99"/>
    <w:unhideWhenUsed/>
    <w:rsid w:val="0047156F"/>
    <w:rPr>
      <w:color w:val="0000FF"/>
      <w:u w:val="single"/>
    </w:rPr>
  </w:style>
  <w:style w:type="character" w:customStyle="1" w:styleId="Ttulo3Car">
    <w:name w:val="Título 3 Car"/>
    <w:basedOn w:val="Fuentedeprrafopredeter"/>
    <w:link w:val="Ttulo3"/>
    <w:uiPriority w:val="9"/>
    <w:rsid w:val="00724807"/>
    <w:rPr>
      <w:rFonts w:asciiTheme="majorHAnsi" w:eastAsiaTheme="majorEastAsia" w:hAnsiTheme="majorHAnsi" w:cstheme="majorBidi"/>
      <w:color w:val="243F60" w:themeColor="accent1" w:themeShade="7F"/>
      <w:sz w:val="24"/>
      <w:szCs w:val="24"/>
    </w:rPr>
  </w:style>
  <w:style w:type="character" w:styleId="Mencinsinresolver">
    <w:name w:val="Unresolved Mention"/>
    <w:basedOn w:val="Fuentedeprrafopredeter"/>
    <w:uiPriority w:val="99"/>
    <w:semiHidden/>
    <w:unhideWhenUsed/>
    <w:rsid w:val="00724807"/>
    <w:rPr>
      <w:color w:val="605E5C"/>
      <w:shd w:val="clear" w:color="auto" w:fill="E1DFDD"/>
    </w:rPr>
  </w:style>
  <w:style w:type="character" w:customStyle="1" w:styleId="Ttulo5Car">
    <w:name w:val="Título 5 Car"/>
    <w:basedOn w:val="Fuentedeprrafopredeter"/>
    <w:link w:val="Ttulo5"/>
    <w:uiPriority w:val="9"/>
    <w:rsid w:val="00925A13"/>
    <w:rPr>
      <w:rFonts w:asciiTheme="majorHAnsi" w:eastAsiaTheme="majorEastAsia" w:hAnsiTheme="majorHAnsi" w:cstheme="majorBidi"/>
      <w:color w:val="365F91" w:themeColor="accent1" w:themeShade="BF"/>
      <w:sz w:val="24"/>
    </w:rPr>
  </w:style>
  <w:style w:type="paragraph" w:customStyle="1" w:styleId="Default">
    <w:name w:val="Default"/>
    <w:rsid w:val="00AE4709"/>
    <w:pPr>
      <w:autoSpaceDE w:val="0"/>
      <w:autoSpaceDN w:val="0"/>
      <w:adjustRightInd w:val="0"/>
      <w:spacing w:after="0" w:line="240" w:lineRule="auto"/>
    </w:pPr>
    <w:rPr>
      <w:rFonts w:ascii="Arial" w:hAnsi="Arial" w:cs="Arial"/>
      <w:color w:val="000000"/>
      <w:sz w:val="24"/>
      <w:szCs w:val="24"/>
    </w:rPr>
  </w:style>
  <w:style w:type="paragraph" w:styleId="Piedepgina">
    <w:name w:val="footer"/>
    <w:basedOn w:val="Normal"/>
    <w:link w:val="PiedepginaCar"/>
    <w:uiPriority w:val="99"/>
    <w:unhideWhenUsed/>
    <w:rsid w:val="00822CE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22CE2"/>
    <w:rPr>
      <w:rFonts w:ascii="Arial" w:hAnsi="Arial"/>
      <w:sz w:val="24"/>
    </w:rPr>
  </w:style>
  <w:style w:type="character" w:styleId="Nmerodepgina">
    <w:name w:val="page number"/>
    <w:basedOn w:val="Fuentedeprrafopredeter"/>
    <w:uiPriority w:val="99"/>
    <w:semiHidden/>
    <w:unhideWhenUsed/>
    <w:rsid w:val="00822CE2"/>
  </w:style>
  <w:style w:type="character" w:styleId="Hipervnculovisitado">
    <w:name w:val="FollowedHyperlink"/>
    <w:basedOn w:val="Fuentedeprrafopredeter"/>
    <w:uiPriority w:val="99"/>
    <w:semiHidden/>
    <w:unhideWhenUsed/>
    <w:rsid w:val="004A5ED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15703">
      <w:bodyDiv w:val="1"/>
      <w:marLeft w:val="0"/>
      <w:marRight w:val="0"/>
      <w:marTop w:val="0"/>
      <w:marBottom w:val="0"/>
      <w:divBdr>
        <w:top w:val="none" w:sz="0" w:space="0" w:color="auto"/>
        <w:left w:val="none" w:sz="0" w:space="0" w:color="auto"/>
        <w:bottom w:val="none" w:sz="0" w:space="0" w:color="auto"/>
        <w:right w:val="none" w:sz="0" w:space="0" w:color="auto"/>
      </w:divBdr>
    </w:div>
    <w:div w:id="47732373">
      <w:bodyDiv w:val="1"/>
      <w:marLeft w:val="0"/>
      <w:marRight w:val="0"/>
      <w:marTop w:val="0"/>
      <w:marBottom w:val="0"/>
      <w:divBdr>
        <w:top w:val="none" w:sz="0" w:space="0" w:color="auto"/>
        <w:left w:val="none" w:sz="0" w:space="0" w:color="auto"/>
        <w:bottom w:val="none" w:sz="0" w:space="0" w:color="auto"/>
        <w:right w:val="none" w:sz="0" w:space="0" w:color="auto"/>
      </w:divBdr>
    </w:div>
    <w:div w:id="74128872">
      <w:bodyDiv w:val="1"/>
      <w:marLeft w:val="0"/>
      <w:marRight w:val="0"/>
      <w:marTop w:val="0"/>
      <w:marBottom w:val="0"/>
      <w:divBdr>
        <w:top w:val="none" w:sz="0" w:space="0" w:color="auto"/>
        <w:left w:val="none" w:sz="0" w:space="0" w:color="auto"/>
        <w:bottom w:val="none" w:sz="0" w:space="0" w:color="auto"/>
        <w:right w:val="none" w:sz="0" w:space="0" w:color="auto"/>
      </w:divBdr>
    </w:div>
    <w:div w:id="74284600">
      <w:bodyDiv w:val="1"/>
      <w:marLeft w:val="0"/>
      <w:marRight w:val="0"/>
      <w:marTop w:val="0"/>
      <w:marBottom w:val="0"/>
      <w:divBdr>
        <w:top w:val="none" w:sz="0" w:space="0" w:color="auto"/>
        <w:left w:val="none" w:sz="0" w:space="0" w:color="auto"/>
        <w:bottom w:val="none" w:sz="0" w:space="0" w:color="auto"/>
        <w:right w:val="none" w:sz="0" w:space="0" w:color="auto"/>
      </w:divBdr>
    </w:div>
    <w:div w:id="117997548">
      <w:bodyDiv w:val="1"/>
      <w:marLeft w:val="0"/>
      <w:marRight w:val="0"/>
      <w:marTop w:val="0"/>
      <w:marBottom w:val="0"/>
      <w:divBdr>
        <w:top w:val="none" w:sz="0" w:space="0" w:color="auto"/>
        <w:left w:val="none" w:sz="0" w:space="0" w:color="auto"/>
        <w:bottom w:val="none" w:sz="0" w:space="0" w:color="auto"/>
        <w:right w:val="none" w:sz="0" w:space="0" w:color="auto"/>
      </w:divBdr>
    </w:div>
    <w:div w:id="126632066">
      <w:bodyDiv w:val="1"/>
      <w:marLeft w:val="0"/>
      <w:marRight w:val="0"/>
      <w:marTop w:val="0"/>
      <w:marBottom w:val="0"/>
      <w:divBdr>
        <w:top w:val="none" w:sz="0" w:space="0" w:color="auto"/>
        <w:left w:val="none" w:sz="0" w:space="0" w:color="auto"/>
        <w:bottom w:val="none" w:sz="0" w:space="0" w:color="auto"/>
        <w:right w:val="none" w:sz="0" w:space="0" w:color="auto"/>
      </w:divBdr>
    </w:div>
    <w:div w:id="196239606">
      <w:bodyDiv w:val="1"/>
      <w:marLeft w:val="0"/>
      <w:marRight w:val="0"/>
      <w:marTop w:val="0"/>
      <w:marBottom w:val="0"/>
      <w:divBdr>
        <w:top w:val="none" w:sz="0" w:space="0" w:color="auto"/>
        <w:left w:val="none" w:sz="0" w:space="0" w:color="auto"/>
        <w:bottom w:val="none" w:sz="0" w:space="0" w:color="auto"/>
        <w:right w:val="none" w:sz="0" w:space="0" w:color="auto"/>
      </w:divBdr>
    </w:div>
    <w:div w:id="235357690">
      <w:bodyDiv w:val="1"/>
      <w:marLeft w:val="0"/>
      <w:marRight w:val="0"/>
      <w:marTop w:val="0"/>
      <w:marBottom w:val="0"/>
      <w:divBdr>
        <w:top w:val="none" w:sz="0" w:space="0" w:color="auto"/>
        <w:left w:val="none" w:sz="0" w:space="0" w:color="auto"/>
        <w:bottom w:val="none" w:sz="0" w:space="0" w:color="auto"/>
        <w:right w:val="none" w:sz="0" w:space="0" w:color="auto"/>
      </w:divBdr>
    </w:div>
    <w:div w:id="250312983">
      <w:bodyDiv w:val="1"/>
      <w:marLeft w:val="0"/>
      <w:marRight w:val="0"/>
      <w:marTop w:val="0"/>
      <w:marBottom w:val="0"/>
      <w:divBdr>
        <w:top w:val="none" w:sz="0" w:space="0" w:color="auto"/>
        <w:left w:val="none" w:sz="0" w:space="0" w:color="auto"/>
        <w:bottom w:val="none" w:sz="0" w:space="0" w:color="auto"/>
        <w:right w:val="none" w:sz="0" w:space="0" w:color="auto"/>
      </w:divBdr>
    </w:div>
    <w:div w:id="350451054">
      <w:bodyDiv w:val="1"/>
      <w:marLeft w:val="0"/>
      <w:marRight w:val="0"/>
      <w:marTop w:val="0"/>
      <w:marBottom w:val="0"/>
      <w:divBdr>
        <w:top w:val="none" w:sz="0" w:space="0" w:color="auto"/>
        <w:left w:val="none" w:sz="0" w:space="0" w:color="auto"/>
        <w:bottom w:val="none" w:sz="0" w:space="0" w:color="auto"/>
        <w:right w:val="none" w:sz="0" w:space="0" w:color="auto"/>
      </w:divBdr>
    </w:div>
    <w:div w:id="359549098">
      <w:bodyDiv w:val="1"/>
      <w:marLeft w:val="0"/>
      <w:marRight w:val="0"/>
      <w:marTop w:val="0"/>
      <w:marBottom w:val="0"/>
      <w:divBdr>
        <w:top w:val="none" w:sz="0" w:space="0" w:color="auto"/>
        <w:left w:val="none" w:sz="0" w:space="0" w:color="auto"/>
        <w:bottom w:val="none" w:sz="0" w:space="0" w:color="auto"/>
        <w:right w:val="none" w:sz="0" w:space="0" w:color="auto"/>
      </w:divBdr>
    </w:div>
    <w:div w:id="368143274">
      <w:bodyDiv w:val="1"/>
      <w:marLeft w:val="0"/>
      <w:marRight w:val="0"/>
      <w:marTop w:val="0"/>
      <w:marBottom w:val="0"/>
      <w:divBdr>
        <w:top w:val="none" w:sz="0" w:space="0" w:color="auto"/>
        <w:left w:val="none" w:sz="0" w:space="0" w:color="auto"/>
        <w:bottom w:val="none" w:sz="0" w:space="0" w:color="auto"/>
        <w:right w:val="none" w:sz="0" w:space="0" w:color="auto"/>
      </w:divBdr>
    </w:div>
    <w:div w:id="419644148">
      <w:bodyDiv w:val="1"/>
      <w:marLeft w:val="0"/>
      <w:marRight w:val="0"/>
      <w:marTop w:val="0"/>
      <w:marBottom w:val="0"/>
      <w:divBdr>
        <w:top w:val="none" w:sz="0" w:space="0" w:color="auto"/>
        <w:left w:val="none" w:sz="0" w:space="0" w:color="auto"/>
        <w:bottom w:val="none" w:sz="0" w:space="0" w:color="auto"/>
        <w:right w:val="none" w:sz="0" w:space="0" w:color="auto"/>
      </w:divBdr>
      <w:divsChild>
        <w:div w:id="1206283">
          <w:marLeft w:val="0"/>
          <w:marRight w:val="0"/>
          <w:marTop w:val="0"/>
          <w:marBottom w:val="0"/>
          <w:divBdr>
            <w:top w:val="none" w:sz="0" w:space="0" w:color="auto"/>
            <w:left w:val="none" w:sz="0" w:space="0" w:color="auto"/>
            <w:bottom w:val="none" w:sz="0" w:space="0" w:color="auto"/>
            <w:right w:val="none" w:sz="0" w:space="0" w:color="auto"/>
          </w:divBdr>
          <w:divsChild>
            <w:div w:id="1009604554">
              <w:marLeft w:val="480"/>
              <w:marRight w:val="480"/>
              <w:marTop w:val="0"/>
              <w:marBottom w:val="0"/>
              <w:divBdr>
                <w:top w:val="none" w:sz="0" w:space="0" w:color="auto"/>
                <w:left w:val="none" w:sz="0" w:space="0" w:color="auto"/>
                <w:bottom w:val="none" w:sz="0" w:space="0" w:color="auto"/>
                <w:right w:val="none" w:sz="0" w:space="0" w:color="auto"/>
              </w:divBdr>
            </w:div>
          </w:divsChild>
        </w:div>
      </w:divsChild>
    </w:div>
    <w:div w:id="445664077">
      <w:bodyDiv w:val="1"/>
      <w:marLeft w:val="0"/>
      <w:marRight w:val="0"/>
      <w:marTop w:val="0"/>
      <w:marBottom w:val="0"/>
      <w:divBdr>
        <w:top w:val="none" w:sz="0" w:space="0" w:color="auto"/>
        <w:left w:val="none" w:sz="0" w:space="0" w:color="auto"/>
        <w:bottom w:val="none" w:sz="0" w:space="0" w:color="auto"/>
        <w:right w:val="none" w:sz="0" w:space="0" w:color="auto"/>
      </w:divBdr>
    </w:div>
    <w:div w:id="503938386">
      <w:bodyDiv w:val="1"/>
      <w:marLeft w:val="0"/>
      <w:marRight w:val="0"/>
      <w:marTop w:val="0"/>
      <w:marBottom w:val="0"/>
      <w:divBdr>
        <w:top w:val="none" w:sz="0" w:space="0" w:color="auto"/>
        <w:left w:val="none" w:sz="0" w:space="0" w:color="auto"/>
        <w:bottom w:val="none" w:sz="0" w:space="0" w:color="auto"/>
        <w:right w:val="none" w:sz="0" w:space="0" w:color="auto"/>
      </w:divBdr>
      <w:divsChild>
        <w:div w:id="1639992703">
          <w:marLeft w:val="0"/>
          <w:marRight w:val="0"/>
          <w:marTop w:val="0"/>
          <w:marBottom w:val="0"/>
          <w:divBdr>
            <w:top w:val="none" w:sz="0" w:space="0" w:color="auto"/>
            <w:left w:val="none" w:sz="0" w:space="0" w:color="auto"/>
            <w:bottom w:val="none" w:sz="0" w:space="0" w:color="auto"/>
            <w:right w:val="none" w:sz="0" w:space="0" w:color="auto"/>
          </w:divBdr>
        </w:div>
        <w:div w:id="705251339">
          <w:marLeft w:val="0"/>
          <w:marRight w:val="0"/>
          <w:marTop w:val="0"/>
          <w:marBottom w:val="0"/>
          <w:divBdr>
            <w:top w:val="none" w:sz="0" w:space="0" w:color="auto"/>
            <w:left w:val="none" w:sz="0" w:space="0" w:color="auto"/>
            <w:bottom w:val="none" w:sz="0" w:space="0" w:color="auto"/>
            <w:right w:val="none" w:sz="0" w:space="0" w:color="auto"/>
          </w:divBdr>
        </w:div>
        <w:div w:id="1866670914">
          <w:marLeft w:val="0"/>
          <w:marRight w:val="0"/>
          <w:marTop w:val="0"/>
          <w:marBottom w:val="0"/>
          <w:divBdr>
            <w:top w:val="none" w:sz="0" w:space="0" w:color="auto"/>
            <w:left w:val="none" w:sz="0" w:space="0" w:color="auto"/>
            <w:bottom w:val="none" w:sz="0" w:space="0" w:color="auto"/>
            <w:right w:val="none" w:sz="0" w:space="0" w:color="auto"/>
          </w:divBdr>
        </w:div>
        <w:div w:id="504637030">
          <w:marLeft w:val="0"/>
          <w:marRight w:val="0"/>
          <w:marTop w:val="0"/>
          <w:marBottom w:val="0"/>
          <w:divBdr>
            <w:top w:val="none" w:sz="0" w:space="0" w:color="auto"/>
            <w:left w:val="none" w:sz="0" w:space="0" w:color="auto"/>
            <w:bottom w:val="none" w:sz="0" w:space="0" w:color="auto"/>
            <w:right w:val="none" w:sz="0" w:space="0" w:color="auto"/>
          </w:divBdr>
        </w:div>
      </w:divsChild>
    </w:div>
    <w:div w:id="506209644">
      <w:bodyDiv w:val="1"/>
      <w:marLeft w:val="0"/>
      <w:marRight w:val="0"/>
      <w:marTop w:val="0"/>
      <w:marBottom w:val="0"/>
      <w:divBdr>
        <w:top w:val="none" w:sz="0" w:space="0" w:color="auto"/>
        <w:left w:val="none" w:sz="0" w:space="0" w:color="auto"/>
        <w:bottom w:val="none" w:sz="0" w:space="0" w:color="auto"/>
        <w:right w:val="none" w:sz="0" w:space="0" w:color="auto"/>
      </w:divBdr>
    </w:div>
    <w:div w:id="506821694">
      <w:bodyDiv w:val="1"/>
      <w:marLeft w:val="0"/>
      <w:marRight w:val="0"/>
      <w:marTop w:val="0"/>
      <w:marBottom w:val="0"/>
      <w:divBdr>
        <w:top w:val="none" w:sz="0" w:space="0" w:color="auto"/>
        <w:left w:val="none" w:sz="0" w:space="0" w:color="auto"/>
        <w:bottom w:val="none" w:sz="0" w:space="0" w:color="auto"/>
        <w:right w:val="none" w:sz="0" w:space="0" w:color="auto"/>
      </w:divBdr>
    </w:div>
    <w:div w:id="527717501">
      <w:bodyDiv w:val="1"/>
      <w:marLeft w:val="0"/>
      <w:marRight w:val="0"/>
      <w:marTop w:val="0"/>
      <w:marBottom w:val="0"/>
      <w:divBdr>
        <w:top w:val="none" w:sz="0" w:space="0" w:color="auto"/>
        <w:left w:val="none" w:sz="0" w:space="0" w:color="auto"/>
        <w:bottom w:val="none" w:sz="0" w:space="0" w:color="auto"/>
        <w:right w:val="none" w:sz="0" w:space="0" w:color="auto"/>
      </w:divBdr>
    </w:div>
    <w:div w:id="562571064">
      <w:bodyDiv w:val="1"/>
      <w:marLeft w:val="0"/>
      <w:marRight w:val="0"/>
      <w:marTop w:val="0"/>
      <w:marBottom w:val="0"/>
      <w:divBdr>
        <w:top w:val="none" w:sz="0" w:space="0" w:color="auto"/>
        <w:left w:val="none" w:sz="0" w:space="0" w:color="auto"/>
        <w:bottom w:val="none" w:sz="0" w:space="0" w:color="auto"/>
        <w:right w:val="none" w:sz="0" w:space="0" w:color="auto"/>
      </w:divBdr>
    </w:div>
    <w:div w:id="583606513">
      <w:bodyDiv w:val="1"/>
      <w:marLeft w:val="0"/>
      <w:marRight w:val="0"/>
      <w:marTop w:val="0"/>
      <w:marBottom w:val="0"/>
      <w:divBdr>
        <w:top w:val="none" w:sz="0" w:space="0" w:color="auto"/>
        <w:left w:val="none" w:sz="0" w:space="0" w:color="auto"/>
        <w:bottom w:val="none" w:sz="0" w:space="0" w:color="auto"/>
        <w:right w:val="none" w:sz="0" w:space="0" w:color="auto"/>
      </w:divBdr>
    </w:div>
    <w:div w:id="591007278">
      <w:bodyDiv w:val="1"/>
      <w:marLeft w:val="0"/>
      <w:marRight w:val="0"/>
      <w:marTop w:val="0"/>
      <w:marBottom w:val="0"/>
      <w:divBdr>
        <w:top w:val="none" w:sz="0" w:space="0" w:color="auto"/>
        <w:left w:val="none" w:sz="0" w:space="0" w:color="auto"/>
        <w:bottom w:val="none" w:sz="0" w:space="0" w:color="auto"/>
        <w:right w:val="none" w:sz="0" w:space="0" w:color="auto"/>
      </w:divBdr>
    </w:div>
    <w:div w:id="602349056">
      <w:bodyDiv w:val="1"/>
      <w:marLeft w:val="0"/>
      <w:marRight w:val="0"/>
      <w:marTop w:val="0"/>
      <w:marBottom w:val="0"/>
      <w:divBdr>
        <w:top w:val="none" w:sz="0" w:space="0" w:color="auto"/>
        <w:left w:val="none" w:sz="0" w:space="0" w:color="auto"/>
        <w:bottom w:val="none" w:sz="0" w:space="0" w:color="auto"/>
        <w:right w:val="none" w:sz="0" w:space="0" w:color="auto"/>
      </w:divBdr>
    </w:div>
    <w:div w:id="609361244">
      <w:bodyDiv w:val="1"/>
      <w:marLeft w:val="0"/>
      <w:marRight w:val="0"/>
      <w:marTop w:val="0"/>
      <w:marBottom w:val="0"/>
      <w:divBdr>
        <w:top w:val="none" w:sz="0" w:space="0" w:color="auto"/>
        <w:left w:val="none" w:sz="0" w:space="0" w:color="auto"/>
        <w:bottom w:val="none" w:sz="0" w:space="0" w:color="auto"/>
        <w:right w:val="none" w:sz="0" w:space="0" w:color="auto"/>
      </w:divBdr>
    </w:div>
    <w:div w:id="637495355">
      <w:bodyDiv w:val="1"/>
      <w:marLeft w:val="0"/>
      <w:marRight w:val="0"/>
      <w:marTop w:val="0"/>
      <w:marBottom w:val="0"/>
      <w:divBdr>
        <w:top w:val="none" w:sz="0" w:space="0" w:color="auto"/>
        <w:left w:val="none" w:sz="0" w:space="0" w:color="auto"/>
        <w:bottom w:val="none" w:sz="0" w:space="0" w:color="auto"/>
        <w:right w:val="none" w:sz="0" w:space="0" w:color="auto"/>
      </w:divBdr>
    </w:div>
    <w:div w:id="642469354">
      <w:bodyDiv w:val="1"/>
      <w:marLeft w:val="0"/>
      <w:marRight w:val="0"/>
      <w:marTop w:val="0"/>
      <w:marBottom w:val="0"/>
      <w:divBdr>
        <w:top w:val="none" w:sz="0" w:space="0" w:color="auto"/>
        <w:left w:val="none" w:sz="0" w:space="0" w:color="auto"/>
        <w:bottom w:val="none" w:sz="0" w:space="0" w:color="auto"/>
        <w:right w:val="none" w:sz="0" w:space="0" w:color="auto"/>
      </w:divBdr>
    </w:div>
    <w:div w:id="660350809">
      <w:bodyDiv w:val="1"/>
      <w:marLeft w:val="0"/>
      <w:marRight w:val="0"/>
      <w:marTop w:val="0"/>
      <w:marBottom w:val="0"/>
      <w:divBdr>
        <w:top w:val="none" w:sz="0" w:space="0" w:color="auto"/>
        <w:left w:val="none" w:sz="0" w:space="0" w:color="auto"/>
        <w:bottom w:val="none" w:sz="0" w:space="0" w:color="auto"/>
        <w:right w:val="none" w:sz="0" w:space="0" w:color="auto"/>
      </w:divBdr>
    </w:div>
    <w:div w:id="672300746">
      <w:bodyDiv w:val="1"/>
      <w:marLeft w:val="0"/>
      <w:marRight w:val="0"/>
      <w:marTop w:val="0"/>
      <w:marBottom w:val="0"/>
      <w:divBdr>
        <w:top w:val="none" w:sz="0" w:space="0" w:color="auto"/>
        <w:left w:val="none" w:sz="0" w:space="0" w:color="auto"/>
        <w:bottom w:val="none" w:sz="0" w:space="0" w:color="auto"/>
        <w:right w:val="none" w:sz="0" w:space="0" w:color="auto"/>
      </w:divBdr>
    </w:div>
    <w:div w:id="691881361">
      <w:bodyDiv w:val="1"/>
      <w:marLeft w:val="0"/>
      <w:marRight w:val="0"/>
      <w:marTop w:val="0"/>
      <w:marBottom w:val="0"/>
      <w:divBdr>
        <w:top w:val="none" w:sz="0" w:space="0" w:color="auto"/>
        <w:left w:val="none" w:sz="0" w:space="0" w:color="auto"/>
        <w:bottom w:val="none" w:sz="0" w:space="0" w:color="auto"/>
        <w:right w:val="none" w:sz="0" w:space="0" w:color="auto"/>
      </w:divBdr>
    </w:div>
    <w:div w:id="717625731">
      <w:bodyDiv w:val="1"/>
      <w:marLeft w:val="0"/>
      <w:marRight w:val="0"/>
      <w:marTop w:val="0"/>
      <w:marBottom w:val="0"/>
      <w:divBdr>
        <w:top w:val="none" w:sz="0" w:space="0" w:color="auto"/>
        <w:left w:val="none" w:sz="0" w:space="0" w:color="auto"/>
        <w:bottom w:val="none" w:sz="0" w:space="0" w:color="auto"/>
        <w:right w:val="none" w:sz="0" w:space="0" w:color="auto"/>
      </w:divBdr>
    </w:div>
    <w:div w:id="762605457">
      <w:bodyDiv w:val="1"/>
      <w:marLeft w:val="0"/>
      <w:marRight w:val="0"/>
      <w:marTop w:val="0"/>
      <w:marBottom w:val="0"/>
      <w:divBdr>
        <w:top w:val="none" w:sz="0" w:space="0" w:color="auto"/>
        <w:left w:val="none" w:sz="0" w:space="0" w:color="auto"/>
        <w:bottom w:val="none" w:sz="0" w:space="0" w:color="auto"/>
        <w:right w:val="none" w:sz="0" w:space="0" w:color="auto"/>
      </w:divBdr>
      <w:divsChild>
        <w:div w:id="9569104">
          <w:marLeft w:val="0"/>
          <w:marRight w:val="0"/>
          <w:marTop w:val="0"/>
          <w:marBottom w:val="0"/>
          <w:divBdr>
            <w:top w:val="none" w:sz="0" w:space="0" w:color="auto"/>
            <w:left w:val="none" w:sz="0" w:space="0" w:color="auto"/>
            <w:bottom w:val="none" w:sz="0" w:space="0" w:color="auto"/>
            <w:right w:val="none" w:sz="0" w:space="0" w:color="auto"/>
          </w:divBdr>
          <w:divsChild>
            <w:div w:id="514344982">
              <w:marLeft w:val="0"/>
              <w:marRight w:val="0"/>
              <w:marTop w:val="0"/>
              <w:marBottom w:val="0"/>
              <w:divBdr>
                <w:top w:val="none" w:sz="0" w:space="0" w:color="auto"/>
                <w:left w:val="none" w:sz="0" w:space="0" w:color="auto"/>
                <w:bottom w:val="none" w:sz="0" w:space="0" w:color="auto"/>
                <w:right w:val="none" w:sz="0" w:space="0" w:color="auto"/>
              </w:divBdr>
            </w:div>
          </w:divsChild>
        </w:div>
        <w:div w:id="211619425">
          <w:marLeft w:val="0"/>
          <w:marRight w:val="0"/>
          <w:marTop w:val="0"/>
          <w:marBottom w:val="0"/>
          <w:divBdr>
            <w:top w:val="none" w:sz="0" w:space="0" w:color="auto"/>
            <w:left w:val="none" w:sz="0" w:space="0" w:color="auto"/>
            <w:bottom w:val="none" w:sz="0" w:space="0" w:color="auto"/>
            <w:right w:val="none" w:sz="0" w:space="0" w:color="auto"/>
          </w:divBdr>
        </w:div>
      </w:divsChild>
    </w:div>
    <w:div w:id="771437940">
      <w:bodyDiv w:val="1"/>
      <w:marLeft w:val="0"/>
      <w:marRight w:val="0"/>
      <w:marTop w:val="0"/>
      <w:marBottom w:val="0"/>
      <w:divBdr>
        <w:top w:val="none" w:sz="0" w:space="0" w:color="auto"/>
        <w:left w:val="none" w:sz="0" w:space="0" w:color="auto"/>
        <w:bottom w:val="none" w:sz="0" w:space="0" w:color="auto"/>
        <w:right w:val="none" w:sz="0" w:space="0" w:color="auto"/>
      </w:divBdr>
    </w:div>
    <w:div w:id="797262880">
      <w:bodyDiv w:val="1"/>
      <w:marLeft w:val="0"/>
      <w:marRight w:val="0"/>
      <w:marTop w:val="0"/>
      <w:marBottom w:val="0"/>
      <w:divBdr>
        <w:top w:val="none" w:sz="0" w:space="0" w:color="auto"/>
        <w:left w:val="none" w:sz="0" w:space="0" w:color="auto"/>
        <w:bottom w:val="none" w:sz="0" w:space="0" w:color="auto"/>
        <w:right w:val="none" w:sz="0" w:space="0" w:color="auto"/>
      </w:divBdr>
    </w:div>
    <w:div w:id="877086100">
      <w:bodyDiv w:val="1"/>
      <w:marLeft w:val="0"/>
      <w:marRight w:val="0"/>
      <w:marTop w:val="0"/>
      <w:marBottom w:val="0"/>
      <w:divBdr>
        <w:top w:val="none" w:sz="0" w:space="0" w:color="auto"/>
        <w:left w:val="none" w:sz="0" w:space="0" w:color="auto"/>
        <w:bottom w:val="none" w:sz="0" w:space="0" w:color="auto"/>
        <w:right w:val="none" w:sz="0" w:space="0" w:color="auto"/>
      </w:divBdr>
    </w:div>
    <w:div w:id="894507909">
      <w:bodyDiv w:val="1"/>
      <w:marLeft w:val="0"/>
      <w:marRight w:val="0"/>
      <w:marTop w:val="0"/>
      <w:marBottom w:val="0"/>
      <w:divBdr>
        <w:top w:val="none" w:sz="0" w:space="0" w:color="auto"/>
        <w:left w:val="none" w:sz="0" w:space="0" w:color="auto"/>
        <w:bottom w:val="none" w:sz="0" w:space="0" w:color="auto"/>
        <w:right w:val="none" w:sz="0" w:space="0" w:color="auto"/>
      </w:divBdr>
    </w:div>
    <w:div w:id="922185190">
      <w:bodyDiv w:val="1"/>
      <w:marLeft w:val="0"/>
      <w:marRight w:val="0"/>
      <w:marTop w:val="0"/>
      <w:marBottom w:val="0"/>
      <w:divBdr>
        <w:top w:val="none" w:sz="0" w:space="0" w:color="auto"/>
        <w:left w:val="none" w:sz="0" w:space="0" w:color="auto"/>
        <w:bottom w:val="none" w:sz="0" w:space="0" w:color="auto"/>
        <w:right w:val="none" w:sz="0" w:space="0" w:color="auto"/>
      </w:divBdr>
    </w:div>
    <w:div w:id="923756426">
      <w:bodyDiv w:val="1"/>
      <w:marLeft w:val="0"/>
      <w:marRight w:val="0"/>
      <w:marTop w:val="0"/>
      <w:marBottom w:val="0"/>
      <w:divBdr>
        <w:top w:val="none" w:sz="0" w:space="0" w:color="auto"/>
        <w:left w:val="none" w:sz="0" w:space="0" w:color="auto"/>
        <w:bottom w:val="none" w:sz="0" w:space="0" w:color="auto"/>
        <w:right w:val="none" w:sz="0" w:space="0" w:color="auto"/>
      </w:divBdr>
    </w:div>
    <w:div w:id="933249011">
      <w:bodyDiv w:val="1"/>
      <w:marLeft w:val="0"/>
      <w:marRight w:val="0"/>
      <w:marTop w:val="0"/>
      <w:marBottom w:val="0"/>
      <w:divBdr>
        <w:top w:val="none" w:sz="0" w:space="0" w:color="auto"/>
        <w:left w:val="none" w:sz="0" w:space="0" w:color="auto"/>
        <w:bottom w:val="none" w:sz="0" w:space="0" w:color="auto"/>
        <w:right w:val="none" w:sz="0" w:space="0" w:color="auto"/>
      </w:divBdr>
    </w:div>
    <w:div w:id="1062826784">
      <w:bodyDiv w:val="1"/>
      <w:marLeft w:val="0"/>
      <w:marRight w:val="0"/>
      <w:marTop w:val="0"/>
      <w:marBottom w:val="0"/>
      <w:divBdr>
        <w:top w:val="none" w:sz="0" w:space="0" w:color="auto"/>
        <w:left w:val="none" w:sz="0" w:space="0" w:color="auto"/>
        <w:bottom w:val="none" w:sz="0" w:space="0" w:color="auto"/>
        <w:right w:val="none" w:sz="0" w:space="0" w:color="auto"/>
      </w:divBdr>
    </w:div>
    <w:div w:id="1086154475">
      <w:bodyDiv w:val="1"/>
      <w:marLeft w:val="0"/>
      <w:marRight w:val="0"/>
      <w:marTop w:val="0"/>
      <w:marBottom w:val="0"/>
      <w:divBdr>
        <w:top w:val="none" w:sz="0" w:space="0" w:color="auto"/>
        <w:left w:val="none" w:sz="0" w:space="0" w:color="auto"/>
        <w:bottom w:val="none" w:sz="0" w:space="0" w:color="auto"/>
        <w:right w:val="none" w:sz="0" w:space="0" w:color="auto"/>
      </w:divBdr>
    </w:div>
    <w:div w:id="1127502548">
      <w:bodyDiv w:val="1"/>
      <w:marLeft w:val="0"/>
      <w:marRight w:val="0"/>
      <w:marTop w:val="0"/>
      <w:marBottom w:val="0"/>
      <w:divBdr>
        <w:top w:val="none" w:sz="0" w:space="0" w:color="auto"/>
        <w:left w:val="none" w:sz="0" w:space="0" w:color="auto"/>
        <w:bottom w:val="none" w:sz="0" w:space="0" w:color="auto"/>
        <w:right w:val="none" w:sz="0" w:space="0" w:color="auto"/>
      </w:divBdr>
    </w:div>
    <w:div w:id="1136222195">
      <w:bodyDiv w:val="1"/>
      <w:marLeft w:val="0"/>
      <w:marRight w:val="0"/>
      <w:marTop w:val="0"/>
      <w:marBottom w:val="0"/>
      <w:divBdr>
        <w:top w:val="none" w:sz="0" w:space="0" w:color="auto"/>
        <w:left w:val="none" w:sz="0" w:space="0" w:color="auto"/>
        <w:bottom w:val="none" w:sz="0" w:space="0" w:color="auto"/>
        <w:right w:val="none" w:sz="0" w:space="0" w:color="auto"/>
      </w:divBdr>
    </w:div>
    <w:div w:id="1269971990">
      <w:bodyDiv w:val="1"/>
      <w:marLeft w:val="0"/>
      <w:marRight w:val="0"/>
      <w:marTop w:val="0"/>
      <w:marBottom w:val="0"/>
      <w:divBdr>
        <w:top w:val="none" w:sz="0" w:space="0" w:color="auto"/>
        <w:left w:val="none" w:sz="0" w:space="0" w:color="auto"/>
        <w:bottom w:val="none" w:sz="0" w:space="0" w:color="auto"/>
        <w:right w:val="none" w:sz="0" w:space="0" w:color="auto"/>
      </w:divBdr>
    </w:div>
    <w:div w:id="1323000881">
      <w:bodyDiv w:val="1"/>
      <w:marLeft w:val="0"/>
      <w:marRight w:val="0"/>
      <w:marTop w:val="0"/>
      <w:marBottom w:val="0"/>
      <w:divBdr>
        <w:top w:val="none" w:sz="0" w:space="0" w:color="auto"/>
        <w:left w:val="none" w:sz="0" w:space="0" w:color="auto"/>
        <w:bottom w:val="none" w:sz="0" w:space="0" w:color="auto"/>
        <w:right w:val="none" w:sz="0" w:space="0" w:color="auto"/>
      </w:divBdr>
    </w:div>
    <w:div w:id="1384215868">
      <w:bodyDiv w:val="1"/>
      <w:marLeft w:val="0"/>
      <w:marRight w:val="0"/>
      <w:marTop w:val="0"/>
      <w:marBottom w:val="0"/>
      <w:divBdr>
        <w:top w:val="none" w:sz="0" w:space="0" w:color="auto"/>
        <w:left w:val="none" w:sz="0" w:space="0" w:color="auto"/>
        <w:bottom w:val="none" w:sz="0" w:space="0" w:color="auto"/>
        <w:right w:val="none" w:sz="0" w:space="0" w:color="auto"/>
      </w:divBdr>
    </w:div>
    <w:div w:id="1384600903">
      <w:bodyDiv w:val="1"/>
      <w:marLeft w:val="0"/>
      <w:marRight w:val="0"/>
      <w:marTop w:val="0"/>
      <w:marBottom w:val="0"/>
      <w:divBdr>
        <w:top w:val="none" w:sz="0" w:space="0" w:color="auto"/>
        <w:left w:val="none" w:sz="0" w:space="0" w:color="auto"/>
        <w:bottom w:val="none" w:sz="0" w:space="0" w:color="auto"/>
        <w:right w:val="none" w:sz="0" w:space="0" w:color="auto"/>
      </w:divBdr>
    </w:div>
    <w:div w:id="1417634901">
      <w:bodyDiv w:val="1"/>
      <w:marLeft w:val="0"/>
      <w:marRight w:val="0"/>
      <w:marTop w:val="0"/>
      <w:marBottom w:val="0"/>
      <w:divBdr>
        <w:top w:val="none" w:sz="0" w:space="0" w:color="auto"/>
        <w:left w:val="none" w:sz="0" w:space="0" w:color="auto"/>
        <w:bottom w:val="none" w:sz="0" w:space="0" w:color="auto"/>
        <w:right w:val="none" w:sz="0" w:space="0" w:color="auto"/>
      </w:divBdr>
    </w:div>
    <w:div w:id="1431852546">
      <w:bodyDiv w:val="1"/>
      <w:marLeft w:val="0"/>
      <w:marRight w:val="0"/>
      <w:marTop w:val="0"/>
      <w:marBottom w:val="0"/>
      <w:divBdr>
        <w:top w:val="none" w:sz="0" w:space="0" w:color="auto"/>
        <w:left w:val="none" w:sz="0" w:space="0" w:color="auto"/>
        <w:bottom w:val="none" w:sz="0" w:space="0" w:color="auto"/>
        <w:right w:val="none" w:sz="0" w:space="0" w:color="auto"/>
      </w:divBdr>
    </w:div>
    <w:div w:id="1434402174">
      <w:bodyDiv w:val="1"/>
      <w:marLeft w:val="0"/>
      <w:marRight w:val="0"/>
      <w:marTop w:val="0"/>
      <w:marBottom w:val="0"/>
      <w:divBdr>
        <w:top w:val="none" w:sz="0" w:space="0" w:color="auto"/>
        <w:left w:val="none" w:sz="0" w:space="0" w:color="auto"/>
        <w:bottom w:val="none" w:sz="0" w:space="0" w:color="auto"/>
        <w:right w:val="none" w:sz="0" w:space="0" w:color="auto"/>
      </w:divBdr>
    </w:div>
    <w:div w:id="1443107994">
      <w:bodyDiv w:val="1"/>
      <w:marLeft w:val="0"/>
      <w:marRight w:val="0"/>
      <w:marTop w:val="0"/>
      <w:marBottom w:val="0"/>
      <w:divBdr>
        <w:top w:val="none" w:sz="0" w:space="0" w:color="auto"/>
        <w:left w:val="none" w:sz="0" w:space="0" w:color="auto"/>
        <w:bottom w:val="none" w:sz="0" w:space="0" w:color="auto"/>
        <w:right w:val="none" w:sz="0" w:space="0" w:color="auto"/>
      </w:divBdr>
    </w:div>
    <w:div w:id="1570919045">
      <w:bodyDiv w:val="1"/>
      <w:marLeft w:val="0"/>
      <w:marRight w:val="0"/>
      <w:marTop w:val="0"/>
      <w:marBottom w:val="0"/>
      <w:divBdr>
        <w:top w:val="none" w:sz="0" w:space="0" w:color="auto"/>
        <w:left w:val="none" w:sz="0" w:space="0" w:color="auto"/>
        <w:bottom w:val="none" w:sz="0" w:space="0" w:color="auto"/>
        <w:right w:val="none" w:sz="0" w:space="0" w:color="auto"/>
      </w:divBdr>
    </w:div>
    <w:div w:id="1570920526">
      <w:bodyDiv w:val="1"/>
      <w:marLeft w:val="0"/>
      <w:marRight w:val="0"/>
      <w:marTop w:val="0"/>
      <w:marBottom w:val="0"/>
      <w:divBdr>
        <w:top w:val="none" w:sz="0" w:space="0" w:color="auto"/>
        <w:left w:val="none" w:sz="0" w:space="0" w:color="auto"/>
        <w:bottom w:val="none" w:sz="0" w:space="0" w:color="auto"/>
        <w:right w:val="none" w:sz="0" w:space="0" w:color="auto"/>
      </w:divBdr>
    </w:div>
    <w:div w:id="1584341768">
      <w:bodyDiv w:val="1"/>
      <w:marLeft w:val="0"/>
      <w:marRight w:val="0"/>
      <w:marTop w:val="0"/>
      <w:marBottom w:val="0"/>
      <w:divBdr>
        <w:top w:val="none" w:sz="0" w:space="0" w:color="auto"/>
        <w:left w:val="none" w:sz="0" w:space="0" w:color="auto"/>
        <w:bottom w:val="none" w:sz="0" w:space="0" w:color="auto"/>
        <w:right w:val="none" w:sz="0" w:space="0" w:color="auto"/>
      </w:divBdr>
    </w:div>
    <w:div w:id="1589775263">
      <w:bodyDiv w:val="1"/>
      <w:marLeft w:val="0"/>
      <w:marRight w:val="0"/>
      <w:marTop w:val="0"/>
      <w:marBottom w:val="0"/>
      <w:divBdr>
        <w:top w:val="none" w:sz="0" w:space="0" w:color="auto"/>
        <w:left w:val="none" w:sz="0" w:space="0" w:color="auto"/>
        <w:bottom w:val="none" w:sz="0" w:space="0" w:color="auto"/>
        <w:right w:val="none" w:sz="0" w:space="0" w:color="auto"/>
      </w:divBdr>
      <w:divsChild>
        <w:div w:id="954748080">
          <w:marLeft w:val="0"/>
          <w:marRight w:val="0"/>
          <w:marTop w:val="0"/>
          <w:marBottom w:val="0"/>
          <w:divBdr>
            <w:top w:val="none" w:sz="0" w:space="0" w:color="auto"/>
            <w:left w:val="none" w:sz="0" w:space="0" w:color="auto"/>
            <w:bottom w:val="none" w:sz="0" w:space="0" w:color="auto"/>
            <w:right w:val="none" w:sz="0" w:space="0" w:color="auto"/>
          </w:divBdr>
        </w:div>
        <w:div w:id="194929553">
          <w:marLeft w:val="0"/>
          <w:marRight w:val="0"/>
          <w:marTop w:val="0"/>
          <w:marBottom w:val="0"/>
          <w:divBdr>
            <w:top w:val="none" w:sz="0" w:space="0" w:color="auto"/>
            <w:left w:val="none" w:sz="0" w:space="0" w:color="auto"/>
            <w:bottom w:val="none" w:sz="0" w:space="0" w:color="auto"/>
            <w:right w:val="none" w:sz="0" w:space="0" w:color="auto"/>
          </w:divBdr>
        </w:div>
      </w:divsChild>
    </w:div>
    <w:div w:id="1618950502">
      <w:bodyDiv w:val="1"/>
      <w:marLeft w:val="0"/>
      <w:marRight w:val="0"/>
      <w:marTop w:val="0"/>
      <w:marBottom w:val="0"/>
      <w:divBdr>
        <w:top w:val="none" w:sz="0" w:space="0" w:color="auto"/>
        <w:left w:val="none" w:sz="0" w:space="0" w:color="auto"/>
        <w:bottom w:val="none" w:sz="0" w:space="0" w:color="auto"/>
        <w:right w:val="none" w:sz="0" w:space="0" w:color="auto"/>
      </w:divBdr>
    </w:div>
    <w:div w:id="1627656664">
      <w:bodyDiv w:val="1"/>
      <w:marLeft w:val="0"/>
      <w:marRight w:val="0"/>
      <w:marTop w:val="0"/>
      <w:marBottom w:val="0"/>
      <w:divBdr>
        <w:top w:val="none" w:sz="0" w:space="0" w:color="auto"/>
        <w:left w:val="none" w:sz="0" w:space="0" w:color="auto"/>
        <w:bottom w:val="none" w:sz="0" w:space="0" w:color="auto"/>
        <w:right w:val="none" w:sz="0" w:space="0" w:color="auto"/>
      </w:divBdr>
    </w:div>
    <w:div w:id="1656496481">
      <w:bodyDiv w:val="1"/>
      <w:marLeft w:val="0"/>
      <w:marRight w:val="0"/>
      <w:marTop w:val="0"/>
      <w:marBottom w:val="0"/>
      <w:divBdr>
        <w:top w:val="none" w:sz="0" w:space="0" w:color="auto"/>
        <w:left w:val="none" w:sz="0" w:space="0" w:color="auto"/>
        <w:bottom w:val="none" w:sz="0" w:space="0" w:color="auto"/>
        <w:right w:val="none" w:sz="0" w:space="0" w:color="auto"/>
      </w:divBdr>
    </w:div>
    <w:div w:id="1657684917">
      <w:bodyDiv w:val="1"/>
      <w:marLeft w:val="0"/>
      <w:marRight w:val="0"/>
      <w:marTop w:val="0"/>
      <w:marBottom w:val="0"/>
      <w:divBdr>
        <w:top w:val="none" w:sz="0" w:space="0" w:color="auto"/>
        <w:left w:val="none" w:sz="0" w:space="0" w:color="auto"/>
        <w:bottom w:val="none" w:sz="0" w:space="0" w:color="auto"/>
        <w:right w:val="none" w:sz="0" w:space="0" w:color="auto"/>
      </w:divBdr>
    </w:div>
    <w:div w:id="1664815039">
      <w:bodyDiv w:val="1"/>
      <w:marLeft w:val="0"/>
      <w:marRight w:val="0"/>
      <w:marTop w:val="0"/>
      <w:marBottom w:val="0"/>
      <w:divBdr>
        <w:top w:val="none" w:sz="0" w:space="0" w:color="auto"/>
        <w:left w:val="none" w:sz="0" w:space="0" w:color="auto"/>
        <w:bottom w:val="none" w:sz="0" w:space="0" w:color="auto"/>
        <w:right w:val="none" w:sz="0" w:space="0" w:color="auto"/>
      </w:divBdr>
    </w:div>
    <w:div w:id="1673296032">
      <w:bodyDiv w:val="1"/>
      <w:marLeft w:val="0"/>
      <w:marRight w:val="0"/>
      <w:marTop w:val="0"/>
      <w:marBottom w:val="0"/>
      <w:divBdr>
        <w:top w:val="none" w:sz="0" w:space="0" w:color="auto"/>
        <w:left w:val="none" w:sz="0" w:space="0" w:color="auto"/>
        <w:bottom w:val="none" w:sz="0" w:space="0" w:color="auto"/>
        <w:right w:val="none" w:sz="0" w:space="0" w:color="auto"/>
      </w:divBdr>
    </w:div>
    <w:div w:id="1677267253">
      <w:bodyDiv w:val="1"/>
      <w:marLeft w:val="0"/>
      <w:marRight w:val="0"/>
      <w:marTop w:val="0"/>
      <w:marBottom w:val="0"/>
      <w:divBdr>
        <w:top w:val="none" w:sz="0" w:space="0" w:color="auto"/>
        <w:left w:val="none" w:sz="0" w:space="0" w:color="auto"/>
        <w:bottom w:val="none" w:sz="0" w:space="0" w:color="auto"/>
        <w:right w:val="none" w:sz="0" w:space="0" w:color="auto"/>
      </w:divBdr>
    </w:div>
    <w:div w:id="1680158938">
      <w:bodyDiv w:val="1"/>
      <w:marLeft w:val="0"/>
      <w:marRight w:val="0"/>
      <w:marTop w:val="0"/>
      <w:marBottom w:val="0"/>
      <w:divBdr>
        <w:top w:val="none" w:sz="0" w:space="0" w:color="auto"/>
        <w:left w:val="none" w:sz="0" w:space="0" w:color="auto"/>
        <w:bottom w:val="none" w:sz="0" w:space="0" w:color="auto"/>
        <w:right w:val="none" w:sz="0" w:space="0" w:color="auto"/>
      </w:divBdr>
    </w:div>
    <w:div w:id="1688368080">
      <w:bodyDiv w:val="1"/>
      <w:marLeft w:val="0"/>
      <w:marRight w:val="0"/>
      <w:marTop w:val="0"/>
      <w:marBottom w:val="0"/>
      <w:divBdr>
        <w:top w:val="none" w:sz="0" w:space="0" w:color="auto"/>
        <w:left w:val="none" w:sz="0" w:space="0" w:color="auto"/>
        <w:bottom w:val="none" w:sz="0" w:space="0" w:color="auto"/>
        <w:right w:val="none" w:sz="0" w:space="0" w:color="auto"/>
      </w:divBdr>
    </w:div>
    <w:div w:id="1720937829">
      <w:bodyDiv w:val="1"/>
      <w:marLeft w:val="0"/>
      <w:marRight w:val="0"/>
      <w:marTop w:val="0"/>
      <w:marBottom w:val="0"/>
      <w:divBdr>
        <w:top w:val="none" w:sz="0" w:space="0" w:color="auto"/>
        <w:left w:val="none" w:sz="0" w:space="0" w:color="auto"/>
        <w:bottom w:val="none" w:sz="0" w:space="0" w:color="auto"/>
        <w:right w:val="none" w:sz="0" w:space="0" w:color="auto"/>
      </w:divBdr>
    </w:div>
    <w:div w:id="1762987035">
      <w:bodyDiv w:val="1"/>
      <w:marLeft w:val="0"/>
      <w:marRight w:val="0"/>
      <w:marTop w:val="0"/>
      <w:marBottom w:val="0"/>
      <w:divBdr>
        <w:top w:val="none" w:sz="0" w:space="0" w:color="auto"/>
        <w:left w:val="none" w:sz="0" w:space="0" w:color="auto"/>
        <w:bottom w:val="none" w:sz="0" w:space="0" w:color="auto"/>
        <w:right w:val="none" w:sz="0" w:space="0" w:color="auto"/>
      </w:divBdr>
    </w:div>
    <w:div w:id="1773818526">
      <w:bodyDiv w:val="1"/>
      <w:marLeft w:val="0"/>
      <w:marRight w:val="0"/>
      <w:marTop w:val="0"/>
      <w:marBottom w:val="0"/>
      <w:divBdr>
        <w:top w:val="none" w:sz="0" w:space="0" w:color="auto"/>
        <w:left w:val="none" w:sz="0" w:space="0" w:color="auto"/>
        <w:bottom w:val="none" w:sz="0" w:space="0" w:color="auto"/>
        <w:right w:val="none" w:sz="0" w:space="0" w:color="auto"/>
      </w:divBdr>
    </w:div>
    <w:div w:id="1818375086">
      <w:bodyDiv w:val="1"/>
      <w:marLeft w:val="0"/>
      <w:marRight w:val="0"/>
      <w:marTop w:val="0"/>
      <w:marBottom w:val="0"/>
      <w:divBdr>
        <w:top w:val="none" w:sz="0" w:space="0" w:color="auto"/>
        <w:left w:val="none" w:sz="0" w:space="0" w:color="auto"/>
        <w:bottom w:val="none" w:sz="0" w:space="0" w:color="auto"/>
        <w:right w:val="none" w:sz="0" w:space="0" w:color="auto"/>
      </w:divBdr>
    </w:div>
    <w:div w:id="1932619999">
      <w:bodyDiv w:val="1"/>
      <w:marLeft w:val="0"/>
      <w:marRight w:val="0"/>
      <w:marTop w:val="0"/>
      <w:marBottom w:val="0"/>
      <w:divBdr>
        <w:top w:val="none" w:sz="0" w:space="0" w:color="auto"/>
        <w:left w:val="none" w:sz="0" w:space="0" w:color="auto"/>
        <w:bottom w:val="none" w:sz="0" w:space="0" w:color="auto"/>
        <w:right w:val="none" w:sz="0" w:space="0" w:color="auto"/>
      </w:divBdr>
    </w:div>
    <w:div w:id="1951231681">
      <w:bodyDiv w:val="1"/>
      <w:marLeft w:val="0"/>
      <w:marRight w:val="0"/>
      <w:marTop w:val="0"/>
      <w:marBottom w:val="0"/>
      <w:divBdr>
        <w:top w:val="none" w:sz="0" w:space="0" w:color="auto"/>
        <w:left w:val="none" w:sz="0" w:space="0" w:color="auto"/>
        <w:bottom w:val="none" w:sz="0" w:space="0" w:color="auto"/>
        <w:right w:val="none" w:sz="0" w:space="0" w:color="auto"/>
      </w:divBdr>
    </w:div>
    <w:div w:id="1956398901">
      <w:bodyDiv w:val="1"/>
      <w:marLeft w:val="0"/>
      <w:marRight w:val="0"/>
      <w:marTop w:val="0"/>
      <w:marBottom w:val="0"/>
      <w:divBdr>
        <w:top w:val="none" w:sz="0" w:space="0" w:color="auto"/>
        <w:left w:val="none" w:sz="0" w:space="0" w:color="auto"/>
        <w:bottom w:val="none" w:sz="0" w:space="0" w:color="auto"/>
        <w:right w:val="none" w:sz="0" w:space="0" w:color="auto"/>
      </w:divBdr>
    </w:div>
    <w:div w:id="2006469083">
      <w:bodyDiv w:val="1"/>
      <w:marLeft w:val="0"/>
      <w:marRight w:val="0"/>
      <w:marTop w:val="0"/>
      <w:marBottom w:val="0"/>
      <w:divBdr>
        <w:top w:val="none" w:sz="0" w:space="0" w:color="auto"/>
        <w:left w:val="none" w:sz="0" w:space="0" w:color="auto"/>
        <w:bottom w:val="none" w:sz="0" w:space="0" w:color="auto"/>
        <w:right w:val="none" w:sz="0" w:space="0" w:color="auto"/>
      </w:divBdr>
    </w:div>
    <w:div w:id="2029745334">
      <w:bodyDiv w:val="1"/>
      <w:marLeft w:val="0"/>
      <w:marRight w:val="0"/>
      <w:marTop w:val="0"/>
      <w:marBottom w:val="0"/>
      <w:divBdr>
        <w:top w:val="none" w:sz="0" w:space="0" w:color="auto"/>
        <w:left w:val="none" w:sz="0" w:space="0" w:color="auto"/>
        <w:bottom w:val="none" w:sz="0" w:space="0" w:color="auto"/>
        <w:right w:val="none" w:sz="0" w:space="0" w:color="auto"/>
      </w:divBdr>
    </w:div>
    <w:div w:id="2044479049">
      <w:bodyDiv w:val="1"/>
      <w:marLeft w:val="0"/>
      <w:marRight w:val="0"/>
      <w:marTop w:val="0"/>
      <w:marBottom w:val="0"/>
      <w:divBdr>
        <w:top w:val="none" w:sz="0" w:space="0" w:color="auto"/>
        <w:left w:val="none" w:sz="0" w:space="0" w:color="auto"/>
        <w:bottom w:val="none" w:sz="0" w:space="0" w:color="auto"/>
        <w:right w:val="none" w:sz="0" w:space="0" w:color="auto"/>
      </w:divBdr>
    </w:div>
    <w:div w:id="2074311439">
      <w:bodyDiv w:val="1"/>
      <w:marLeft w:val="0"/>
      <w:marRight w:val="0"/>
      <w:marTop w:val="0"/>
      <w:marBottom w:val="0"/>
      <w:divBdr>
        <w:top w:val="none" w:sz="0" w:space="0" w:color="auto"/>
        <w:left w:val="none" w:sz="0" w:space="0" w:color="auto"/>
        <w:bottom w:val="none" w:sz="0" w:space="0" w:color="auto"/>
        <w:right w:val="none" w:sz="0" w:space="0" w:color="auto"/>
      </w:divBdr>
    </w:div>
    <w:div w:id="2102332732">
      <w:bodyDiv w:val="1"/>
      <w:marLeft w:val="0"/>
      <w:marRight w:val="0"/>
      <w:marTop w:val="0"/>
      <w:marBottom w:val="0"/>
      <w:divBdr>
        <w:top w:val="none" w:sz="0" w:space="0" w:color="auto"/>
        <w:left w:val="none" w:sz="0" w:space="0" w:color="auto"/>
        <w:bottom w:val="none" w:sz="0" w:space="0" w:color="auto"/>
        <w:right w:val="none" w:sz="0" w:space="0" w:color="auto"/>
      </w:divBdr>
    </w:div>
    <w:div w:id="2116366796">
      <w:bodyDiv w:val="1"/>
      <w:marLeft w:val="0"/>
      <w:marRight w:val="0"/>
      <w:marTop w:val="0"/>
      <w:marBottom w:val="0"/>
      <w:divBdr>
        <w:top w:val="none" w:sz="0" w:space="0" w:color="auto"/>
        <w:left w:val="none" w:sz="0" w:space="0" w:color="auto"/>
        <w:bottom w:val="none" w:sz="0" w:space="0" w:color="auto"/>
        <w:right w:val="none" w:sz="0" w:space="0" w:color="auto"/>
      </w:divBdr>
    </w:div>
    <w:div w:id="2131506795">
      <w:bodyDiv w:val="1"/>
      <w:marLeft w:val="0"/>
      <w:marRight w:val="0"/>
      <w:marTop w:val="0"/>
      <w:marBottom w:val="0"/>
      <w:divBdr>
        <w:top w:val="none" w:sz="0" w:space="0" w:color="auto"/>
        <w:left w:val="none" w:sz="0" w:space="0" w:color="auto"/>
        <w:bottom w:val="none" w:sz="0" w:space="0" w:color="auto"/>
        <w:right w:val="none" w:sz="0" w:space="0" w:color="auto"/>
      </w:divBdr>
    </w:div>
    <w:div w:id="2138596616">
      <w:bodyDiv w:val="1"/>
      <w:marLeft w:val="0"/>
      <w:marRight w:val="0"/>
      <w:marTop w:val="0"/>
      <w:marBottom w:val="0"/>
      <w:divBdr>
        <w:top w:val="none" w:sz="0" w:space="0" w:color="auto"/>
        <w:left w:val="none" w:sz="0" w:space="0" w:color="auto"/>
        <w:bottom w:val="none" w:sz="0" w:space="0" w:color="auto"/>
        <w:right w:val="none" w:sz="0" w:space="0" w:color="auto"/>
      </w:divBdr>
    </w:div>
    <w:div w:id="2146269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riberdis.cedd.net/handle/11181/4274" TargetMode="External"/><Relationship Id="rId1" Type="http://schemas.openxmlformats.org/officeDocument/2006/relationships/hyperlink" Target="http://semanal.cermi.es/noticia/Informe-Comision-Inclusion-Laboral-CERMI-novedades-modificaciones-Real-Decreto-reforma-laboral.asp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86D87A-1B6A-6844-82B5-CA46B43D4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16</Pages>
  <Words>5501</Words>
  <Characters>29432</Characters>
  <Application>Microsoft Office Word</Application>
  <DocSecurity>0</DocSecurity>
  <Lines>498</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Miranda</dc:creator>
  <cp:lastModifiedBy>Microsoft Office User</cp:lastModifiedBy>
  <cp:revision>18</cp:revision>
  <dcterms:created xsi:type="dcterms:W3CDTF">2022-03-31T09:43:00Z</dcterms:created>
  <dcterms:modified xsi:type="dcterms:W3CDTF">2022-03-31T15:21:00Z</dcterms:modified>
</cp:coreProperties>
</file>