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5631B" w:rsidRPr="00A30365" w:rsidRDefault="00B7018F" w:rsidP="00CD41D9">
      <w:pPr>
        <w:spacing w:line="360" w:lineRule="auto"/>
        <w:ind w:left="680" w:firstLine="709"/>
        <w:jc w:val="center"/>
      </w:pPr>
      <w:r w:rsidRPr="00CF0A68">
        <w:rPr>
          <w:b/>
        </w:rPr>
        <w:t>LO QUE HEMOS APRENDIDO SOBRE LAS MUJERES EN LA GUERRA DE ESPAÑA Y LA POSGUERRA. DATOS Y REFLEXIONES DE UN BALANCE</w:t>
      </w:r>
      <w:r w:rsidR="00A30365" w:rsidRPr="00A30365">
        <w:rPr>
          <w:rStyle w:val="Refdenotaalpie"/>
        </w:rPr>
        <w:footnoteReference w:id="1"/>
      </w:r>
    </w:p>
    <w:p w:rsidR="00C5631B" w:rsidRDefault="00947ECF" w:rsidP="00CD41D9">
      <w:pPr>
        <w:spacing w:line="240" w:lineRule="auto"/>
        <w:ind w:firstLine="709"/>
        <w:jc w:val="right"/>
      </w:pPr>
      <w:r>
        <w:t xml:space="preserve">Encarnación </w:t>
      </w:r>
      <w:proofErr w:type="spellStart"/>
      <w:r>
        <w:t>Barranquero</w:t>
      </w:r>
      <w:proofErr w:type="spellEnd"/>
      <w:r>
        <w:t xml:space="preserve"> </w:t>
      </w:r>
      <w:proofErr w:type="spellStart"/>
      <w:r>
        <w:t>Texeira</w:t>
      </w:r>
      <w:proofErr w:type="spellEnd"/>
    </w:p>
    <w:p w:rsidR="00947ECF" w:rsidRDefault="00947ECF" w:rsidP="00CD41D9">
      <w:pPr>
        <w:spacing w:line="240" w:lineRule="auto"/>
        <w:ind w:firstLine="709"/>
        <w:jc w:val="right"/>
      </w:pPr>
      <w:r>
        <w:t>Profesora Titular</w:t>
      </w:r>
    </w:p>
    <w:p w:rsidR="00C5631B" w:rsidRPr="00947ECF" w:rsidRDefault="00C5631B" w:rsidP="00CD41D9">
      <w:pPr>
        <w:spacing w:line="240" w:lineRule="auto"/>
        <w:ind w:firstLine="709"/>
        <w:jc w:val="right"/>
      </w:pPr>
      <w:r w:rsidRPr="00947ECF">
        <w:t>Universidad de Málaga</w:t>
      </w:r>
    </w:p>
    <w:p w:rsidR="00947ECF" w:rsidRDefault="00947ECF" w:rsidP="00CD41D9">
      <w:pPr>
        <w:spacing w:after="0" w:line="360" w:lineRule="auto"/>
        <w:ind w:firstLine="709"/>
        <w:jc w:val="both"/>
      </w:pPr>
      <w:r w:rsidRPr="00947ECF">
        <w:t>SUMARIO</w:t>
      </w:r>
    </w:p>
    <w:p w:rsidR="00947ECF" w:rsidRDefault="00947ECF" w:rsidP="00CD41D9">
      <w:pPr>
        <w:pStyle w:val="Prrafodelista"/>
        <w:numPr>
          <w:ilvl w:val="0"/>
          <w:numId w:val="1"/>
        </w:numPr>
        <w:spacing w:line="360" w:lineRule="auto"/>
        <w:ind w:firstLine="709"/>
        <w:jc w:val="both"/>
      </w:pPr>
      <w:r>
        <w:t>Introducción. Estado de la cuestión</w:t>
      </w:r>
    </w:p>
    <w:p w:rsidR="00947ECF" w:rsidRPr="00947ECF" w:rsidRDefault="00947ECF" w:rsidP="00CD41D9">
      <w:pPr>
        <w:pStyle w:val="Prrafodelista"/>
        <w:numPr>
          <w:ilvl w:val="0"/>
          <w:numId w:val="1"/>
        </w:numPr>
        <w:spacing w:line="360" w:lineRule="auto"/>
        <w:ind w:firstLine="709"/>
        <w:jc w:val="both"/>
      </w:pPr>
      <w:r w:rsidRPr="00947ECF">
        <w:t xml:space="preserve">La República frente al franquismo. Los dos modelos </w:t>
      </w:r>
    </w:p>
    <w:p w:rsidR="00947ECF" w:rsidRDefault="00947ECF" w:rsidP="00CD41D9">
      <w:pPr>
        <w:pStyle w:val="Prrafodelista"/>
        <w:numPr>
          <w:ilvl w:val="0"/>
          <w:numId w:val="1"/>
        </w:numPr>
        <w:spacing w:line="360" w:lineRule="auto"/>
        <w:ind w:firstLine="709"/>
        <w:jc w:val="both"/>
      </w:pPr>
      <w:r w:rsidRPr="00947ECF">
        <w:t>La violencia contra las mujeres en la guerra</w:t>
      </w:r>
    </w:p>
    <w:p w:rsidR="00947ECF" w:rsidRDefault="00947ECF" w:rsidP="00CD41D9">
      <w:pPr>
        <w:pStyle w:val="Prrafodelista"/>
        <w:numPr>
          <w:ilvl w:val="0"/>
          <w:numId w:val="1"/>
        </w:numPr>
        <w:spacing w:line="360" w:lineRule="auto"/>
        <w:ind w:firstLine="709"/>
        <w:jc w:val="both"/>
      </w:pPr>
      <w:r>
        <w:t>Castigos específicos</w:t>
      </w:r>
    </w:p>
    <w:p w:rsidR="00947ECF" w:rsidRDefault="00A30365" w:rsidP="00CD41D9">
      <w:pPr>
        <w:pStyle w:val="Prrafodelista"/>
        <w:numPr>
          <w:ilvl w:val="0"/>
          <w:numId w:val="1"/>
        </w:numPr>
        <w:spacing w:line="360" w:lineRule="auto"/>
        <w:ind w:firstLine="709"/>
        <w:jc w:val="both"/>
      </w:pPr>
      <w:r>
        <w:t>El proyecto moralizador</w:t>
      </w:r>
    </w:p>
    <w:p w:rsidR="00947ECF" w:rsidRDefault="00A30365" w:rsidP="00CD41D9">
      <w:pPr>
        <w:pStyle w:val="Prrafodelista"/>
        <w:numPr>
          <w:ilvl w:val="0"/>
          <w:numId w:val="1"/>
        </w:numPr>
        <w:spacing w:line="360" w:lineRule="auto"/>
        <w:ind w:firstLine="709"/>
        <w:jc w:val="both"/>
      </w:pPr>
      <w:r>
        <w:t>La proyección de la guerra</w:t>
      </w:r>
    </w:p>
    <w:p w:rsidR="00B80BBE" w:rsidRDefault="00B80BBE" w:rsidP="00CD41D9">
      <w:pPr>
        <w:pStyle w:val="Prrafodelista"/>
        <w:numPr>
          <w:ilvl w:val="0"/>
          <w:numId w:val="1"/>
        </w:numPr>
        <w:spacing w:line="360" w:lineRule="auto"/>
        <w:ind w:firstLine="709"/>
        <w:jc w:val="both"/>
      </w:pPr>
      <w:r>
        <w:t>Bibliografía</w:t>
      </w:r>
    </w:p>
    <w:p w:rsidR="00280079" w:rsidRPr="00947ECF" w:rsidRDefault="00280079" w:rsidP="00CD41D9">
      <w:pPr>
        <w:spacing w:after="0" w:line="360" w:lineRule="auto"/>
        <w:ind w:firstLine="709"/>
        <w:jc w:val="both"/>
      </w:pPr>
      <w:bookmarkStart w:id="0" w:name="_GoBack"/>
      <w:bookmarkEnd w:id="0"/>
    </w:p>
    <w:p w:rsidR="00C5631B" w:rsidRPr="00CF0A68" w:rsidRDefault="00280079" w:rsidP="00CD41D9">
      <w:pPr>
        <w:pStyle w:val="Prrafodelista"/>
        <w:numPr>
          <w:ilvl w:val="0"/>
          <w:numId w:val="2"/>
        </w:numPr>
        <w:spacing w:line="360" w:lineRule="auto"/>
        <w:ind w:firstLine="709"/>
        <w:jc w:val="both"/>
        <w:rPr>
          <w:b/>
        </w:rPr>
      </w:pPr>
      <w:r w:rsidRPr="00CF0A68">
        <w:rPr>
          <w:b/>
        </w:rPr>
        <w:t>INTRODUCCIÓN. EL ESTADO DE LA CUESTIÓN</w:t>
      </w:r>
    </w:p>
    <w:p w:rsidR="00C5631B" w:rsidRDefault="00C5631B" w:rsidP="00CD41D9">
      <w:pPr>
        <w:spacing w:after="0" w:line="360" w:lineRule="auto"/>
        <w:ind w:firstLine="709"/>
        <w:jc w:val="both"/>
      </w:pPr>
      <w:r>
        <w:t>El conocimiento que tenemos sob</w:t>
      </w:r>
      <w:r w:rsidR="00DE1216">
        <w:t xml:space="preserve">re las mujeres y la Guerra </w:t>
      </w:r>
      <w:r w:rsidR="00CE55CE">
        <w:t>de España</w:t>
      </w:r>
      <w:r>
        <w:t xml:space="preserve"> se ha enriquecido notablemente pero podemos decir que los trabajos de investigación tienen una corta trayectoria, que apenas supera los cuarenta años. Cuando Mª Carmen García-Nieto intervino en las Primeras Jornadas de Investigación Interdisciplinaria en 1981, aunque comentaba el trabajo de Mary Nash, </w:t>
      </w:r>
      <w:proofErr w:type="spellStart"/>
      <w:r>
        <w:t>Giuliana</w:t>
      </w:r>
      <w:proofErr w:type="spellEnd"/>
      <w:r>
        <w:t xml:space="preserve"> di Febo o Lola Iturbe, se lamentaba de que en la abundante literatura sobre el conflicto las mujeres eran las ausentes</w:t>
      </w:r>
      <w:r w:rsidR="00CE55CE">
        <w:rPr>
          <w:rStyle w:val="Refdenotaalpie"/>
        </w:rPr>
        <w:footnoteReference w:id="2"/>
      </w:r>
      <w:r>
        <w:t xml:space="preserve">. Proponía ya todo un proyecto colectivo para saldar la inmensa deuda vigente puesto que se había avanzado –decía entonces- en aspectos militares; menos en historia política y faltaba por hacer una historia social en la que debería incluirse a las mujeres. </w:t>
      </w:r>
      <w:r w:rsidR="00DE1216">
        <w:t>También se quejaba de</w:t>
      </w:r>
      <w:r>
        <w:t xml:space="preserve"> la situación de los archivos, esta historiadora apuntaba las áreas </w:t>
      </w:r>
      <w:r>
        <w:lastRenderedPageBreak/>
        <w:t xml:space="preserve">de más interés: familia, trabajo, mentalidades, </w:t>
      </w:r>
      <w:r w:rsidR="00DE1216">
        <w:t>o política</w:t>
      </w:r>
      <w:r>
        <w:t xml:space="preserve"> que, después de todo, han seguido los trabajos de investigación.</w:t>
      </w:r>
    </w:p>
    <w:p w:rsidR="00C5631B" w:rsidRDefault="00C5631B" w:rsidP="00CD41D9">
      <w:pPr>
        <w:spacing w:after="0" w:line="360" w:lineRule="auto"/>
        <w:ind w:firstLine="709"/>
        <w:jc w:val="both"/>
      </w:pPr>
      <w:r>
        <w:t xml:space="preserve">Otros balances posteriores han retratado el estado de la cuestión en diferentes períodos, mostrando otros focos de atención, otras preguntas, incluso otras propuestas metodológicas y en ello han influido tanto los nuevos fondos documentales que a lo largo de los años se han abierto a la consulta, como las políticas de memoria que han contribuido a animar el debate </w:t>
      </w:r>
      <w:r w:rsidR="00DE1216">
        <w:t>y el interés por la guerra, las mujeres y</w:t>
      </w:r>
      <w:r>
        <w:t xml:space="preserve"> la represión</w:t>
      </w:r>
      <w:r w:rsidR="00DE1216">
        <w:t xml:space="preserve">. </w:t>
      </w:r>
      <w:r>
        <w:t xml:space="preserve">La historiografía ha mostrado algunas especificidades, tanto en los focos de atención, en los tiempos en los que se han abordado las investigaciones como en la metodología. </w:t>
      </w:r>
      <w:r w:rsidR="00DE1216">
        <w:t>Se ha</w:t>
      </w:r>
      <w:r>
        <w:t xml:space="preserve"> interesado por estos trabajos</w:t>
      </w:r>
      <w:r w:rsidR="00DE1216">
        <w:t xml:space="preserve"> </w:t>
      </w:r>
      <w:r>
        <w:t>el denominado “feminismo</w:t>
      </w:r>
      <w:r>
        <w:rPr>
          <w:i/>
        </w:rPr>
        <w:t xml:space="preserve"> </w:t>
      </w:r>
      <w:r>
        <w:t>académico”, que ha impulsado los estudios de género, entre los que la Historia de las Mujeres ha sido el más importante y la guerra, un tema preferente.</w:t>
      </w:r>
    </w:p>
    <w:p w:rsidR="00C5631B" w:rsidRDefault="00C5631B" w:rsidP="00CD41D9">
      <w:pPr>
        <w:spacing w:after="0" w:line="360" w:lineRule="auto"/>
        <w:ind w:firstLine="709"/>
        <w:jc w:val="both"/>
      </w:pPr>
      <w:r>
        <w:t>Los balances historiográficos han destacado el relativo retraso, incluso la persistencia de la invisibilidad de las mujeres en las investigaciones que, al principio, solo se acerca</w:t>
      </w:r>
      <w:r w:rsidR="00DE1216">
        <w:t xml:space="preserve">ban a personajes de referencia </w:t>
      </w:r>
      <w:r>
        <w:t xml:space="preserve">como Federica </w:t>
      </w:r>
      <w:proofErr w:type="spellStart"/>
      <w:r>
        <w:t>Montseny</w:t>
      </w:r>
      <w:proofErr w:type="spellEnd"/>
      <w:r>
        <w:t xml:space="preserve"> o Dolores Ibárruri, </w:t>
      </w:r>
      <w:r w:rsidR="00DE1216">
        <w:t>a</w:t>
      </w:r>
      <w:r>
        <w:t xml:space="preserve"> la presencia inaudita de milicianas en el frente y al contraste de los modelos de mujer en ambas zonas contendientes. Sin embargo, en las últimas se ha ido superando aquella primera historia contributiva, más convencional. Si, en general,  el conocimiento sobre la guerra se vio dificultado por multitud de problemas archivísticos, editoriales o políticos, un tema con aristas como este aún tuvo que superar otras trabas documentales o metodológicas y obligó a buscar nuevas claves interpretativas. Los datos que vamos conociendo tanto en lo que se refiere a la violencia en ambas zonas, a las estrategias de supervivencia en la posguerra, castigos por parentesco o participación en resistencias cotidianas, forman parte de los nuevos focos de atención y todo esto ha sido posible gracias a los archivos de las cárceles de mujeres, los militares, los testimonios orales, las memoria</w:t>
      </w:r>
      <w:r w:rsidR="00502D9A">
        <w:t xml:space="preserve">s escritas, cartas, fotografías, </w:t>
      </w:r>
      <w:r>
        <w:t xml:space="preserve">documentos personales o </w:t>
      </w:r>
      <w:r w:rsidR="00502D9A">
        <w:t>la documentación militar</w:t>
      </w:r>
      <w:r>
        <w:t xml:space="preserve">. </w:t>
      </w:r>
    </w:p>
    <w:p w:rsidR="00C5631B" w:rsidRDefault="00502D9A" w:rsidP="00CD41D9">
      <w:pPr>
        <w:spacing w:after="0" w:line="360" w:lineRule="auto"/>
        <w:ind w:firstLine="709"/>
        <w:jc w:val="both"/>
      </w:pPr>
      <w:r>
        <w:t>Mary Nash</w:t>
      </w:r>
      <w:r w:rsidR="00C5631B">
        <w:t xml:space="preserve"> hacía balance de las investigaciones de Historia de las Mujeres, el ámbito más desarrollado de los estudios de la mujer en general. Consideraba que todavía no tenía el reconocimiento en el mundo de la investigación científica que merecían y estaba lejos de la normalización en las universidades</w:t>
      </w:r>
      <w:r w:rsidR="00C822B8">
        <w:rPr>
          <w:rStyle w:val="Refdenotaalpie"/>
        </w:rPr>
        <w:footnoteReference w:id="3"/>
      </w:r>
      <w:r w:rsidR="00C5631B">
        <w:t xml:space="preserve">. Recordaba que en la década de los ochenta fueron escasos los trabajos sobre las mujeres y, por la evolución </w:t>
      </w:r>
      <w:r w:rsidR="00C5631B">
        <w:lastRenderedPageBreak/>
        <w:t>política, tuvieron que ver con el sufragio y el movimiento obrero, otros fueron trabajos de escritoras y periodistas que evocaban una época pasada, cuyo recuerdo empezaba a interesar y además vieron la luz algunas memorias de mujeres que, generalmente vivieron la guerra y participaron en la resistencia antifranquista. En estos casos, las más conscientes activistas –en su mayoría del PCE-, consideraron que hacerlo era un deber de militantes</w:t>
      </w:r>
      <w:r w:rsidR="00694C1B">
        <w:rPr>
          <w:rStyle w:val="Refdenotaalpie"/>
        </w:rPr>
        <w:footnoteReference w:id="4"/>
      </w:r>
      <w:r w:rsidR="00C5631B">
        <w:t>. A partir de los noventa, Mary Nash destacaba la legitimación del feminismo académico y consideraba que ya se conocía con cierto detalle la relación entre el proceso de transformación social y la modificación de las estructuras patriarcales durante la Guer</w:t>
      </w:r>
      <w:r>
        <w:t>ra Civil</w:t>
      </w:r>
      <w:r w:rsidR="009D4554">
        <w:rPr>
          <w:rStyle w:val="Refdenotaalpie"/>
        </w:rPr>
        <w:footnoteReference w:id="5"/>
      </w:r>
      <w:r>
        <w:t xml:space="preserve">. </w:t>
      </w:r>
      <w:r w:rsidR="00C5631B">
        <w:t>Sofía Rodríguez publicó unos años después un nuevo balance historiográfico sobre las mujeres en la Guerra Civil. Consideraba que aún los estudios de sexo/género no habían sido sino mínimamente explorados</w:t>
      </w:r>
      <w:r w:rsidR="009542BB">
        <w:rPr>
          <w:rStyle w:val="Refdenotaalpie"/>
        </w:rPr>
        <w:footnoteReference w:id="6"/>
      </w:r>
      <w:r w:rsidR="00C5631B">
        <w:t xml:space="preserve"> e insistía en la necesidad de ela</w:t>
      </w:r>
      <w:r w:rsidR="009542BB">
        <w:t>borar una historia integral, como</w:t>
      </w:r>
      <w:r w:rsidR="00C5631B">
        <w:t xml:space="preserve"> ha</w:t>
      </w:r>
      <w:r w:rsidR="009542BB">
        <w:t>bían propuesto anteriormente l</w:t>
      </w:r>
      <w:r w:rsidR="00C5631B">
        <w:t xml:space="preserve">as </w:t>
      </w:r>
      <w:r w:rsidR="009542BB">
        <w:t>citadas historiadoras</w:t>
      </w:r>
      <w:r w:rsidR="00C5631B">
        <w:t>, No obstante ya comenta la existencia de numerosas monografías, artículos o contribuciones en reuniones científicas. En este período se consolidaron en las universidades los seminarios y asociaciones de estudios de la mujer, que no solo han venido organizando algunos congresos y cursos sino también han consolidado másteres seminarios y asignaturas de historia de género. Las consecuencias se han plasmado en la elaboración y publicación de tesis, trabajos de fin de grado o máster y colecciones específicas en las editoriales universitarias y comerciales.</w:t>
      </w:r>
    </w:p>
    <w:p w:rsidR="00C5631B" w:rsidRDefault="00C5631B" w:rsidP="00CD41D9">
      <w:pPr>
        <w:spacing w:after="0" w:line="360" w:lineRule="auto"/>
        <w:ind w:firstLine="709"/>
        <w:jc w:val="both"/>
      </w:pPr>
      <w:r>
        <w:t>Sofía Rodríguez comenta que en los noventa y en el tránsito del siglo una corriente de gran repercusión para la historia de las mujeres en la guerra civil y la posguerra venía de un grupo de autoras y autores que se acercaban a las “historia de vida” utilizan</w:t>
      </w:r>
      <w:r w:rsidR="009542BB">
        <w:t>do la autobiografía, como hizo Juana Doña</w:t>
      </w:r>
      <w:r>
        <w:t xml:space="preserve"> o la biografía mediante entrevistas como l</w:t>
      </w:r>
      <w:r w:rsidR="0037644D">
        <w:t>as de María Salvo,</w:t>
      </w:r>
      <w:r>
        <w:t xml:space="preserve"> o Julia Manzanal</w:t>
      </w:r>
      <w:r w:rsidR="009542BB">
        <w:rPr>
          <w:rStyle w:val="Refdenotaalpie"/>
        </w:rPr>
        <w:footnoteReference w:id="7"/>
      </w:r>
      <w:r>
        <w:t>.</w:t>
      </w:r>
    </w:p>
    <w:p w:rsidR="00502D9A" w:rsidRDefault="00C5631B" w:rsidP="00CD41D9">
      <w:pPr>
        <w:spacing w:after="0" w:line="360" w:lineRule="auto"/>
        <w:ind w:firstLine="709"/>
        <w:jc w:val="both"/>
      </w:pPr>
      <w:r>
        <w:t xml:space="preserve">Así pues, después de las III Jornadas de Estudios Monográficos, celebradas en Salamanca en 1989 dedicadas a las Mujeres y la Guerra Civil, o Las Mujeres y las Guerras organizado por la AEIM en 2003, se celebró en Málaga en 2008 un congreso </w:t>
      </w:r>
      <w:r>
        <w:lastRenderedPageBreak/>
        <w:t>bajo el título “Mujer, Guerra Civil y Franquismo”, cuyas actas se publicaron en dos libros colectivos</w:t>
      </w:r>
      <w:r w:rsidR="00AC1539">
        <w:rPr>
          <w:rStyle w:val="Refdenotaalpie"/>
        </w:rPr>
        <w:footnoteReference w:id="8"/>
      </w:r>
      <w:r>
        <w:t xml:space="preserve">. </w:t>
      </w:r>
    </w:p>
    <w:p w:rsidR="00C5631B" w:rsidRDefault="00C5631B" w:rsidP="00CD41D9">
      <w:pPr>
        <w:spacing w:after="0" w:line="360" w:lineRule="auto"/>
        <w:ind w:firstLine="709"/>
        <w:jc w:val="both"/>
      </w:pPr>
      <w:r>
        <w:t>Un balance historiográfico más reciente</w:t>
      </w:r>
      <w:r w:rsidR="00806637">
        <w:rPr>
          <w:rStyle w:val="Refdenotaalpie"/>
        </w:rPr>
        <w:footnoteReference w:id="9"/>
      </w:r>
      <w:r>
        <w:t xml:space="preserve"> comenta las novedades de los diez años siguientes, de gran importancia por ser un período en que el interés por la guerra y la represión han ayudado a que, mediante políticas de memoria a diferentes niveles administrativos, se hayan impulsado algunos proyectos de investigación, publicaciones, exhumaciones o subvenciones a webs de difusión.  Esta autora ya afirma que las mujeres han</w:t>
      </w:r>
      <w:r w:rsidR="00806637">
        <w:t xml:space="preserve"> sido visibles en la guerra</w:t>
      </w:r>
      <w:r>
        <w:t xml:space="preserve">  y destaca dos libros sobre el tema</w:t>
      </w:r>
      <w:r w:rsidR="00806637">
        <w:rPr>
          <w:rStyle w:val="Refdenotaalpie"/>
        </w:rPr>
        <w:footnoteReference w:id="10"/>
      </w:r>
      <w:r>
        <w:t xml:space="preserve"> y otros asuntos de interés, como han sido el del papel de las mujeres en las retaguardias, las mujeres en las brigadas internacionales, las milicianas, la difusión de biografías, casi todas beneficiadas de nuevos fondos documentales –particularmente la documentación militar- o las posibilidades de consulta </w:t>
      </w:r>
      <w:r w:rsidRPr="00502D9A">
        <w:rPr>
          <w:i/>
        </w:rPr>
        <w:t>on-line</w:t>
      </w:r>
      <w:r>
        <w:t xml:space="preserve"> de webs, blogs, redes sociales memorialistas.</w:t>
      </w:r>
      <w:r w:rsidR="00C24EEC">
        <w:t xml:space="preserve"> Destacan los </w:t>
      </w:r>
      <w:r>
        <w:t>trabajos comparativos de ambas zona</w:t>
      </w:r>
      <w:r w:rsidR="00C24EEC">
        <w:t>s</w:t>
      </w:r>
      <w:r w:rsidR="00827F23">
        <w:rPr>
          <w:rStyle w:val="Refdenotaalpie"/>
        </w:rPr>
        <w:footnoteReference w:id="11"/>
      </w:r>
      <w:r>
        <w:t>, al igual que la aparición de estudios que abordan la violencia sobre las mujeres en la zona franquista, pero también en la republicana, como veremos más adelante.</w:t>
      </w:r>
    </w:p>
    <w:p w:rsidR="00C5631B" w:rsidRDefault="00C5631B" w:rsidP="00CD41D9">
      <w:pPr>
        <w:spacing w:after="0" w:line="360" w:lineRule="auto"/>
        <w:ind w:firstLine="709"/>
        <w:jc w:val="both"/>
      </w:pPr>
      <w:r>
        <w:t xml:space="preserve">Podemos añadir que la “represión sexuada” ha reunido numerosos trabajos, desde las publicaciones de </w:t>
      </w:r>
      <w:proofErr w:type="spellStart"/>
      <w:r>
        <w:t>Maud</w:t>
      </w:r>
      <w:proofErr w:type="spellEnd"/>
      <w:r>
        <w:t xml:space="preserve"> </w:t>
      </w:r>
      <w:proofErr w:type="spellStart"/>
      <w:r>
        <w:t>Joly</w:t>
      </w:r>
      <w:proofErr w:type="spellEnd"/>
      <w:r w:rsidR="00C24EEC">
        <w:rPr>
          <w:rStyle w:val="Refdenotaalpie"/>
        </w:rPr>
        <w:footnoteReference w:id="12"/>
      </w:r>
      <w:r>
        <w:t>, que se han enriquecido con los trabajos sobre las rapadas</w:t>
      </w:r>
      <w:r w:rsidR="00C24EEC">
        <w:rPr>
          <w:rStyle w:val="Refdenotaalpie"/>
        </w:rPr>
        <w:footnoteReference w:id="13"/>
      </w:r>
      <w:r>
        <w:t xml:space="preserve"> y algunos trabajos comparativos</w:t>
      </w:r>
      <w:r w:rsidR="00101FEF">
        <w:rPr>
          <w:rStyle w:val="Refdenotaalpie"/>
        </w:rPr>
        <w:footnoteReference w:id="14"/>
      </w:r>
      <w:r>
        <w:t xml:space="preserve"> o el vocabulario específico en los consejos de guerra</w:t>
      </w:r>
      <w:r w:rsidR="00B558C8">
        <w:rPr>
          <w:rStyle w:val="Refdenotaalpie"/>
        </w:rPr>
        <w:footnoteReference w:id="15"/>
      </w:r>
      <w:r>
        <w:t>.  Otros trabajos se han centrado en la represión con las particularidades regionales</w:t>
      </w:r>
      <w:r w:rsidR="00A72F0F">
        <w:rPr>
          <w:rStyle w:val="Refdenotaalpie"/>
        </w:rPr>
        <w:footnoteReference w:id="16"/>
      </w:r>
      <w:r w:rsidR="00F96276">
        <w:t xml:space="preserve"> o locales</w:t>
      </w:r>
      <w:r w:rsidR="00F96276">
        <w:rPr>
          <w:rStyle w:val="Refdenotaalpie"/>
        </w:rPr>
        <w:footnoteReference w:id="17"/>
      </w:r>
      <w:r>
        <w:t>.</w:t>
      </w:r>
    </w:p>
    <w:p w:rsidR="00C5631B" w:rsidRDefault="00C5631B" w:rsidP="00CD41D9">
      <w:pPr>
        <w:spacing w:after="0" w:line="360" w:lineRule="auto"/>
        <w:ind w:firstLine="709"/>
        <w:jc w:val="both"/>
      </w:pPr>
      <w:r>
        <w:lastRenderedPageBreak/>
        <w:t>Además del avance de los trabajos académicos es constatable la difusión del movimiento de recuperación de la memoria: testimonios, fosas de mujeres y familiares de represaliados. Además, en los últimos veinte años se han añadido las posibilidades de la informática y el desarrollo de la Red, no solo como plataforma de difusión de investigaciones sino también como lugar de consulta. Periódicos digitales o versiones digitales, sitios de asociaciones de memoria, organizaciones culturales o institucionales tienen fotografías, testimonios, cartas, mapas de fosas y otros documentos, así como proyectos de fonotecas ya avanzados, además de bases de datos diversos de gran interés para analizar el papel de las mujeres en la guerra y el impacto de esta en ellas, sobre todo, por los testimonios escritos o grabados</w:t>
      </w:r>
      <w:r w:rsidR="00402FD3">
        <w:rPr>
          <w:rStyle w:val="Refdenotaalpie"/>
        </w:rPr>
        <w:footnoteReference w:id="18"/>
      </w:r>
      <w:r>
        <w:t>. Por otra parte, también contamos con re</w:t>
      </w:r>
      <w:r w:rsidR="00C71920">
        <w:t>flexiones sobre la memoria de</w:t>
      </w:r>
      <w:r>
        <w:t xml:space="preserve"> las mujeres desde una perspectiva actual</w:t>
      </w:r>
      <w:r w:rsidR="00402FD3">
        <w:rPr>
          <w:rStyle w:val="Refdenotaalpie"/>
        </w:rPr>
        <w:footnoteReference w:id="19"/>
      </w:r>
      <w:r>
        <w:t>.</w:t>
      </w:r>
    </w:p>
    <w:p w:rsidR="007A14E9" w:rsidRDefault="007A14E9" w:rsidP="00CD41D9">
      <w:pPr>
        <w:spacing w:after="0" w:line="360" w:lineRule="auto"/>
        <w:ind w:firstLine="709"/>
        <w:jc w:val="both"/>
      </w:pPr>
    </w:p>
    <w:p w:rsidR="00C5631B" w:rsidRPr="00CF0A68" w:rsidRDefault="00C71920" w:rsidP="00CD41D9">
      <w:pPr>
        <w:pStyle w:val="Prrafodelista"/>
        <w:numPr>
          <w:ilvl w:val="0"/>
          <w:numId w:val="2"/>
        </w:numPr>
        <w:spacing w:line="360" w:lineRule="auto"/>
        <w:ind w:firstLine="709"/>
        <w:jc w:val="center"/>
        <w:rPr>
          <w:b/>
        </w:rPr>
      </w:pPr>
      <w:r w:rsidRPr="00CF0A68">
        <w:rPr>
          <w:b/>
        </w:rPr>
        <w:t>LA REPÚBLICA FRENTE AL FRANQUISMO. LOS DOS MODELOS</w:t>
      </w:r>
    </w:p>
    <w:p w:rsidR="00C5631B" w:rsidRDefault="00C5631B" w:rsidP="00CD41D9">
      <w:pPr>
        <w:spacing w:after="0" w:line="360" w:lineRule="auto"/>
        <w:ind w:firstLine="709"/>
        <w:jc w:val="both"/>
      </w:pPr>
      <w:r>
        <w:t>Las mujeres habían venido siendo un colectivo, desde el punto de vista de clase, muy heterogéneo, pero en general, sometido a una mentalidad y costumbres que lo situaban en un plano de desigualdad demostrable, tanto en el ámbito laboral, ya que su trabajo era menos reconocido y peor pagado; en el educativo, ya que se trataba de un colectivo en el que el analfabetismo era más elevado que el de los hombres –en algunas regiones el nivel de analfabetismo de las mujeres creció en la zona franquista y la posguerra a más del 60% como ocurrió en Andalucía-; en el político, ya que las mujeres venían militando en partidos y sindicatos en una proporción menor que los varones  y en el social,  por el papel de madre y esposa ejemplares en la gestión de su hogar y en su consideración moral, con normas muy estrictas basadas en una tradición influida por la religión, como ocurría sobre todo en los países mediterráneos.</w:t>
      </w:r>
    </w:p>
    <w:p w:rsidR="00C5631B" w:rsidRDefault="00C5631B" w:rsidP="00CD41D9">
      <w:pPr>
        <w:spacing w:after="0" w:line="360" w:lineRule="auto"/>
        <w:ind w:firstLine="709"/>
        <w:jc w:val="both"/>
      </w:pPr>
      <w:r>
        <w:t xml:space="preserve">Esta situación, que varió apenas con la aparición desde principios del siglo XX de algunas asociaciones de mujeres, minoritarias, de escasa proyección y con algunos tímidos cambios sociales en la moda, el ocio o la educación se vio trastocada por la llegada de la Segunda República en 1931. Los gobiernos republicanos afrontaron los </w:t>
      </w:r>
      <w:r>
        <w:lastRenderedPageBreak/>
        <w:t xml:space="preserve">problemas de desigualdad y todo ello irritó a los sectores más conservadores. Los golpistas el 18 de julio se levantaron, entre otras causas, contra un modelo de mujer republicana, que consideraban perverso y extranjerizante porque perseguía la igualdad y trastocaba el orden tradicional. </w:t>
      </w:r>
    </w:p>
    <w:p w:rsidR="00C5631B" w:rsidRDefault="00C5631B" w:rsidP="00CD41D9">
      <w:pPr>
        <w:spacing w:after="0" w:line="360" w:lineRule="auto"/>
        <w:ind w:firstLine="709"/>
        <w:jc w:val="both"/>
      </w:pPr>
      <w:r>
        <w:t>La llegada de la II República había dado lugar a una serie de cambios generalmente modernizadores y reformistas. Los franquistas castigaron a las personas defensoras de estos derechos y a las mujeres que hubieran hecho uso de los mismos. Nos interesa destacar aquellas reformas que se destinaron a aliviar la situación de desigualdad de las mujeres, dentro del conjunto de los cambios experimentados en el mundo del trabajo, el ejército, las relaciones Iglesia-Estado o el impulso a la educación, desde la concesión del sufragio femenino que permitió a las mujeres votar por primera vez en las elecciones generales de 1933, se impulsó la participación política pues los partidos promovieron secciones o áreas femeninas en sus organizaciones. Además, se fundaron otras, de mujeres exclusivamente, como la sección española del Comité Mundial de Mujeres contra la Guerra y el Fascismo que, ilegalizada en 1934, se convirtió en Pro Infancia Obrera, dedicada a socorrer a los hijos de los presos de octubre de 1934. Fue muy importante para la gestación del Frente Popular. La movilización y la participación en huelgas más o menos organizadas está documentada</w:t>
      </w:r>
      <w:r w:rsidR="005D7BD7">
        <w:rPr>
          <w:rStyle w:val="Refdenotaalpie"/>
        </w:rPr>
        <w:footnoteReference w:id="20"/>
      </w:r>
      <w:r>
        <w:t xml:space="preserve"> y seguramente otras investigaciones enriquecerán esta línea de trabajo.</w:t>
      </w:r>
    </w:p>
    <w:p w:rsidR="00C5631B" w:rsidRDefault="00C5631B" w:rsidP="00CD41D9">
      <w:pPr>
        <w:spacing w:after="0" w:line="360" w:lineRule="auto"/>
        <w:ind w:firstLine="709"/>
        <w:jc w:val="both"/>
      </w:pPr>
      <w:r>
        <w:t xml:space="preserve">Muchas eran las voces que denunciaban la situación conyugal y sexual de las mujeres: tolerancia ante el adulterio de los maridos, proporción elevada de hijos ilegítimos, legalidad de la prostitución, malos tratos y extensión de las enfermedades venéreas. Entre las primeras medidas del gobierno provisional destacó el seguro de maternidad que, desde tiempo atrás, perseguía el PSOE. La concesión del voto tras encendidas discusiones entre el 30 de septiembre y el 1 de octubre de 1931, el reconocimiento del matrimonio civil, la igualdad de derechos para los hijos, ya fueran legítimos o ilegítimos y la aprobación del divorcio mediante una ley que aceptaba como causa el mutuo consentimiento. Era la primera vez que se legislaba sobre la vida familiar a fin de extender la igualdad en la institución. El divorcio era posible por mutuo acuerdo y quedaba reconocida la igualdad entre todos los hijos e hijas tenidos dentro o fuera del matrimonio. No obstante, y pese al catastrofismo extendido en la propaganda </w:t>
      </w:r>
      <w:r>
        <w:lastRenderedPageBreak/>
        <w:t>de las organizaciones conservadoras, las investigaciones sobre sus consecuencias demuestran un impacto reducido. La ley fue aprobada el 2 de marzo de 1932, unas semanas más tarde que la Constitución y desde entonces hasta finales de 1933, fecha en que las derechas recuperaron el poder se tramitaron 4043 divorcios, apenas uno por 10.000 habitantes</w:t>
      </w:r>
      <w:r w:rsidR="00A850D5">
        <w:rPr>
          <w:rStyle w:val="Refdenotaalpie"/>
        </w:rPr>
        <w:footnoteReference w:id="21"/>
      </w:r>
      <w:r w:rsidR="00A850D5">
        <w:t>.</w:t>
      </w:r>
      <w:r>
        <w:t xml:space="preserve"> Sabemos que más de la mitad se gestionaron a petición de las mujeres y, en algunas localidades, en su totalidad</w:t>
      </w:r>
      <w:r w:rsidR="00BA4975">
        <w:rPr>
          <w:rStyle w:val="Refdenotaalpie"/>
        </w:rPr>
        <w:footnoteReference w:id="22"/>
      </w:r>
      <w:r>
        <w:t xml:space="preserve"> y que casi la mitad fueron presentadas por personas pertenecientes a las clases trabajadoras.</w:t>
      </w:r>
    </w:p>
    <w:p w:rsidR="00C5631B" w:rsidRDefault="00C5631B" w:rsidP="00CD41D9">
      <w:pPr>
        <w:spacing w:after="0" w:line="360" w:lineRule="auto"/>
        <w:ind w:firstLine="709"/>
        <w:jc w:val="both"/>
      </w:pPr>
      <w:r>
        <w:t>Mientras, las organizaciones derechistas y católicas estimulaban la publicación de revistas de mujeres y asociaciones de reciente creación que, con otras más tradicionalistas, hicieron importantes campañas por el voto de derechas y organizaron manifestaciones de significación religiosa como expresión de su tradicionalismo, que tenían un carácter político muy marcado.</w:t>
      </w:r>
    </w:p>
    <w:p w:rsidR="00C5631B" w:rsidRDefault="00C5631B" w:rsidP="00CD41D9">
      <w:pPr>
        <w:spacing w:after="0" w:line="360" w:lineRule="auto"/>
        <w:ind w:firstLine="709"/>
        <w:jc w:val="both"/>
      </w:pPr>
      <w:r>
        <w:t>Tras la victoria del Frente Popular en 1936, se sucedieron unos meses de fuerte actividad política y de esperanza en la lucha por los derechos. Revistas como “Mujeres” era dirigida por Dolores Ibárruri, dirigente comunista, o “Mujeres anarquistas”</w:t>
      </w:r>
      <w:r>
        <w:rPr>
          <w:i/>
        </w:rPr>
        <w:t xml:space="preserve">, </w:t>
      </w:r>
      <w:r>
        <w:t>que</w:t>
      </w:r>
      <w:r>
        <w:rPr>
          <w:i/>
        </w:rPr>
        <w:t xml:space="preserve"> </w:t>
      </w:r>
      <w:r>
        <w:t>había sido impulsada por un grupo de médicas anarquistas son ejemplos de una efervescencia hasta el momento, desconocida, que se vio frenada con la guerra.</w:t>
      </w:r>
      <w:r>
        <w:rPr>
          <w:i/>
        </w:rPr>
        <w:t xml:space="preserve"> </w:t>
      </w:r>
      <w:r>
        <w:t>Es de destacar que durante el período del Frente Popular las actividades en la calle aumentaron la presencia de mujeres en centros obreros, sedes republicanas, mítines y actividades culturales diarias. Las podemos conocer por la prensa, la documentación de los partidos pero también por los consejos de guerra franquistas que las castigaron más tarde.</w:t>
      </w:r>
    </w:p>
    <w:p w:rsidR="00C5631B" w:rsidRDefault="00C5631B" w:rsidP="00CD41D9">
      <w:pPr>
        <w:spacing w:after="0" w:line="360" w:lineRule="auto"/>
        <w:ind w:firstLine="709"/>
        <w:jc w:val="both"/>
      </w:pPr>
      <w:r>
        <w:t>Los derechos aprobados en la II República fueron irregularmente implementados. En las zonas rurales apenas tenían incidencia los que afectaron a las formas de vida o a la participación política de las mujeres aunque sí a los derechos laborales frente a los que, en buena medida, la patronal se resistió.</w:t>
      </w:r>
    </w:p>
    <w:p w:rsidR="00C5631B" w:rsidRDefault="00C5631B" w:rsidP="00CD41D9">
      <w:pPr>
        <w:spacing w:after="0" w:line="360" w:lineRule="auto"/>
        <w:ind w:firstLine="709"/>
        <w:jc w:val="both"/>
      </w:pPr>
      <w:r>
        <w:t xml:space="preserve">El comienzo de la guerra y la división de España contribuyó a que en la zona republicana las mujeres lucharan contra el fascismo y por la revolución con lo que ello comportaba. La guerra favoreció una serie de cambios, como la legalización de las uniones libres, la incorporación a puestos de trabajo que habían dejado los hombres hasta el momento, o la presencia en el frente y la actividad fuera del ámbito privado, del </w:t>
      </w:r>
      <w:r>
        <w:lastRenderedPageBreak/>
        <w:t>hogar, pero también extendió la tragedia en las familias e incrementó la violencia, de la que no se libraron las mujeres. Parecía claro que a la altura de 1936 su papel en la sociedad podía sobrepasar los límites del matrimonio y la maternidad, por lo que resulta de gran interés comparar la movilización femenina en las dos zonas</w:t>
      </w:r>
      <w:r w:rsidR="00104567">
        <w:rPr>
          <w:rStyle w:val="Refdenotaalpie"/>
        </w:rPr>
        <w:footnoteReference w:id="23"/>
      </w:r>
      <w:r>
        <w:t>. Hoy conocemos los principales órganos de encuadramiento femenino y su ubicación en la organización política del lugar de cada retaguardia. Si donde triunfó la sublevación la legislación republicana quedó abolida y restablecido el Código Civil de 1889, en la republicana se caminó a una profundización de las reformas, aunque dependiendo de los lugares, de la marcha de la guerra y de la hegemonía política de las organizaciones. A principios de febrero de 1937 el ministro de justicia, el anarquista Juan García Oliver aprobó el decreto de Igualdad civil, que reconocía a las mujeres los mismos derechos y funciones políticas con efecto retroactivo, desde la aprobación de la Constitución de 1931. También resultó novedosa la ley del aborto de la Generalitat, impulsada por el médico y consejero de sanidad Félix Martín desde finales de 1936. Esta disposición suponía el derecho a c</w:t>
      </w:r>
      <w:r w:rsidR="00FC69B8">
        <w:t>ontrolar la maternidad, que la ministra de S</w:t>
      </w:r>
      <w:r>
        <w:t xml:space="preserve">anidad Federica </w:t>
      </w:r>
      <w:proofErr w:type="spellStart"/>
      <w:r>
        <w:t>Montseny</w:t>
      </w:r>
      <w:proofErr w:type="spellEnd"/>
      <w:r>
        <w:t xml:space="preserve"> no pudo extender a toda la zona republicana.</w:t>
      </w:r>
    </w:p>
    <w:p w:rsidR="00C5631B" w:rsidRDefault="00C5631B" w:rsidP="00CD41D9">
      <w:pPr>
        <w:spacing w:after="0" w:line="360" w:lineRule="auto"/>
        <w:ind w:firstLine="709"/>
        <w:jc w:val="both"/>
      </w:pPr>
      <w:r>
        <w:t xml:space="preserve">Quizá fue la incorporación de mujeres al frente uno de los aspectos más llamativos de la zona republicana, al calor de la movilización popular para frenar la sublevación y la llamada al personal voluntario. La figura de la miliciana era algo insólito y un sector de la población republicana la mitificó. Por otra parte, para el franquismo fue la representación más conseguida del pecado, la degeneración y la encarnación de todos los males, por lo que las castigó severamente cuando ganaron la guerra. </w:t>
      </w:r>
    </w:p>
    <w:p w:rsidR="00C5631B" w:rsidRDefault="00C5631B" w:rsidP="00CD41D9">
      <w:pPr>
        <w:spacing w:after="0" w:line="360" w:lineRule="auto"/>
        <w:ind w:firstLine="709"/>
        <w:jc w:val="both"/>
      </w:pPr>
      <w:r>
        <w:t>Las investigaciones más recientes intentan superar la mitificación de las milicianas. Si bien los actos heroicos están presentes en biografías y publicaciones de carácter general u obras testimoniales, el debate se ha desplegado sobre el regreso de las mujeres a la retaguardia, su tarea desarrollada en los frentes, el trato hacia ellas y las labores asignadas, casi siempre relacionadas con las tradicionales o la llamada a la retaguardia, que algunas desoyeron. A Mary Nash debemos trabajos no solo pioneros sino debidamente contextualizados sobre las diversas actividades que la guerra propició</w:t>
      </w:r>
      <w:r w:rsidR="00AB0B14">
        <w:rPr>
          <w:rStyle w:val="Refdenotaalpie"/>
        </w:rPr>
        <w:footnoteReference w:id="24"/>
      </w:r>
      <w:r>
        <w:t xml:space="preserve">.  Según esta autora, su proyección no fue el reflejo de una nueva realidad social. De todas formas, el atuendo –tantas veces reproducido en los carteles- suponía </w:t>
      </w:r>
      <w:r>
        <w:lastRenderedPageBreak/>
        <w:t>una identificación con el proceso revolucionario pero también un desafío a la indumentaria tradicional de las mujeres. Un análisis que tiene en cuenta tanto las imágenes como la realidad social, exhibe a la miliciana como símbolo de la guerra y la revolución. Sabemos que muchas fotografías de mujeres vestidas o disfrazadas de milicianas sirvieron de pruebas en los procesos militares.</w:t>
      </w:r>
    </w:p>
    <w:p w:rsidR="00C5631B" w:rsidRDefault="00C5631B" w:rsidP="00CD41D9">
      <w:pPr>
        <w:spacing w:after="0" w:line="360" w:lineRule="auto"/>
        <w:ind w:firstLine="709"/>
        <w:jc w:val="both"/>
      </w:pPr>
      <w:r>
        <w:t xml:space="preserve">Los trabajos </w:t>
      </w:r>
      <w:r w:rsidR="001F1AB5">
        <w:t xml:space="preserve">más recientes </w:t>
      </w:r>
      <w:r>
        <w:t>sobre las milicianas</w:t>
      </w:r>
      <w:r w:rsidR="001F1AB5">
        <w:rPr>
          <w:rStyle w:val="Refdenotaalpie"/>
        </w:rPr>
        <w:footnoteReference w:id="25"/>
      </w:r>
      <w:r>
        <w:t xml:space="preserve"> han permitido </w:t>
      </w:r>
      <w:r w:rsidR="001F1AB5">
        <w:t>un mejor conocimiento de</w:t>
      </w:r>
      <w:r>
        <w:t xml:space="preserve"> los niveles de compromiso político, la estética de sus ropas o el comportamiento militar, pero aún no tenemos un censo de combatientes sino datos  fragmentarios. Así, por ejemplo el Quinto Regimiento contaba con un batallón femenino</w:t>
      </w:r>
      <w:r w:rsidR="001F1AB5">
        <w:rPr>
          <w:rStyle w:val="Refdenotaalpie"/>
        </w:rPr>
        <w:footnoteReference w:id="26"/>
      </w:r>
      <w:r>
        <w:t>. La figura de la miliciana ha sido más conocida gracias a las fotos, a veces organizadas en exposiciones  o reinterpretadas en el cine, como en la película de 1996 “Libertarias”, de Vicente Aranda. Las experiencias contadas en algunos libros dentro de historias de vida y las biografías ilustran algunos trabajos, que nos dan a conocer historias de mujeres combatientes en los lugares más dispares</w:t>
      </w:r>
      <w:r w:rsidR="001F1AB5">
        <w:rPr>
          <w:rStyle w:val="Refdenotaalpie"/>
        </w:rPr>
        <w:footnoteReference w:id="27"/>
      </w:r>
      <w:r>
        <w:t>. Algunas de estas milicianas ya han merecido algunas monografías, como la dedicada a la malagueña Anita Carrillo</w:t>
      </w:r>
      <w:r w:rsidR="001F1AB5">
        <w:rPr>
          <w:rStyle w:val="Refdenotaalpie"/>
        </w:rPr>
        <w:footnoteReference w:id="28"/>
      </w:r>
      <w:r>
        <w:t xml:space="preserve">, a Lina </w:t>
      </w:r>
      <w:proofErr w:type="spellStart"/>
      <w:r>
        <w:t>Odena</w:t>
      </w:r>
      <w:proofErr w:type="spellEnd"/>
      <w:r w:rsidR="00E877BD">
        <w:rPr>
          <w:rStyle w:val="Refdenotaalpie"/>
        </w:rPr>
        <w:footnoteReference w:id="29"/>
      </w:r>
      <w:r>
        <w:t xml:space="preserve"> o la autobiografía de una destacada re</w:t>
      </w:r>
      <w:r w:rsidR="00403382">
        <w:t>sponsable del POUM</w:t>
      </w:r>
      <w:r w:rsidR="00B51864">
        <w:t xml:space="preserve">: </w:t>
      </w:r>
      <w:proofErr w:type="spellStart"/>
      <w:r w:rsidR="00B51864">
        <w:t>Mika</w:t>
      </w:r>
      <w:proofErr w:type="spellEnd"/>
      <w:r w:rsidR="00B51864">
        <w:t xml:space="preserve"> </w:t>
      </w:r>
      <w:proofErr w:type="spellStart"/>
      <w:r>
        <w:t>Etchebéhère</w:t>
      </w:r>
      <w:proofErr w:type="spellEnd"/>
      <w:r w:rsidR="00B51864">
        <w:rPr>
          <w:rStyle w:val="Refdenotaalpie"/>
        </w:rPr>
        <w:footnoteReference w:id="30"/>
      </w:r>
      <w:r w:rsidR="00B51864">
        <w:t>.</w:t>
      </w:r>
    </w:p>
    <w:p w:rsidR="00C5631B" w:rsidRDefault="00C5631B" w:rsidP="00CD41D9">
      <w:pPr>
        <w:spacing w:after="0" w:line="360" w:lineRule="auto"/>
        <w:ind w:firstLine="709"/>
        <w:jc w:val="both"/>
      </w:pPr>
      <w:r>
        <w:t>Desde otro punto de vista, algunas investigaciones sobre los castigos y las conmutaciones de penas nos ofrecen una importante información sobre las cifras o los perfiles a partir de los datos de la documentación de la Comisión Central creada a tal efecto</w:t>
      </w:r>
      <w:r w:rsidR="007E2496">
        <w:t>.</w:t>
      </w:r>
      <w:r>
        <w:t xml:space="preserve"> Ángeles </w:t>
      </w:r>
      <w:proofErr w:type="spellStart"/>
      <w:r>
        <w:t>Egido</w:t>
      </w:r>
      <w:proofErr w:type="spellEnd"/>
      <w:r>
        <w:t xml:space="preserve"> estudió los 832 casos de milicianas condenadas a muerte y conmutadas cuyo castigo se debía a la doble transgresión política y social que había supuesto su actividad combatiente en la guerra</w:t>
      </w:r>
      <w:r w:rsidR="007E2496">
        <w:rPr>
          <w:rStyle w:val="Refdenotaalpie"/>
        </w:rPr>
        <w:footnoteReference w:id="31"/>
      </w:r>
      <w:r w:rsidR="007E2496">
        <w:t>.</w:t>
      </w:r>
    </w:p>
    <w:p w:rsidR="00C5631B" w:rsidRDefault="00C5631B" w:rsidP="00CD41D9">
      <w:pPr>
        <w:spacing w:after="0" w:line="360" w:lineRule="auto"/>
        <w:ind w:firstLine="709"/>
        <w:jc w:val="both"/>
      </w:pPr>
      <w:r>
        <w:t xml:space="preserve">Una corriente historiográfica se ha visto atraída por la experiencia de las mujeres de las brigadas internacionales. Aunque no todas combatientes en los frentes, sí conocemos una ayuda que abarcó múltiples experiencias, como las sanitarias, periodísticas, culturales, incluso sobre la vida en las trincheras.  Un trabajo de investigación sobre ellas  ha sido elaborado por una hispanista y publicado aún sin </w:t>
      </w:r>
      <w:r>
        <w:lastRenderedPageBreak/>
        <w:t>traducir al castellano</w:t>
      </w:r>
      <w:r w:rsidR="00007424">
        <w:rPr>
          <w:rStyle w:val="Refdenotaalpie"/>
        </w:rPr>
        <w:footnoteReference w:id="32"/>
      </w:r>
      <w:r>
        <w:t xml:space="preserve">. Por otra parte, algunas biografías de milicianas nos dan a conocer las circunstancias vitales de estas mujeres que, generalmente, exhiben un comportamiento heroico, como Lina </w:t>
      </w:r>
      <w:proofErr w:type="spellStart"/>
      <w:r>
        <w:t>Odena</w:t>
      </w:r>
      <w:proofErr w:type="spellEnd"/>
      <w:r>
        <w:t xml:space="preserve">. Ángela Jackson nos ofrece una investigación a partir de testimonios orales de mujeres británicas que acudieron a luchar en la zona republicana. En el trabajo sobre las causas de la movilización, las actividades desarrolladas y las consecuencias que para ellas tuvo el final de la guerra, también ofrece treinta y nueve </w:t>
      </w:r>
      <w:proofErr w:type="spellStart"/>
      <w:r>
        <w:t>microbiografías</w:t>
      </w:r>
      <w:proofErr w:type="spellEnd"/>
      <w:r>
        <w:t xml:space="preserve"> en su libro</w:t>
      </w:r>
      <w:r w:rsidR="005857D2">
        <w:rPr>
          <w:rStyle w:val="Refdenotaalpie"/>
        </w:rPr>
        <w:footnoteReference w:id="33"/>
      </w:r>
      <w:r>
        <w:t>.</w:t>
      </w:r>
    </w:p>
    <w:p w:rsidR="00C5631B" w:rsidRDefault="00C5631B" w:rsidP="00CD41D9">
      <w:pPr>
        <w:spacing w:after="0" w:line="360" w:lineRule="auto"/>
        <w:ind w:firstLine="709"/>
        <w:jc w:val="both"/>
      </w:pPr>
      <w:r>
        <w:t xml:space="preserve">Algunas alcanzaron puestos de responsabilidad y estuvieron en los frentes durante toda la guerra, pero estas no fueron numerosas. En los últimos años han visto la luz algunas </w:t>
      </w:r>
      <w:r w:rsidRPr="008F59D1">
        <w:t>publicaciones y documentales sobre el papel en la retaguardia. Es destacable su</w:t>
      </w:r>
      <w:r>
        <w:t xml:space="preserve"> presencia, incluso en puestos de responsabilidad en algunos comités, en comisiones de depuración, en la organización de la resistencia a los bombardeos, los desplazamientos –casi siempre dramáticos- de las familias y la escasez de artículos de primera necesidad que afectaban a la población. La generación de escritoras, pintoras, pedagogas, todas ellas dispuestas a contribuir a la transformación social se vio dramáticamente interrumpida por la guerra o su trágico final.</w:t>
      </w:r>
    </w:p>
    <w:p w:rsidR="00C5631B" w:rsidRDefault="00C5631B" w:rsidP="00CD41D9">
      <w:pPr>
        <w:spacing w:after="0" w:line="360" w:lineRule="auto"/>
        <w:ind w:firstLine="709"/>
        <w:jc w:val="both"/>
      </w:pPr>
      <w:r>
        <w:t>El contexto de la guerra, sin embargo, no fue propicio al desarrollo de la legislación republicana. El decreto del 4 de febrero de 1937 no se implementaba y las ancestrales prácticas abortistas tampoco fueron sustituidas por las posibilidades que ofrecían los hospitales de la Generalitat</w:t>
      </w:r>
      <w:r w:rsidR="008F59D1">
        <w:rPr>
          <w:rStyle w:val="Refdenotaalpie"/>
        </w:rPr>
        <w:footnoteReference w:id="34"/>
      </w:r>
      <w:r>
        <w:t xml:space="preserve">. En el período de vigencia solo se abrió un solo centro de control de la natalidad y según los registros hospitalarios, tuvo una práctica mínima, </w:t>
      </w:r>
      <w:r>
        <w:rPr>
          <w:i/>
        </w:rPr>
        <w:t>casi inexistente</w:t>
      </w:r>
      <w:r w:rsidR="008F59D1">
        <w:rPr>
          <w:rStyle w:val="Refdenotaalpie"/>
        </w:rPr>
        <w:footnoteReference w:id="35"/>
      </w:r>
      <w:r w:rsidR="008F59D1">
        <w:t>,</w:t>
      </w:r>
      <w:r>
        <w:t xml:space="preserve"> de tal forma que el aborto, que siempre había sido moral, religiosa y legalmente perseguido, siguió siendo una práctica clandestina mayoritariamente. Del estudio de la documentación hospitalaria concluye Mary Nash que solo el 5% de los abortos del Hospital General de Cataluña  tienen que ver con la reforma eugenésica del aborto</w:t>
      </w:r>
      <w:r w:rsidR="008F59D1">
        <w:rPr>
          <w:rStyle w:val="Refdenotaalpie"/>
        </w:rPr>
        <w:footnoteReference w:id="36"/>
      </w:r>
      <w:r>
        <w:t>.</w:t>
      </w:r>
    </w:p>
    <w:p w:rsidR="00C5631B" w:rsidRDefault="00C5631B" w:rsidP="00CD41D9">
      <w:pPr>
        <w:spacing w:after="0" w:line="360" w:lineRule="auto"/>
        <w:ind w:firstLine="709"/>
        <w:jc w:val="both"/>
      </w:pPr>
      <w:r>
        <w:t xml:space="preserve">En cuanto a la zona franquista, tras la sublevación, las primeras disposiciones de la Junta de Defensa Nacional se encaminaron a abolir la legislación republicana. Así, se </w:t>
      </w:r>
      <w:r>
        <w:lastRenderedPageBreak/>
        <w:t>acabó con la educación mixta y laica, se impuso la obligatoriedad de la religión y el culto a la Virgen María, como modelo a seguir por todas las mujeres y una implacable depuración laboral castigaba al personal tanto en los puestos de la administración como en los privados. Maestras, porteras, enfermeras fueron colectivos especialmente afectados. Por otra parte, el régimen no había previsto políticas natalistas con medidas eugenésicas, como en el caso nazi, pero compartía con los fascistas italianos que la reducción en los índices de natalidad era contraproducente para un país con vocación imperial. La penalización del aborto fue sancionada  mediante la Ley de 1941, que lo consideraba un crimen contra el Estado y un ataque a la raza. También se prohibieron los métodos anticonceptivos. El régimen podía contar con una ingente mano de obra abundante y barata, que llevaba a mujeres y niños a trabajar a cambio solamente de la comida o de un salario miserable. Se empieza a estudiar el aumento extraordinario de las labores en el hogar para las mujeres ante la falta de alimentos, combustibles, ropa o medicinas</w:t>
      </w:r>
      <w:r w:rsidR="003470DF">
        <w:rPr>
          <w:rStyle w:val="Refdenotaalpie"/>
        </w:rPr>
        <w:footnoteReference w:id="37"/>
      </w:r>
      <w:r>
        <w:t>.</w:t>
      </w:r>
    </w:p>
    <w:p w:rsidR="00C5631B" w:rsidRDefault="00C5631B" w:rsidP="00CD41D9">
      <w:pPr>
        <w:spacing w:after="0" w:line="360" w:lineRule="auto"/>
        <w:ind w:firstLine="709"/>
        <w:jc w:val="both"/>
      </w:pPr>
      <w:r>
        <w:t xml:space="preserve">El matrimonio religioso fue el único válido y, por tanto, indisoluble. Se eliminó el divorcio y para trabajar y cobrar, las mujeres casadas necesitaban un permiso del marido. La introducción de subsidios familiares en 1938 y pluses a partir de 1945 eran medidas tendentes a fortalecer la autoridad masculina dentro de la familia. </w:t>
      </w:r>
    </w:p>
    <w:p w:rsidR="00C5631B" w:rsidRDefault="00C5631B" w:rsidP="00CD41D9">
      <w:pPr>
        <w:spacing w:after="0" w:line="360" w:lineRule="auto"/>
        <w:ind w:firstLine="709"/>
        <w:jc w:val="both"/>
      </w:pPr>
      <w:r>
        <w:t>Las mujeres en general fueron elementos de estabilidad, como de ellas esperaba el régimen y en esa actitud tuvo mucho que ver la terrible represión que se llevó por delante a miles y miles de personas. Las madres trataban de disuadir a sus maridos y a sus hijos de la militancia o de cualquier actividad de oposición. Una vida miserable y llena de humillaciones  era preferible a la cárcel, las torturas o la muerte. Si bien algunas o muchas de ellas habían vivido con ilusión y activismo los días de la república, con el franquismo adoptaban una postura -con excepciones-</w:t>
      </w:r>
      <w:r w:rsidR="00947ECF">
        <w:t>,</w:t>
      </w:r>
      <w:r>
        <w:t xml:space="preserve">  sumisa a fin de no agravar la situación de sus familias, procuraban que sus hijos no cayeran en la delincuencia ni en la desafección política. Prácticamente la mayoría se centraron en sacar adelante a sus familias. Para salvar situaciones difíciles tuvieron que manifestar públicamente una adhesión que no era sentida. Esposas de exiliados que no habían podido escapar ellas mismas, mujeres de presos o huidos trataban de demostrar su buena conducta frente a las autoridades –alcalde, cura, guardia civil- que les permitiera trabajar o ha</w:t>
      </w:r>
      <w:r w:rsidR="003470DF">
        <w:t>cer cualquier gestión por sus familiares</w:t>
      </w:r>
      <w:r>
        <w:t>.</w:t>
      </w:r>
    </w:p>
    <w:p w:rsidR="00C5631B" w:rsidRDefault="00C5631B" w:rsidP="00CD41D9">
      <w:pPr>
        <w:spacing w:after="0" w:line="360" w:lineRule="auto"/>
        <w:ind w:firstLine="709"/>
        <w:jc w:val="both"/>
      </w:pPr>
      <w:r>
        <w:lastRenderedPageBreak/>
        <w:t xml:space="preserve">Las organizaciones femeninas legales fueron, igualmente, herramientas del régimen para imponer su modelo de mujer y hacer cumplir las expectativas de las políticas sociales. Además de las de carácter político, la Sección Femenina de Falange fue la principal y la que tenía un apoyo mayor del régimen ya que impartían algunas asignaturas para las niñas en colegios e institutos de enseñanzas medias y gestionaba un Servicio Social para las mujeres que pretendía ser la versión femenina del servicio militar de los hombres. </w:t>
      </w:r>
    </w:p>
    <w:p w:rsidR="00C5631B" w:rsidRDefault="00C5631B" w:rsidP="00CD41D9">
      <w:pPr>
        <w:spacing w:after="0" w:line="360" w:lineRule="auto"/>
        <w:ind w:firstLine="709"/>
        <w:jc w:val="both"/>
      </w:pPr>
      <w:r>
        <w:t>Los trabajos sobre la Sección Femenina de Falange, que había nacido en 1934 y se mantuvo con dificultades hasta la guerra en la zona franquista y finalmente en la organización oficial política de las mujeres, ha sido objeto de numerosos trabajos de investigación, pero preferente sobre la estructura y la gestión de sus actividades y misiones pero los más recientes concluyen que la Sección Femenina fue tan aliada de la ideología fascista como víctima de su discurso y tan cercana al poder como subordinada al mismo</w:t>
      </w:r>
      <w:r w:rsidR="00957E25">
        <w:rPr>
          <w:rStyle w:val="Refdenotaalpie"/>
        </w:rPr>
        <w:footnoteReference w:id="38"/>
      </w:r>
      <w:r>
        <w:t>.</w:t>
      </w:r>
    </w:p>
    <w:p w:rsidR="00C5631B" w:rsidRDefault="00C5631B" w:rsidP="00CD41D9">
      <w:pPr>
        <w:spacing w:after="0" w:line="360" w:lineRule="auto"/>
        <w:ind w:firstLine="709"/>
        <w:jc w:val="both"/>
      </w:pPr>
      <w:r>
        <w:t xml:space="preserve">La proyección de la guerra en los siguientes doce o trece años fue indiscutible y, en muchos aspectos, las consecuencias estuvieron presentes hasta la muerte del dictador. En primer lugar la primera etapa hasta septiembre de 1953 –fecha de los acuerdos militares con EEUU-, se caracterizó por el racionamiento, el aislamiento internacional, la represión más severa. De este período, los trabajos sobre mujeres han insistido en el modelo del régimen, el papel de las mujeres en la supervivencia de los años del racionamiento  en la represión política y en su lucha por las libertades. </w:t>
      </w:r>
    </w:p>
    <w:p w:rsidR="00C5631B" w:rsidRPr="00CF0A68" w:rsidRDefault="00C71920" w:rsidP="00CD41D9">
      <w:pPr>
        <w:pStyle w:val="Prrafodelista"/>
        <w:numPr>
          <w:ilvl w:val="0"/>
          <w:numId w:val="2"/>
        </w:numPr>
        <w:spacing w:line="360" w:lineRule="auto"/>
        <w:ind w:firstLine="709"/>
        <w:jc w:val="both"/>
        <w:rPr>
          <w:b/>
        </w:rPr>
      </w:pPr>
      <w:r w:rsidRPr="00CF0A68">
        <w:rPr>
          <w:b/>
        </w:rPr>
        <w:t>LA VIOLENCIA CONTRA LAS MUJERES EN LA GUERRA</w:t>
      </w:r>
    </w:p>
    <w:p w:rsidR="00C5631B" w:rsidRDefault="00C5631B" w:rsidP="00CD41D9">
      <w:pPr>
        <w:spacing w:after="0" w:line="360" w:lineRule="auto"/>
        <w:ind w:firstLine="709"/>
        <w:jc w:val="both"/>
      </w:pPr>
      <w:r>
        <w:t xml:space="preserve">Sabemos que la violencia contra las mujeres es debida a roles de género transmitidos históricamente a través de la legislación y el sistema educativo (Rodríguez, 2010:23-46).La violación y profanación de mujeres por el adversario se utilizó no solo como amenazas por parte de </w:t>
      </w:r>
      <w:proofErr w:type="spellStart"/>
      <w:r>
        <w:t>Queipo</w:t>
      </w:r>
      <w:proofErr w:type="spellEnd"/>
      <w:r>
        <w:t xml:space="preserve"> de Llano sino también en la propaganda a través de pasquines y carteles. </w:t>
      </w:r>
    </w:p>
    <w:p w:rsidR="00C5631B" w:rsidRDefault="00C5631B" w:rsidP="00CD41D9">
      <w:pPr>
        <w:spacing w:after="0" w:line="360" w:lineRule="auto"/>
        <w:ind w:firstLine="709"/>
        <w:jc w:val="both"/>
      </w:pPr>
      <w:r>
        <w:t xml:space="preserve">Algunos autores y autoras han señalado diferencias significativas en el trato a las mujeres. Exceptuando Madrid, donde las sacas del verano afectaron a muchas de las antirrepublicanas más o menos activistas, en la mayoría de las provincias el recuento de </w:t>
      </w:r>
      <w:r>
        <w:lastRenderedPageBreak/>
        <w:t>víctimas femeninas en comparación con los hombres fue marginal</w:t>
      </w:r>
      <w:r w:rsidR="00957E25">
        <w:rPr>
          <w:rStyle w:val="Refdenotaalpie"/>
        </w:rPr>
        <w:footnoteReference w:id="39"/>
      </w:r>
      <w:r>
        <w:t>. De hecho, de las víctimas de la violencia en la zona republicana, algunos trabajos se están publicando en torno a casos, más que en clave interpretativa. Adriana Cases se ha centrado en dos casos –madre e hija- de mujeres asesinadas por varios miembros de dos comités de pueblos de la provincia de Cuenca y Toledo. Difiere el rotundo castigo a los actores de los hechos de lo que ocurría en la zona franquista y también en la cantidad porque en esta</w:t>
      </w:r>
      <w:r w:rsidR="00F844DB">
        <w:t>,</w:t>
      </w:r>
      <w:r>
        <w:t xml:space="preserve"> los actos de violencia eran mucho más numerosos</w:t>
      </w:r>
      <w:r w:rsidR="00F844DB">
        <w:rPr>
          <w:rStyle w:val="Refdenotaalpie"/>
        </w:rPr>
        <w:footnoteReference w:id="40"/>
      </w:r>
      <w:r>
        <w:t>. Contamos con otra publicación que nos habla de las víctimas falangistas, tradicionalistas y de Acción Católica, a partir de la documentación del Archivo de la Asociación Nueva Andadura sobre “Caídas por España” donde constan setenta y tres víctimas</w:t>
      </w:r>
      <w:r w:rsidR="008E3A89">
        <w:rPr>
          <w:rStyle w:val="Refdenotaalpie"/>
        </w:rPr>
        <w:footnoteReference w:id="41"/>
      </w:r>
      <w:r>
        <w:t xml:space="preserve">. La violencia que sufrieron las mujeres en la retaguardia republicana tiene que ser conocida pero ha de confrontarse con otra documentación que no sea solo </w:t>
      </w:r>
      <w:r w:rsidR="008E3A89">
        <w:t xml:space="preserve">la generada por </w:t>
      </w:r>
      <w:r>
        <w:t xml:space="preserve">el </w:t>
      </w:r>
      <w:r w:rsidR="008E3A89">
        <w:t>propio régimen</w:t>
      </w:r>
      <w:r w:rsidR="008E3A89">
        <w:rPr>
          <w:rStyle w:val="Refdenotaalpie"/>
        </w:rPr>
        <w:footnoteReference w:id="42"/>
      </w:r>
      <w:r>
        <w:t>.</w:t>
      </w:r>
    </w:p>
    <w:p w:rsidR="00C5631B" w:rsidRDefault="00C5631B" w:rsidP="00CD41D9">
      <w:pPr>
        <w:spacing w:after="0" w:line="360" w:lineRule="auto"/>
        <w:ind w:firstLine="709"/>
        <w:jc w:val="both"/>
      </w:pPr>
      <w:r>
        <w:t xml:space="preserve">En cuanto a la retaguardia franquista hay que tener en cuenta que la situación se prolongó después del fin oficial de la guerra. Los castigos no desaparecieron, incluso surgieron otros derivados de la situación de resistencia, armada o clandestina. </w:t>
      </w:r>
    </w:p>
    <w:p w:rsidR="00C5631B" w:rsidRDefault="00C5631B" w:rsidP="00CD41D9">
      <w:pPr>
        <w:spacing w:after="0" w:line="360" w:lineRule="auto"/>
        <w:ind w:firstLine="709"/>
        <w:jc w:val="both"/>
      </w:pPr>
      <w:r>
        <w:t>Cuando una parte de la historiografía planteó superar una historia de la represión basada en cifras y porcentajes para estudiar la “represión cualitativa” tenemos que decir que aún no sabemos el número de fusiladas, ni oficial ni extraoficialmente, si bien algunos trabajos locales nos ofrecen ciertos indicios. Lo primero que está probado es que, por ser mujeres, no tuvieron atenuantes. En regiones como Andalucía, entre un 2 y un 5% del total de personas fusiladas eran mujeres. En Sevilla, una de las provincias mejor estudiadas hubo 727 mujeres de las que doce, estaban embarazadas</w:t>
      </w:r>
      <w:r w:rsidR="00C0663A">
        <w:rPr>
          <w:rStyle w:val="Refdenotaalpie"/>
        </w:rPr>
        <w:footnoteReference w:id="43"/>
      </w:r>
      <w:r>
        <w:t xml:space="preserve"> y la mayoría no habían tenido implicaciones políticas. Podríamos asegurar, a grandes rasgos, que varias miles –la cifra podría llegar a las 8000-10.000- fueron asesinadas pero estamos comenzando a conocer, en este caso de la eliminación física, las cifras en la actualidad, </w:t>
      </w:r>
      <w:r>
        <w:lastRenderedPageBreak/>
        <w:t>cuando tenemos aún datos muy fragmentarios. En Málaga capital las cifras oficiales elevan a ochenta las ejecutadas</w:t>
      </w:r>
      <w:r w:rsidR="008E3A89">
        <w:rPr>
          <w:rStyle w:val="Refdenotaalpie"/>
        </w:rPr>
        <w:footnoteReference w:id="44"/>
      </w:r>
      <w:r>
        <w:t>. En Orense hubo veintidós, aunque por orden militar solamente cuatro</w:t>
      </w:r>
      <w:r w:rsidR="00C0663A">
        <w:rPr>
          <w:rStyle w:val="Refdenotaalpie"/>
        </w:rPr>
        <w:footnoteReference w:id="45"/>
      </w:r>
      <w:r>
        <w:t>. Es necesario aún tener estudios de todas las provincias y localidades, considerar las cifras oficiales y las reales, que elevarán los datos en un futuro. Todo ello sin contar las cifras elevadas de suicidios, algunos por “temor de condena”</w:t>
      </w:r>
      <w:r>
        <w:rPr>
          <w:i/>
        </w:rPr>
        <w:t xml:space="preserve">, </w:t>
      </w:r>
      <w:r>
        <w:t>las muertes por enfermedades evitables o como consecuencia del hambre.</w:t>
      </w:r>
    </w:p>
    <w:p w:rsidR="00C5631B" w:rsidRDefault="00C5631B" w:rsidP="00CD41D9">
      <w:pPr>
        <w:spacing w:after="0" w:line="360" w:lineRule="auto"/>
        <w:ind w:firstLine="709"/>
        <w:jc w:val="both"/>
      </w:pPr>
      <w:r>
        <w:t>Se reconoce en la actualidad que los estudios sobre la represión han proliferado en cantidad y calidad, y que se han normalizado</w:t>
      </w:r>
      <w:r>
        <w:rPr>
          <w:i/>
        </w:rPr>
        <w:t xml:space="preserve">. </w:t>
      </w:r>
      <w:r>
        <w:t>Sin embargo, también se ha venido considerando que el avance en la naturaleza, la tipología y cuantificación de la represión tenía una asignatura pendiente, que era el enfoque de la represión sobre las mujeres y sus hijos. Las presas del franquismo y algunas cárceles de mujeres han sido tema preferente de estudio en los últimos veinticinco años, aunque con lentitud y dificultades. Partiendo del testimonio de algunas mujeres presas, como Tomasa Cuevas, que grabó a muchas de sus compañeras</w:t>
      </w:r>
      <w:r w:rsidR="00A82D5D">
        <w:rPr>
          <w:rStyle w:val="Refdenotaalpie"/>
        </w:rPr>
        <w:footnoteReference w:id="46"/>
      </w:r>
      <w:r>
        <w:t>, a la difusión de algunos documentales y libros que revelaban la situación de las cárceles, así como una exposición itinerante de fotografías y documentos titulada “Presas de Franco”</w:t>
      </w:r>
      <w:r w:rsidR="00A82D5D">
        <w:rPr>
          <w:rStyle w:val="Refdenotaalpie"/>
        </w:rPr>
        <w:footnoteReference w:id="47"/>
      </w:r>
      <w:r>
        <w:t>, lo cierto que es tales investigaciones permiten conocer la situación en las prisiones, el perfil de las presas, la tipología de los castigos o el sistema penitenciario. Todo ello ha permitido la elaboración de libros colectivos</w:t>
      </w:r>
      <w:r w:rsidR="00A82D5D">
        <w:rPr>
          <w:rStyle w:val="Refdenotaalpie"/>
        </w:rPr>
        <w:footnoteReference w:id="48"/>
      </w:r>
      <w:r>
        <w:t xml:space="preserve"> que dan a conocer el proceso de concienciación y cultura carcelaria de las mujeres así obtener algunas conclusiones de gran interés.</w:t>
      </w:r>
    </w:p>
    <w:p w:rsidR="00C5631B" w:rsidRDefault="00C5631B" w:rsidP="00CD41D9">
      <w:pPr>
        <w:spacing w:after="0" w:line="360" w:lineRule="auto"/>
        <w:ind w:firstLine="709"/>
        <w:jc w:val="both"/>
      </w:pPr>
      <w:r>
        <w:t xml:space="preserve">Entre las prisiones de mujeres más emblemáticas están las de Ventas, en Madrid y Les </w:t>
      </w:r>
      <w:proofErr w:type="spellStart"/>
      <w:r>
        <w:t>Corts</w:t>
      </w:r>
      <w:proofErr w:type="spellEnd"/>
      <w:r>
        <w:t xml:space="preserve"> en Barcelona, Palma de Mallorca, </w:t>
      </w:r>
      <w:proofErr w:type="spellStart"/>
      <w:r>
        <w:t>Santurrarán</w:t>
      </w:r>
      <w:proofErr w:type="spellEnd"/>
      <w:r>
        <w:t xml:space="preserve"> en el País Vasco, o Segovia, así como las de Tarragona, Málaga o Zaragoza, que son casos conocidos. En la de Segovia, aún permanecían diez años después de acabada la guerra las presas con condenas más largas, algunas de ellas conocidas por sus memorias publicadas después de la muerte de Franco, como las de Tomasa Cuevas, María Salvo o Juana Doña. En esta cárcel se organizó en 1949 una huelga de hambre, lo mismo que en la de Ventas o Málaga unos años antes, como demostración de que la resistencia tuvo en la cárcel también su terreno más abonado.</w:t>
      </w:r>
    </w:p>
    <w:p w:rsidR="00C5631B" w:rsidRDefault="00C5631B" w:rsidP="00CD41D9">
      <w:pPr>
        <w:spacing w:after="0" w:line="360" w:lineRule="auto"/>
        <w:ind w:firstLine="709"/>
        <w:jc w:val="both"/>
      </w:pPr>
      <w:r>
        <w:lastRenderedPageBreak/>
        <w:t>De las conclusiones generales podemos destacar las dificultades para acceder a las fuentes pues solamente ha sido posible consultar los fondos de varias cárceles de mujeres, por lo que los testimonios y las fuentes orales han sido fundamentales para su estudio. Por otra parte, los trabajos coinciden en la escasa proporción de mujeres que habían sido militantes o estado en los frentes, de hecho superan en número las que estaban castigadas por ser esposas, madres o hijas de significados republicanos o por haber inducido actos delictivos durante la etapa republicana y ser las responsables morales de los actos de violencia. La elevada proporción de mujeres mayores de treinta años, casadas, viudas y amas de casa deja en evidencia a un régimen que se autodenominada protector de la familia.</w:t>
      </w:r>
    </w:p>
    <w:p w:rsidR="00C5631B" w:rsidRDefault="00C5631B" w:rsidP="00CD41D9">
      <w:pPr>
        <w:spacing w:after="0" w:line="360" w:lineRule="auto"/>
        <w:ind w:firstLine="709"/>
        <w:jc w:val="both"/>
      </w:pPr>
      <w:r>
        <w:t xml:space="preserve">En algunas publicaciones se da a conocer que el 10% de las personas juzgadas y represaliadas eran mujeres y que entre el 3% y el 5% de las personas que fueron fusiladas eran mujeres. No sabemos si otros trabajos modificarán estas apreciaciones que demuestran que, si cuantitativamente la represión sobre las mujeres fue menor, cualitativamente no fue sino diferente. </w:t>
      </w:r>
    </w:p>
    <w:p w:rsidR="00C5631B" w:rsidRDefault="00C5631B" w:rsidP="00CD41D9">
      <w:pPr>
        <w:spacing w:after="0" w:line="360" w:lineRule="auto"/>
        <w:ind w:firstLine="709"/>
        <w:jc w:val="both"/>
      </w:pPr>
      <w:r>
        <w:t>Mientras que los presos hacían otros tipos de trabajos y salían fuera a trabajar en obras públicas</w:t>
      </w:r>
      <w:r w:rsidR="000F673C">
        <w:t xml:space="preserve"> o para provecho privado,</w:t>
      </w:r>
      <w:r>
        <w:t xml:space="preserve"> las mujeres se dedicaban a coser y bordar para los encargos de particulares y comercios, por mediación de la administración y las monjas.  Solo las viudas con hijos a su cargo recibían el subsidio familiar que, con normalidad, tenían todos los hombres. Con frecuencia estaban las presas con sus hijos hasta los tres años como mínimo, como se ha estudiado en la prisión de Predicadores de Zaragoza</w:t>
      </w:r>
      <w:r w:rsidR="000F673C">
        <w:rPr>
          <w:rStyle w:val="Refdenotaalpie"/>
        </w:rPr>
        <w:footnoteReference w:id="49"/>
      </w:r>
      <w:r>
        <w:t>, incluso algunas con sus nietos como se ha comprobado en la cárcel de Málaga</w:t>
      </w:r>
      <w:r w:rsidR="000F673C">
        <w:rPr>
          <w:rStyle w:val="Refdenotaalpie"/>
        </w:rPr>
        <w:footnoteReference w:id="50"/>
      </w:r>
      <w:r>
        <w:t>, a partir de los ficheros y en los padrones municipales.</w:t>
      </w:r>
    </w:p>
    <w:p w:rsidR="00C5631B" w:rsidRDefault="00C5631B" w:rsidP="00CD41D9">
      <w:pPr>
        <w:spacing w:after="0" w:line="360" w:lineRule="auto"/>
        <w:ind w:firstLine="709"/>
        <w:jc w:val="both"/>
      </w:pPr>
      <w:r>
        <w:t>Sobre las mujeres recayó el peso de las multas impuestas mediante la Ley de Responsabilidades Políticas: casas, propiedades, empresas y dinero eran perdidos por las familias de los represaliados pero también ellas se vieron afectadas como tales. Esto fue así porque la represión se sostenía sobre tres pilares fundamentales. Si uno era el castigo físico y otro, las depuraciones profesionales; un tercer pilar fue la “represión económica”</w:t>
      </w:r>
      <w:r>
        <w:rPr>
          <w:i/>
        </w:rPr>
        <w:t xml:space="preserve">. </w:t>
      </w:r>
      <w:r>
        <w:t xml:space="preserve">Estuvo vigente hasta 1966, pero casi todos los expedientes incoados lo fueron entre 1937 (por las incautaciones durante la guerra) y 1945 (por la Ley de Responsabilidades Políticas de febrero de 1939). En España se gestionaron unos 25.000 </w:t>
      </w:r>
      <w:r>
        <w:lastRenderedPageBreak/>
        <w:t>expedientes, lo que supuso que un uno por ciento de la población estuvo sometido a multas y expropiaciones. De las personas titulares de propiedades incautadas y multas, el cinco por ciento eran mujeres, según los datos que tenemos de estudios regionales</w:t>
      </w:r>
      <w:r w:rsidR="000F673C">
        <w:rPr>
          <w:rStyle w:val="Refdenotaalpie"/>
        </w:rPr>
        <w:footnoteReference w:id="51"/>
      </w:r>
      <w:r>
        <w:t xml:space="preserve"> y locales</w:t>
      </w:r>
      <w:r w:rsidR="008C3267">
        <w:rPr>
          <w:rStyle w:val="Refdenotaalpie"/>
        </w:rPr>
        <w:footnoteReference w:id="52"/>
      </w:r>
      <w:r>
        <w:t xml:space="preserve">. </w:t>
      </w:r>
    </w:p>
    <w:p w:rsidR="00C5631B" w:rsidRPr="00CF0A68" w:rsidRDefault="00C71920" w:rsidP="00CD41D9">
      <w:pPr>
        <w:spacing w:after="0" w:line="360" w:lineRule="auto"/>
        <w:ind w:firstLine="709"/>
        <w:jc w:val="center"/>
        <w:rPr>
          <w:b/>
        </w:rPr>
      </w:pPr>
      <w:r w:rsidRPr="00CF0A68">
        <w:rPr>
          <w:b/>
        </w:rPr>
        <w:t>IV CASTIGOS ESPECÍFICOS</w:t>
      </w:r>
    </w:p>
    <w:p w:rsidR="00C5631B" w:rsidRDefault="00C5631B" w:rsidP="00CD41D9">
      <w:pPr>
        <w:spacing w:after="0" w:line="360" w:lineRule="auto"/>
        <w:ind w:firstLine="709"/>
        <w:jc w:val="both"/>
      </w:pPr>
      <w:r>
        <w:t xml:space="preserve">Los castigos específicos se añadieron a los que también sufrían hombres y mujeres de forma general en las prisiones franquistas y en los lugares de detención, ya que por ser mujeres no hubo atenuantes. Las publicaciones de los últimos años apuntan a una represión diferenciada y en ello coinciden la mayoría. Se está utilizando la noción </w:t>
      </w:r>
      <w:r w:rsidR="00D210D2">
        <w:t>“represión sexuada”</w:t>
      </w:r>
      <w:r>
        <w:rPr>
          <w:i/>
        </w:rPr>
        <w:t xml:space="preserve">, </w:t>
      </w:r>
      <w:r>
        <w:t>que representa una anulación de la ciudadanía femenina por una parte y, por otra, que utilizan mecanismos represivos sobre elementos característicos de la feminidad o el sexo. Así, haber sido republicana o antifascista y mujer comportaba una doble represión, política y de género.</w:t>
      </w:r>
    </w:p>
    <w:p w:rsidR="00C5631B" w:rsidRDefault="00C5631B" w:rsidP="00CD41D9">
      <w:pPr>
        <w:spacing w:after="0" w:line="360" w:lineRule="auto"/>
        <w:ind w:firstLine="709"/>
        <w:jc w:val="both"/>
      </w:pPr>
      <w:r>
        <w:t>Entre los castigos específicos podemos contar los siguientes: los golpes en el vientre y las corrientes eléctricas en los pechos, que llevaron a muchas mujeres embarazadas a abortar y otras a quedar estériles; por otra parte, la violencia sexual, que podemos asociarla a las violaciones y abusos sexuales. Otros trabajos, elaborados a partir de documentación militar se refieren a un lenguaje represivo desde la semántica, que era diferente hacia las mujeres, con calificativos alusivos a conductas inmorales, marginales o anti</w:t>
      </w:r>
      <w:r w:rsidR="00D210D2">
        <w:t>clericales</w:t>
      </w:r>
      <w:r w:rsidR="00D210D2">
        <w:rPr>
          <w:rStyle w:val="Refdenotaalpie"/>
        </w:rPr>
        <w:footnoteReference w:id="53"/>
      </w:r>
      <w:r>
        <w:t xml:space="preserve">. </w:t>
      </w:r>
    </w:p>
    <w:p w:rsidR="00C5631B" w:rsidRDefault="00C5631B" w:rsidP="00CD41D9">
      <w:pPr>
        <w:spacing w:after="0" w:line="360" w:lineRule="auto"/>
        <w:ind w:firstLine="709"/>
        <w:jc w:val="both"/>
      </w:pPr>
      <w:r>
        <w:t>Fueron frecuentísimos los cortes o rapados de cabellos.  A las mujeres se les pelaba para castigarlas y discriminarlas de las demás. Este castigo no fue exclusivo de España</w:t>
      </w:r>
      <w:r w:rsidR="00D210D2">
        <w:rPr>
          <w:rStyle w:val="Refdenotaalpie"/>
        </w:rPr>
        <w:footnoteReference w:id="54"/>
      </w:r>
      <w:r>
        <w:t>, pero tanto en la guerra como en la posguerra marcó la vida de las mujeres frente al vecindario y ha merecido algunos estudios de historiadoras, antropólogos o psiquiatras</w:t>
      </w:r>
      <w:r w:rsidR="00D210D2">
        <w:rPr>
          <w:rStyle w:val="Refdenotaalpie"/>
        </w:rPr>
        <w:footnoteReference w:id="55"/>
      </w:r>
      <w:r w:rsidR="00D210D2">
        <w:t>.</w:t>
      </w:r>
      <w:r>
        <w:t xml:space="preserve"> </w:t>
      </w:r>
    </w:p>
    <w:p w:rsidR="00C5631B" w:rsidRDefault="00C5631B" w:rsidP="00CD41D9">
      <w:pPr>
        <w:spacing w:after="0" w:line="360" w:lineRule="auto"/>
        <w:ind w:firstLine="709"/>
        <w:jc w:val="both"/>
      </w:pPr>
      <w:r>
        <w:t xml:space="preserve">El rapado solía ir unido a otro castigo que fue la obligación de ingerir purgantes antes de la exposición pública en las calles, desnudas o no, bajo sus efectos para provocar un espectáculo inaudito, que la vecindad no olvidaría nunca. Algunas mujeres </w:t>
      </w:r>
      <w:r>
        <w:lastRenderedPageBreak/>
        <w:t>fueron obligadas a limpiar calles, iglesias, locales de instituciones públicas, a blanquear los cuarteles de la guardia civil y limpiar la sangre de las personas torturadas. Estas humillaciones, que solamente se dirigían a las mujeres, provocaron tal horror que cuando el gobierno socialista de la Junta de Andalucía en  marzo de 2010 aprobó una disposición para indemnizar con 1800 euros a mujeres vejadas por los franquistas con los castigos descritos, solamente recibió 241 solicitudes, de las que apenas se aprobaron ciento veinte. La mayoría de ellas ya estaban muertas; otras no tenían pruebas para aportar en la documentación y no querían solicitar algo para lo que tenían que revivir y recordar aquello que tanto las humilló y les costó olvidar y silenciar entre sus vecinos. Julio Prada ha dado a conocer numerosos casos, la mayoría en localidades gallegas. Conocemos así los ritos, los lugares donde se rapaba a las mujeres, la contribución de la guardia civil, las justificaciones que alegaban los castigadores  y las consecuencias más inmediatas que tuvieron para ellas. Desde este punto de vista podemos apreciar la importancia que tenía el parentesco en la consumación del castigo y las interesantes referencias para el conocimiento de la vida cotidiana.</w:t>
      </w:r>
    </w:p>
    <w:p w:rsidR="00C5631B" w:rsidRDefault="00C5631B" w:rsidP="00CD41D9">
      <w:pPr>
        <w:spacing w:after="0" w:line="360" w:lineRule="auto"/>
        <w:ind w:firstLine="709"/>
        <w:jc w:val="both"/>
      </w:pPr>
      <w:r>
        <w:t xml:space="preserve">En las escasas exhumaciones de fosas comunes que se han efectuado en los últimos años en España, no solo se han detectado restos de mujeres asesinadas sino que en algunos casos los forenses han podido ver casos de brutales violaciones en algunos </w:t>
      </w:r>
      <w:r w:rsidR="00670FB8">
        <w:t>esqueletos. En fosas como “las d</w:t>
      </w:r>
      <w:r>
        <w:t xml:space="preserve">iecisiete de </w:t>
      </w:r>
      <w:proofErr w:type="spellStart"/>
      <w:r>
        <w:t>Guillena</w:t>
      </w:r>
      <w:proofErr w:type="spellEnd"/>
      <w:r>
        <w:t>” (Sevilla) tenemos un ejemplo de una matanza en un pueblo pequeño de mujeres con una media de cincuenta años y madres de varios hijos, una de ellas embarazada en el momento del asesinato</w:t>
      </w:r>
      <w:r w:rsidR="008C3267">
        <w:rPr>
          <w:rStyle w:val="Refdenotaalpie"/>
        </w:rPr>
        <w:footnoteReference w:id="56"/>
      </w:r>
      <w:r>
        <w:t>. Sus restos fueron recuperados en 2012</w:t>
      </w:r>
      <w:r w:rsidR="00B146C9">
        <w:t>,</w:t>
      </w:r>
      <w:r>
        <w:t xml:space="preserve"> con homenajes. Si no se conocen más casos es porque los trabajos de exhumación están siendo demasiado lentos.</w:t>
      </w:r>
    </w:p>
    <w:p w:rsidR="00C5631B" w:rsidRDefault="00C5631B" w:rsidP="00CD41D9">
      <w:pPr>
        <w:spacing w:after="0" w:line="360" w:lineRule="auto"/>
        <w:ind w:firstLine="709"/>
        <w:jc w:val="both"/>
      </w:pPr>
      <w:r>
        <w:t xml:space="preserve">Para los formuladores franquistas de teorías pseudocientíficas que afirmaban probar que las mujeres eran seres inferiores y fácilmente influenciables, las mujeres debían vivir bajo fuertes frenos a fin de mantenerlas con su carácter angelical y razonable. En períodos revolucionarios esos frenos ya no obran sobre ellas y se desencadena la verdadera naturaleza, malvada, capaz de los peores crímenes. Por ello también los castigos servían para su reeducación y su mansedumbre y para compensar </w:t>
      </w:r>
      <w:r>
        <w:lastRenderedPageBreak/>
        <w:t>el daño causado mediante el sufrimiento y la separación de sus hijos a fin de educarlos en los valores fascistas</w:t>
      </w:r>
      <w:r w:rsidR="00670FB8">
        <w:rPr>
          <w:rStyle w:val="Refdenotaalpie"/>
        </w:rPr>
        <w:footnoteReference w:id="57"/>
      </w:r>
      <w:r>
        <w:t>.</w:t>
      </w:r>
    </w:p>
    <w:p w:rsidR="00C5631B" w:rsidRPr="00CF0A68" w:rsidRDefault="00C71920" w:rsidP="00CD41D9">
      <w:pPr>
        <w:pStyle w:val="Prrafodelista"/>
        <w:numPr>
          <w:ilvl w:val="0"/>
          <w:numId w:val="3"/>
        </w:numPr>
        <w:spacing w:line="360" w:lineRule="auto"/>
        <w:ind w:firstLine="709"/>
        <w:jc w:val="center"/>
        <w:rPr>
          <w:b/>
        </w:rPr>
      </w:pPr>
      <w:r w:rsidRPr="00CF0A68">
        <w:rPr>
          <w:b/>
        </w:rPr>
        <w:t>EL PROYECTO MORALIZADOR</w:t>
      </w:r>
    </w:p>
    <w:p w:rsidR="00C5631B" w:rsidRDefault="00C5631B" w:rsidP="00CD41D9">
      <w:pPr>
        <w:spacing w:after="0" w:line="360" w:lineRule="auto"/>
        <w:ind w:firstLine="709"/>
        <w:jc w:val="both"/>
      </w:pPr>
      <w:r>
        <w:t>El franquismo tenía un proyecto moralizador absolutamente marcado por la iglesia católica, que primaba la familia como unidad básica en el ordenamiento social y que tenía como fin la reproducción. La concepción de moral y decencia que tenía el régimen era bastante contradictoria pero pretendía asociar a la república cualquier alteración de las costumbres y el modelo tradicional católico. Sobre este modelo se han publicado multitud de trabajos que aluden a la educación de las niñas para ser futuras esposas y madres ejemplares. En algunos se destaca el papel de las madres como receptoras, pero también transmisoras de los valores políticos y morales del régimen. Sin duda, este modelo educacional llevó a las mujeres a no ejercer profesiones fuera del ámbito doméstico preferentemente, incluso a estar al margen del sistema educativo, lo cual les llevó a trabajar desde niñas, de manera informal, a cambio de salarios miserables.</w:t>
      </w:r>
    </w:p>
    <w:p w:rsidR="00C5631B" w:rsidRDefault="00C5631B" w:rsidP="00CD41D9">
      <w:pPr>
        <w:spacing w:after="0" w:line="360" w:lineRule="auto"/>
        <w:ind w:firstLine="709"/>
        <w:jc w:val="both"/>
      </w:pPr>
      <w:r>
        <w:t>Uno de los aspectos que ha despertado más interés en los estudios de la Historia de las Mujeres ha sido la prostitución y la represión moral</w:t>
      </w:r>
      <w:r>
        <w:rPr>
          <w:i/>
        </w:rPr>
        <w:t>.</w:t>
      </w:r>
      <w:r>
        <w:t xml:space="preserve"> Los fondos del Patronato de Protección de la Mujer están ofreciendo datos muy singulares al respecto. Esta institución fue una herramienta para la prevención de la prostitución, dirigida a mujeres de entre dieciséis y veintitrés años, pero eso solo fue en teoría porque desde el principio hasta el final la inmensa mayoría de las expedientadas no parecían tener relación con la prostitución, de tal forma que el Patronato fue utilizado en defensa de la familia católica, donde primaba la autoridad del hombre, con la obligación de dar hijos para la Patria y evitando cualquier desviación que era considerada una amenaza para el proyecto político</w:t>
      </w:r>
      <w:r w:rsidR="00856BBF">
        <w:rPr>
          <w:rStyle w:val="Refdenotaalpie"/>
        </w:rPr>
        <w:footnoteReference w:id="58"/>
      </w:r>
      <w:r>
        <w:t>.</w:t>
      </w:r>
    </w:p>
    <w:p w:rsidR="00C5631B" w:rsidRDefault="00C5631B" w:rsidP="00CD41D9">
      <w:pPr>
        <w:spacing w:after="0" w:line="360" w:lineRule="auto"/>
        <w:ind w:firstLine="709"/>
        <w:jc w:val="both"/>
      </w:pPr>
      <w:r>
        <w:t xml:space="preserve">Según el planteamiento teórico-científico elaborado por los psiquiatras Vallejo </w:t>
      </w:r>
      <w:proofErr w:type="spellStart"/>
      <w:r>
        <w:t>Nágera</w:t>
      </w:r>
      <w:proofErr w:type="spellEnd"/>
      <w:r>
        <w:t xml:space="preserve"> y López Ibor, las mujeres –y más las marxistas, según sus particulares experimentos, tenían un psiquismo más cercano a los niños y a los animales que a los hombres y una tendencia natural hacia el pecado, por lo que eran necesarios los frenos sobre ellas –más aún las “rojas”, verdaderas criminales gracias a la revolución</w:t>
      </w:r>
      <w:r>
        <w:rPr>
          <w:i/>
        </w:rPr>
        <w:t>-</w:t>
      </w:r>
      <w:r>
        <w:t xml:space="preserve"> según </w:t>
      </w:r>
      <w:r>
        <w:lastRenderedPageBreak/>
        <w:t>los experimentos que hicieron con ellas en las cárceles</w:t>
      </w:r>
      <w:r w:rsidR="00856BBF">
        <w:rPr>
          <w:rStyle w:val="Refdenotaalpie"/>
        </w:rPr>
        <w:footnoteReference w:id="59"/>
      </w:r>
      <w:r>
        <w:rPr>
          <w:i/>
        </w:rPr>
        <w:t>.</w:t>
      </w:r>
      <w:r>
        <w:t xml:space="preserve"> La actuación del Estado llegaba así al interior de los hogares y de las alcobas de los matrimonios. En España la prostitución fue legal hasta 1956, cuando España se vio obligada a suscribir convenios internacionales que la condenaban. Para el régimen y para buena parte de la Iglesia era un mal menor, que mantenía unida a la familia. Sin embargo, el Patronato persiguió a las mujeres que tenían relaciones con hombres casados, con penas de deportación o cárcel, dependiendo de la reincidencia.</w:t>
      </w:r>
    </w:p>
    <w:p w:rsidR="00C5631B" w:rsidRDefault="00C5631B" w:rsidP="00CD41D9">
      <w:pPr>
        <w:spacing w:after="0" w:line="360" w:lineRule="auto"/>
        <w:ind w:firstLine="709"/>
        <w:jc w:val="both"/>
      </w:pPr>
      <w:r>
        <w:t>A partir de la Ley de 24 de enero de 1941 las mujeres que abortaban intencionadamente, ya fuera por la miseria de aquellos años como para evitar la deshonra, quedaban convertidas que iban a la cárcel por este delito. Otras conductas, como salir solas, llegar tarde, no dormir en casa eran castigadas con el ingreso en conventos de Adoratrices y Oblatas, donde niñas y muchachas eran encerradas por tiempo indefinido, a veces, contra la voluntad de los padres. Algunos trabajos de carácter local nos muestran la vida en estas instituciones, que se presentan como una forma más de represión sobre el colectivo de mujeres y fueron mecanismos que se perpetuaron durante décadas, incluso en centros levantados en los años del desarrollismo, con maternidades donde se prohijaron niños y niñas contra la voluntad de unas madres en situación extremadamente vulnerable.</w:t>
      </w:r>
    </w:p>
    <w:p w:rsidR="00C5631B" w:rsidRDefault="00C5631B" w:rsidP="00CD41D9">
      <w:pPr>
        <w:spacing w:after="0" w:line="360" w:lineRule="auto"/>
        <w:ind w:firstLine="709"/>
        <w:jc w:val="both"/>
      </w:pPr>
      <w:r>
        <w:t xml:space="preserve">En España la política natalista, emprendida en un contexto de dificultades y privaciones propias de la posguerra no produjo ningún </w:t>
      </w:r>
      <w:proofErr w:type="spellStart"/>
      <w:r>
        <w:rPr>
          <w:i/>
        </w:rPr>
        <w:t>baby</w:t>
      </w:r>
      <w:proofErr w:type="spellEnd"/>
      <w:r>
        <w:rPr>
          <w:i/>
        </w:rPr>
        <w:t xml:space="preserve"> boom</w:t>
      </w:r>
      <w:r>
        <w:t xml:space="preserve"> y las tasas de natalidad descendieron los primeros diez años</w:t>
      </w:r>
      <w:r w:rsidR="000F4989">
        <w:rPr>
          <w:rStyle w:val="Refdenotaalpie"/>
        </w:rPr>
        <w:footnoteReference w:id="60"/>
      </w:r>
      <w:r>
        <w:t>.</w:t>
      </w:r>
    </w:p>
    <w:p w:rsidR="00C5631B" w:rsidRPr="00CF0A68" w:rsidRDefault="00C71920" w:rsidP="00CD41D9">
      <w:pPr>
        <w:pStyle w:val="Prrafodelista"/>
        <w:numPr>
          <w:ilvl w:val="0"/>
          <w:numId w:val="3"/>
        </w:numPr>
        <w:spacing w:line="360" w:lineRule="auto"/>
        <w:ind w:firstLine="709"/>
        <w:jc w:val="center"/>
        <w:rPr>
          <w:b/>
        </w:rPr>
      </w:pPr>
      <w:r w:rsidRPr="00CF0A68">
        <w:rPr>
          <w:b/>
        </w:rPr>
        <w:t>LA PROYECCIÓN DE LA GUERRA</w:t>
      </w:r>
    </w:p>
    <w:p w:rsidR="00C5631B" w:rsidRDefault="00C5631B" w:rsidP="00CD41D9">
      <w:pPr>
        <w:spacing w:after="0" w:line="360" w:lineRule="auto"/>
        <w:ind w:firstLine="709"/>
        <w:jc w:val="both"/>
      </w:pPr>
      <w:r>
        <w:t>Cuando terminó la guerra, sus consecuencias más inmediatas: la escasez y la represión caracterizaron la vida  en general pero se perpetuaron durante largos años. En muchos hogares de las clases trabajadoras en los que faltaba el padre, muerto, preso, exiliado o escondido, la figura de la madre fue fundamental para la supervivencia de todos. Incluso si vivía el padre, la vida se tornó muy complicada, sobre todo, para las clases trabajadoras</w:t>
      </w:r>
      <w:r w:rsidR="00435C8D">
        <w:rPr>
          <w:rStyle w:val="Refdenotaalpie"/>
        </w:rPr>
        <w:footnoteReference w:id="61"/>
      </w:r>
      <w:r>
        <w:t>.</w:t>
      </w:r>
    </w:p>
    <w:p w:rsidR="00C5631B" w:rsidRDefault="00C5631B" w:rsidP="00CD41D9">
      <w:pPr>
        <w:spacing w:after="0" w:line="360" w:lineRule="auto"/>
        <w:ind w:firstLine="709"/>
        <w:jc w:val="both"/>
      </w:pPr>
      <w:r>
        <w:t xml:space="preserve">El racionamiento duró hasta los primeros años cincuenta. Ante esa situación, las mujeres fueron pieza clave a la hora de mantener la supervivencia de las familias en unos años en los que el deterioro del nivel de vida fue continuo. Si bien los sectores de </w:t>
      </w:r>
      <w:r>
        <w:lastRenderedPageBreak/>
        <w:t xml:space="preserve">población que tenían una posición desahogada podían permitirse comprar todo tipo de alimentos, ropa, medicinas y tener sirvientas –a veces niñas- trabajando a cambio de la comida. La mayoría sufrió las consecuencias del racionamiento sin poder protestar y desplegaron una serie de estrategias para sustituir unos productos por otros, para elaborar comidas sin apenas productos, reciclar ropa o realizar trabajos informales para salir adelante. </w:t>
      </w:r>
    </w:p>
    <w:p w:rsidR="00C5631B" w:rsidRDefault="00C5631B" w:rsidP="00CD41D9">
      <w:pPr>
        <w:spacing w:after="0" w:line="360" w:lineRule="auto"/>
        <w:ind w:firstLine="709"/>
        <w:jc w:val="both"/>
      </w:pPr>
      <w:r>
        <w:t>En el caso de los trabajos extra-domésticos, figuraba en el Fuero del Trabajo de 1938 que el Estado liberaría a las mujeres del taller y la fábrica, pero lo que hizo fue mantener legalmente una brecha salarial de un tercio a la mitad de los salarios de los hombres, penalizó el salario de los hombres si las esposas trabajaban y prohibía a las mujeres los puestos más prestigiosos y lucrativos</w:t>
      </w:r>
      <w:r w:rsidR="0008209D">
        <w:rPr>
          <w:rStyle w:val="Refdenotaalpie"/>
        </w:rPr>
        <w:footnoteReference w:id="62"/>
      </w:r>
      <w:r>
        <w:t>. Las mujeres estraperlistas, por la Ley de 1940 que creaba la Fiscalía de Tasas, se convertían en delincuentes que ingresaban periódicamente en la cárcel por períodos cortos y convivían en ocasiones con las presas políticas. Hoy sabemos también que la mayoría de las mujeres practicaban un estraperlo de bajo nivel, en comparación con los casos de algunos personajes cercanos al poder que consiguieron importantes fortunas.</w:t>
      </w:r>
    </w:p>
    <w:p w:rsidR="00C5631B" w:rsidRDefault="00C5631B" w:rsidP="00CD41D9">
      <w:pPr>
        <w:spacing w:after="0" w:line="360" w:lineRule="auto"/>
        <w:ind w:firstLine="709"/>
        <w:jc w:val="both"/>
      </w:pPr>
      <w:r>
        <w:t>La represión franquista también se prolongó en la posguerra y se hizo más selectiva después. Si bien una política de indultos redujo las penas de prisión en algunos casos, las detenciones estuvieron presentes en España hasta la muerte de Franco y aún después por causas políticas</w:t>
      </w:r>
      <w:r w:rsidR="000D5FE9">
        <w:t xml:space="preserve"> y</w:t>
      </w:r>
      <w:r>
        <w:t xml:space="preserve"> sociales</w:t>
      </w:r>
      <w:r w:rsidR="000D5FE9">
        <w:t>.</w:t>
      </w:r>
      <w:r>
        <w:t xml:space="preserve"> En la posguerra, a las presas y reincidentes, se unieron las acusadas de ser enlaces de la guerrilla por su papel de encubridoras. Así, en los ficheros de las cárceles se pueden ver cómo en algunos momentos ingresan un número elevado de mujeres, muchas veces un tercio o la mitad de las que vivían en algún pueblo por apoyar a la guerrilla. Esos apoyos que consideraban las autoridades podía ser poner alguna comida o ropa limpia en algunos lugares del campo o la sierra. A veces, esa ayuda iba más lejos, al ofrecerles información o escondite temporal. Algunas operaciones de la guerrilla y la reorganización política clandestina no hubieran sido posibles sin esta ayuda</w:t>
      </w:r>
      <w:r w:rsidR="000D5FE9">
        <w:rPr>
          <w:rStyle w:val="Refdenotaalpie"/>
        </w:rPr>
        <w:footnoteReference w:id="63"/>
      </w:r>
      <w:r>
        <w:t xml:space="preserve">. </w:t>
      </w:r>
    </w:p>
    <w:p w:rsidR="00C5631B" w:rsidRDefault="00C5631B" w:rsidP="00CD41D9">
      <w:pPr>
        <w:spacing w:after="0" w:line="360" w:lineRule="auto"/>
        <w:ind w:firstLine="709"/>
        <w:jc w:val="both"/>
      </w:pPr>
      <w:r>
        <w:t xml:space="preserve">En España, ellas mismas en muchos casos se fueron con los guerrilleros o grupos de huidos, generalmente por el acoso continuo al que las sometían la guardia </w:t>
      </w:r>
      <w:r>
        <w:lastRenderedPageBreak/>
        <w:t xml:space="preserve">civil con sus interrogatorios y torturas. Si bien las autoridades y hoy la historiografía más conservadora afirmaban que las mujeres huían a la guerrilla para ser “queridas de los guerrilleros”, algunas lo hicieron por propia convicción y la unión sentimental no fue la causa sino  la consecuencia de la vida en la sierra. Generalmente fueron las más concienciadas y algunas tenían antecedentes militantes. En algunas comarcas de Andalucía la guardia civil cerraba las casas con llave desde fuera por las tardes y las abría por la mañana a la hora de ir a trabajar para evitar que huidos y guerrilleros acudieran por las noches a sus casas. A las mujeres de las zonas donde había grupos de huidos o guerrilla se les vigilaba la comida que hacían o la ropa de hombre que lavaban. Las mujeres de los “rojos” cargaron toda la vida con el estigma de ser familias de presos y esa circunstancia se extendía a los lugares de trabajo, a los colegios de los niños y a los informes de conducta que se necesitaban para cualquier gestión burocrática, donde se recogían las valoraciones sobre política y moral pública y privada. </w:t>
      </w:r>
    </w:p>
    <w:p w:rsidR="00C5631B" w:rsidRDefault="00C5631B" w:rsidP="00CD41D9">
      <w:pPr>
        <w:spacing w:after="0" w:line="360" w:lineRule="auto"/>
        <w:ind w:firstLine="709"/>
        <w:jc w:val="both"/>
      </w:pPr>
      <w:r>
        <w:t>Algunas publicaciones recientes destacan no solo la vida difícil de las mujeres de los presos políticos sino también su papel en redes de solidaridad y en el mantenimiento de organizaciones de oposición. Las “mujeres de preso” se han convertido recientemente en un foco de atención historiográfico, que era invisible en los primeros trabajos sobre la oposición política al franquismo</w:t>
      </w:r>
      <w:r w:rsidR="00BC5FD4">
        <w:rPr>
          <w:rStyle w:val="Refdenotaalpie"/>
        </w:rPr>
        <w:footnoteReference w:id="64"/>
      </w:r>
      <w:r>
        <w:t>. Otro foco de atención reciente es el del papel de las mujeres en las resistencias cotidianas con una serie de trasgresiones, aparentemente no tan graves como las actividades políticas de oposición pero que socavaban al régimen notablemente</w:t>
      </w:r>
      <w:r w:rsidR="00BC5FD4">
        <w:rPr>
          <w:rStyle w:val="Refdenotaalpie"/>
        </w:rPr>
        <w:footnoteReference w:id="65"/>
      </w:r>
      <w:r>
        <w:t xml:space="preserve">. </w:t>
      </w:r>
    </w:p>
    <w:p w:rsidR="00C5631B" w:rsidRDefault="00C5631B" w:rsidP="00CD41D9">
      <w:pPr>
        <w:spacing w:after="0" w:line="360" w:lineRule="auto"/>
        <w:ind w:firstLine="709"/>
        <w:jc w:val="both"/>
      </w:pPr>
      <w:r>
        <w:t>Siguiendo los esquemas más clásicos, muchas de ellas tuvieron una posición muy firme en el mantenimiento de las células clandestinas –del PCE sobre todo-. Su papel en la resistencia antifranquista está acreditado tanto dentro como fuera de España. El Movimiento Democrático de Mujeres, muy ligado al PCE, en el que había una doble  militancia, por las libertades democráticas pero también por los derechos específicos de las mujeres quizá es el más destacable, pero sobre todo a partir de la segunda mitad de los años sesenta cuando ya hay una generación no ligada a la guerra que lucha por las libertades en los movimientos obreros o estudiantil, incluso vecinal. La proyección de la guerra, con su profunda brecha de clase llevó a las mujeres de las clases trabajadoras a vivir con un nivel de vida inferior a la de los países vecinos occid</w:t>
      </w:r>
      <w:r w:rsidR="005F24E4">
        <w:t xml:space="preserve">entales, a trabajar </w:t>
      </w:r>
      <w:r w:rsidR="005F24E4">
        <w:lastRenderedPageBreak/>
        <w:t>desde niñas y</w:t>
      </w:r>
      <w:r>
        <w:t xml:space="preserve"> a tener una educación deficiente. La evolución fue muy lenta </w:t>
      </w:r>
      <w:r w:rsidR="00E72D3E">
        <w:t>desde la década de los sesenta hasta</w:t>
      </w:r>
      <w:r>
        <w:t xml:space="preserve"> la muerte de Franco</w:t>
      </w:r>
      <w:r w:rsidR="00E72D3E">
        <w:t xml:space="preserve"> y aún hubo que esperar para ver</w:t>
      </w:r>
      <w:r>
        <w:t xml:space="preserve"> verdaderos cambios en la educación y en algunos derechos básicos, barridos durante cuarenta años por la guerra.</w:t>
      </w:r>
    </w:p>
    <w:p w:rsidR="0018364A" w:rsidRPr="00CF0A68" w:rsidRDefault="0018364A" w:rsidP="00CD41D9">
      <w:pPr>
        <w:pStyle w:val="Prrafodelista"/>
        <w:numPr>
          <w:ilvl w:val="0"/>
          <w:numId w:val="3"/>
        </w:numPr>
        <w:spacing w:after="0" w:line="360" w:lineRule="auto"/>
        <w:ind w:firstLine="709"/>
        <w:jc w:val="center"/>
        <w:rPr>
          <w:b/>
        </w:rPr>
      </w:pPr>
      <w:r w:rsidRPr="00CF0A68">
        <w:rPr>
          <w:b/>
        </w:rPr>
        <w:t>BIBLIOGRAFÍA</w:t>
      </w:r>
    </w:p>
    <w:p w:rsidR="00AA66A9" w:rsidRPr="000F4FFB" w:rsidRDefault="00AA66A9" w:rsidP="00CD41D9">
      <w:pPr>
        <w:pStyle w:val="Textonotapie"/>
        <w:spacing w:line="360" w:lineRule="auto"/>
        <w:ind w:firstLine="709"/>
        <w:jc w:val="both"/>
        <w:rPr>
          <w:rFonts w:ascii="Times New Roman" w:hAnsi="Times New Roman" w:cs="Times New Roman"/>
          <w:sz w:val="24"/>
          <w:szCs w:val="24"/>
        </w:rPr>
      </w:pPr>
      <w:r w:rsidRPr="000F4FFB">
        <w:rPr>
          <w:rFonts w:ascii="Times New Roman" w:hAnsi="Times New Roman" w:cs="Times New Roman"/>
          <w:sz w:val="24"/>
          <w:szCs w:val="24"/>
        </w:rPr>
        <w:t xml:space="preserve">ABAD, I., </w:t>
      </w:r>
      <w:r w:rsidRPr="000F4FFB">
        <w:rPr>
          <w:rFonts w:ascii="Times New Roman" w:hAnsi="Times New Roman" w:cs="Times New Roman"/>
          <w:i/>
          <w:sz w:val="24"/>
          <w:szCs w:val="24"/>
        </w:rPr>
        <w:t xml:space="preserve">En las puertas de la prisión. De la solidaridad a la concienciación política de las mujeres de los presos del franquismo, </w:t>
      </w:r>
      <w:r w:rsidRPr="000F4FFB">
        <w:rPr>
          <w:rFonts w:ascii="Times New Roman" w:hAnsi="Times New Roman" w:cs="Times New Roman"/>
          <w:sz w:val="24"/>
          <w:szCs w:val="24"/>
        </w:rPr>
        <w:t xml:space="preserve">Icaria, Barcelona, 2012. </w:t>
      </w:r>
    </w:p>
    <w:p w:rsidR="00611AEB" w:rsidRPr="000F4FFB" w:rsidRDefault="006F5026" w:rsidP="00CD41D9">
      <w:pPr>
        <w:spacing w:after="0" w:line="360" w:lineRule="auto"/>
        <w:ind w:firstLine="709"/>
        <w:jc w:val="both"/>
      </w:pPr>
      <w:r w:rsidRPr="000F4FFB">
        <w:t xml:space="preserve">AGUADO, A. “Entre lo público y lo privado: sufragio y divorcio en la Segunda República”, </w:t>
      </w:r>
      <w:r w:rsidRPr="000F4FFB">
        <w:rPr>
          <w:i/>
        </w:rPr>
        <w:t xml:space="preserve">Ayer, </w:t>
      </w:r>
      <w:r w:rsidRPr="000F4FFB">
        <w:t>núm. 60, pp. 105-134.</w:t>
      </w:r>
    </w:p>
    <w:p w:rsidR="006F5026" w:rsidRPr="000F4FFB" w:rsidRDefault="006F5026" w:rsidP="00CD41D9">
      <w:pPr>
        <w:pStyle w:val="Textonotapie"/>
        <w:spacing w:line="360" w:lineRule="auto"/>
        <w:ind w:firstLine="709"/>
        <w:jc w:val="both"/>
        <w:rPr>
          <w:rFonts w:ascii="Times New Roman" w:hAnsi="Times New Roman" w:cs="Times New Roman"/>
          <w:sz w:val="24"/>
          <w:szCs w:val="24"/>
        </w:rPr>
      </w:pPr>
      <w:r w:rsidRPr="000F4FFB">
        <w:rPr>
          <w:rFonts w:ascii="Times New Roman" w:hAnsi="Times New Roman" w:cs="Times New Roman"/>
          <w:sz w:val="24"/>
          <w:szCs w:val="24"/>
        </w:rPr>
        <w:t xml:space="preserve">ALMISAS ALBÉNDIZ, M., </w:t>
      </w:r>
      <w:r w:rsidRPr="000F4FFB">
        <w:rPr>
          <w:rFonts w:ascii="Times New Roman" w:hAnsi="Times New Roman" w:cs="Times New Roman"/>
          <w:i/>
          <w:sz w:val="24"/>
          <w:szCs w:val="24"/>
        </w:rPr>
        <w:t xml:space="preserve">Anita Carrillo, capitana republicana de la Línea, </w:t>
      </w:r>
      <w:r w:rsidRPr="000F4FFB">
        <w:rPr>
          <w:rFonts w:ascii="Times New Roman" w:hAnsi="Times New Roman" w:cs="Times New Roman"/>
          <w:sz w:val="24"/>
          <w:szCs w:val="24"/>
        </w:rPr>
        <w:t>El Boletín, Puerto de Santa María, 2017.</w:t>
      </w:r>
    </w:p>
    <w:p w:rsidR="00BF4EBB" w:rsidRPr="000F4FFB" w:rsidRDefault="00BF4EBB" w:rsidP="00CD41D9">
      <w:pPr>
        <w:pStyle w:val="Textonotapie"/>
        <w:spacing w:line="360" w:lineRule="auto"/>
        <w:ind w:firstLine="709"/>
        <w:jc w:val="both"/>
        <w:rPr>
          <w:rFonts w:ascii="Times New Roman" w:hAnsi="Times New Roman" w:cs="Times New Roman"/>
          <w:sz w:val="24"/>
          <w:szCs w:val="24"/>
        </w:rPr>
      </w:pPr>
      <w:r w:rsidRPr="000F4FFB">
        <w:rPr>
          <w:rFonts w:ascii="Times New Roman" w:hAnsi="Times New Roman" w:cs="Times New Roman"/>
          <w:sz w:val="24"/>
          <w:szCs w:val="24"/>
        </w:rPr>
        <w:t xml:space="preserve">ARAGÜÉS ESTRAGUÉS, R., </w:t>
      </w:r>
      <w:r w:rsidRPr="000F4FFB">
        <w:rPr>
          <w:rFonts w:ascii="Times New Roman" w:hAnsi="Times New Roman" w:cs="Times New Roman"/>
          <w:i/>
          <w:sz w:val="24"/>
          <w:szCs w:val="24"/>
        </w:rPr>
        <w:t xml:space="preserve">Las rojas y sus hijos, víctimas de la legislación franquista. El caso de la cárcel de Predicadores (1939-1945), </w:t>
      </w:r>
      <w:r w:rsidRPr="000F4FFB">
        <w:rPr>
          <w:rFonts w:ascii="Times New Roman" w:hAnsi="Times New Roman" w:cs="Times New Roman"/>
          <w:sz w:val="24"/>
          <w:szCs w:val="24"/>
        </w:rPr>
        <w:t>Sanz y Torres, Madrid, 2014.</w:t>
      </w:r>
    </w:p>
    <w:p w:rsidR="003A3FD8" w:rsidRPr="000F4FFB" w:rsidRDefault="003A3FD8" w:rsidP="00CD41D9">
      <w:pPr>
        <w:pStyle w:val="Textonotapie"/>
        <w:spacing w:line="360" w:lineRule="auto"/>
        <w:ind w:firstLine="709"/>
        <w:jc w:val="both"/>
        <w:rPr>
          <w:rFonts w:ascii="Times New Roman" w:hAnsi="Times New Roman" w:cs="Times New Roman"/>
          <w:sz w:val="24"/>
          <w:szCs w:val="24"/>
        </w:rPr>
      </w:pPr>
      <w:r w:rsidRPr="000F4FFB">
        <w:rPr>
          <w:rFonts w:ascii="Times New Roman" w:hAnsi="Times New Roman" w:cs="Times New Roman"/>
          <w:sz w:val="24"/>
          <w:szCs w:val="24"/>
        </w:rPr>
        <w:t xml:space="preserve">BABIANO, J. (Ed.), </w:t>
      </w:r>
      <w:r w:rsidRPr="000F4FFB">
        <w:rPr>
          <w:rFonts w:ascii="Times New Roman" w:hAnsi="Times New Roman" w:cs="Times New Roman"/>
          <w:i/>
          <w:sz w:val="24"/>
          <w:szCs w:val="24"/>
        </w:rPr>
        <w:t xml:space="preserve">Del hogar a la huelga. Trabajo, género y movimiento obrero durante el franquismo, </w:t>
      </w:r>
      <w:r w:rsidRPr="000F4FFB">
        <w:rPr>
          <w:rFonts w:ascii="Times New Roman" w:hAnsi="Times New Roman" w:cs="Times New Roman"/>
          <w:sz w:val="24"/>
          <w:szCs w:val="24"/>
        </w:rPr>
        <w:t>Catarata, Madrid, 2007.</w:t>
      </w:r>
    </w:p>
    <w:p w:rsidR="00AA66A9" w:rsidRPr="000F4FFB" w:rsidRDefault="00AA66A9" w:rsidP="00CD41D9">
      <w:pPr>
        <w:pStyle w:val="Textonotapie"/>
        <w:spacing w:line="360" w:lineRule="auto"/>
        <w:ind w:firstLine="709"/>
        <w:jc w:val="both"/>
        <w:rPr>
          <w:rFonts w:ascii="Times New Roman" w:hAnsi="Times New Roman" w:cs="Times New Roman"/>
          <w:sz w:val="24"/>
          <w:szCs w:val="24"/>
        </w:rPr>
      </w:pPr>
      <w:r w:rsidRPr="000F4FFB">
        <w:rPr>
          <w:rFonts w:ascii="Times New Roman" w:hAnsi="Times New Roman" w:cs="Times New Roman"/>
          <w:sz w:val="24"/>
          <w:szCs w:val="24"/>
        </w:rPr>
        <w:t xml:space="preserve">BARRAGÁN MORIANA, M., </w:t>
      </w:r>
      <w:r w:rsidRPr="000F4FFB">
        <w:rPr>
          <w:rFonts w:ascii="Times New Roman" w:hAnsi="Times New Roman" w:cs="Times New Roman"/>
          <w:i/>
          <w:sz w:val="24"/>
          <w:szCs w:val="24"/>
        </w:rPr>
        <w:t xml:space="preserve">Control social y responsabilidades políticas. Córdoba (1936-1945), </w:t>
      </w:r>
      <w:r w:rsidRPr="000F4FFB">
        <w:rPr>
          <w:rFonts w:ascii="Times New Roman" w:hAnsi="Times New Roman" w:cs="Times New Roman"/>
          <w:sz w:val="24"/>
          <w:szCs w:val="24"/>
        </w:rPr>
        <w:t>El Páramo, Córdoba, 2009</w:t>
      </w:r>
      <w:r w:rsidR="005F24E4">
        <w:rPr>
          <w:rFonts w:ascii="Times New Roman" w:hAnsi="Times New Roman" w:cs="Times New Roman"/>
          <w:sz w:val="24"/>
          <w:szCs w:val="24"/>
        </w:rPr>
        <w:t>.</w:t>
      </w:r>
    </w:p>
    <w:p w:rsidR="006F5026" w:rsidRPr="000F4FFB" w:rsidRDefault="00BF4EBB" w:rsidP="00CD41D9">
      <w:pPr>
        <w:pStyle w:val="Textonotapie"/>
        <w:spacing w:line="360" w:lineRule="auto"/>
        <w:ind w:firstLine="709"/>
        <w:jc w:val="both"/>
        <w:rPr>
          <w:rFonts w:ascii="Times New Roman" w:hAnsi="Times New Roman" w:cs="Times New Roman"/>
          <w:sz w:val="24"/>
          <w:szCs w:val="24"/>
        </w:rPr>
      </w:pPr>
      <w:r w:rsidRPr="000F4FFB">
        <w:rPr>
          <w:rFonts w:ascii="Times New Roman" w:hAnsi="Times New Roman" w:cs="Times New Roman"/>
          <w:sz w:val="24"/>
          <w:szCs w:val="24"/>
        </w:rPr>
        <w:t xml:space="preserve">BARRANQUERO TEXEIRA, E., Málaga entre la guerra y la posguerra. El franquismo, </w:t>
      </w:r>
      <w:proofErr w:type="spellStart"/>
      <w:r w:rsidRPr="000F4FFB">
        <w:rPr>
          <w:rFonts w:ascii="Times New Roman" w:hAnsi="Times New Roman" w:cs="Times New Roman"/>
          <w:sz w:val="24"/>
          <w:szCs w:val="24"/>
        </w:rPr>
        <w:t>Ar</w:t>
      </w:r>
      <w:r w:rsidR="005F24E4">
        <w:rPr>
          <w:rFonts w:ascii="Times New Roman" w:hAnsi="Times New Roman" w:cs="Times New Roman"/>
          <w:sz w:val="24"/>
          <w:szCs w:val="24"/>
        </w:rPr>
        <w:t>guval</w:t>
      </w:r>
      <w:proofErr w:type="spellEnd"/>
      <w:r w:rsidR="005F24E4">
        <w:rPr>
          <w:rFonts w:ascii="Times New Roman" w:hAnsi="Times New Roman" w:cs="Times New Roman"/>
          <w:sz w:val="24"/>
          <w:szCs w:val="24"/>
        </w:rPr>
        <w:t>, Málaga, 1994</w:t>
      </w:r>
      <w:r w:rsidRPr="000F4FFB">
        <w:rPr>
          <w:rFonts w:ascii="Times New Roman" w:hAnsi="Times New Roman" w:cs="Times New Roman"/>
          <w:sz w:val="24"/>
          <w:szCs w:val="24"/>
        </w:rPr>
        <w:t>.</w:t>
      </w:r>
    </w:p>
    <w:p w:rsidR="005F24E4" w:rsidRDefault="00611AEB" w:rsidP="00CD41D9">
      <w:pPr>
        <w:pStyle w:val="Textonotapie"/>
        <w:spacing w:line="360" w:lineRule="auto"/>
        <w:ind w:firstLine="709"/>
        <w:jc w:val="both"/>
        <w:rPr>
          <w:rFonts w:ascii="Times New Roman" w:hAnsi="Times New Roman" w:cs="Times New Roman"/>
          <w:sz w:val="24"/>
          <w:szCs w:val="24"/>
        </w:rPr>
      </w:pPr>
      <w:r w:rsidRPr="000F4FFB">
        <w:rPr>
          <w:rFonts w:ascii="Times New Roman" w:hAnsi="Times New Roman" w:cs="Times New Roman"/>
          <w:sz w:val="24"/>
          <w:szCs w:val="24"/>
        </w:rPr>
        <w:t xml:space="preserve">BARRANQUERO TEXEIRA, E. (Ed.), </w:t>
      </w:r>
      <w:r w:rsidRPr="000F4FFB">
        <w:rPr>
          <w:rFonts w:ascii="Times New Roman" w:hAnsi="Times New Roman" w:cs="Times New Roman"/>
          <w:i/>
          <w:sz w:val="24"/>
          <w:szCs w:val="24"/>
        </w:rPr>
        <w:t xml:space="preserve">Mujeres en la Guerra Civil y el Franquismo: violencia, silencio y memoria de los tiempos difíciles, </w:t>
      </w:r>
      <w:r w:rsidRPr="000F4FFB">
        <w:rPr>
          <w:rFonts w:ascii="Times New Roman" w:hAnsi="Times New Roman" w:cs="Times New Roman"/>
          <w:sz w:val="24"/>
          <w:szCs w:val="24"/>
        </w:rPr>
        <w:t>Dipu</w:t>
      </w:r>
      <w:r w:rsidR="005F24E4">
        <w:rPr>
          <w:rFonts w:ascii="Times New Roman" w:hAnsi="Times New Roman" w:cs="Times New Roman"/>
          <w:sz w:val="24"/>
          <w:szCs w:val="24"/>
        </w:rPr>
        <w:t>tación de Málaga, Málaga, 2010.</w:t>
      </w:r>
      <w:r w:rsidRPr="000F4FFB">
        <w:rPr>
          <w:rFonts w:ascii="Times New Roman" w:hAnsi="Times New Roman" w:cs="Times New Roman"/>
          <w:sz w:val="24"/>
          <w:szCs w:val="24"/>
        </w:rPr>
        <w:t xml:space="preserve"> </w:t>
      </w:r>
    </w:p>
    <w:p w:rsidR="00611AEB" w:rsidRPr="000F4FFB" w:rsidRDefault="00611AEB" w:rsidP="00CD41D9">
      <w:pPr>
        <w:pStyle w:val="Textonotapie"/>
        <w:spacing w:line="360" w:lineRule="auto"/>
        <w:ind w:firstLine="709"/>
        <w:jc w:val="both"/>
        <w:rPr>
          <w:rFonts w:ascii="Times New Roman" w:hAnsi="Times New Roman" w:cs="Times New Roman"/>
          <w:sz w:val="24"/>
          <w:szCs w:val="24"/>
        </w:rPr>
      </w:pPr>
      <w:r w:rsidRPr="000F4FFB">
        <w:rPr>
          <w:rFonts w:ascii="Times New Roman" w:hAnsi="Times New Roman" w:cs="Times New Roman"/>
          <w:sz w:val="24"/>
          <w:szCs w:val="24"/>
        </w:rPr>
        <w:t xml:space="preserve">BARRANQUERO TEXEIRA, E., “La memoria de la represión franquista sobre las mujeres en los </w:t>
      </w:r>
      <w:proofErr w:type="spellStart"/>
      <w:r w:rsidRPr="000F4FFB">
        <w:rPr>
          <w:rFonts w:ascii="Times New Roman" w:hAnsi="Times New Roman" w:cs="Times New Roman"/>
          <w:sz w:val="24"/>
          <w:szCs w:val="24"/>
        </w:rPr>
        <w:t>websites</w:t>
      </w:r>
      <w:proofErr w:type="spellEnd"/>
      <w:r w:rsidRPr="000F4FFB">
        <w:rPr>
          <w:rFonts w:ascii="Times New Roman" w:hAnsi="Times New Roman" w:cs="Times New Roman"/>
          <w:sz w:val="24"/>
          <w:szCs w:val="24"/>
        </w:rPr>
        <w:t xml:space="preserve">”, </w:t>
      </w:r>
      <w:r w:rsidRPr="000F4FFB">
        <w:rPr>
          <w:rFonts w:ascii="Times New Roman" w:hAnsi="Times New Roman" w:cs="Times New Roman"/>
          <w:i/>
          <w:sz w:val="24"/>
          <w:szCs w:val="24"/>
        </w:rPr>
        <w:t xml:space="preserve">Historia y Comunicación Social, </w:t>
      </w:r>
      <w:r w:rsidRPr="000F4FFB">
        <w:rPr>
          <w:rFonts w:ascii="Times New Roman" w:hAnsi="Times New Roman" w:cs="Times New Roman"/>
          <w:sz w:val="24"/>
          <w:szCs w:val="24"/>
        </w:rPr>
        <w:t>núm. 22-2,</w:t>
      </w:r>
      <w:r w:rsidR="007D3FD0">
        <w:rPr>
          <w:rFonts w:ascii="Times New Roman" w:hAnsi="Times New Roman" w:cs="Times New Roman"/>
          <w:sz w:val="24"/>
          <w:szCs w:val="24"/>
        </w:rPr>
        <w:t xml:space="preserve"> 2017,</w:t>
      </w:r>
      <w:r w:rsidRPr="000F4FFB">
        <w:rPr>
          <w:rFonts w:ascii="Times New Roman" w:hAnsi="Times New Roman" w:cs="Times New Roman"/>
          <w:sz w:val="24"/>
          <w:szCs w:val="24"/>
        </w:rPr>
        <w:t xml:space="preserve"> pp. 363-382.</w:t>
      </w:r>
    </w:p>
    <w:p w:rsidR="00BF4EBB" w:rsidRPr="000F4FFB" w:rsidRDefault="00BF4EBB" w:rsidP="00CD41D9">
      <w:pPr>
        <w:pStyle w:val="Textonotapie"/>
        <w:spacing w:line="360" w:lineRule="auto"/>
        <w:ind w:firstLine="709"/>
        <w:jc w:val="both"/>
        <w:rPr>
          <w:rFonts w:ascii="Times New Roman" w:hAnsi="Times New Roman" w:cs="Times New Roman"/>
          <w:sz w:val="24"/>
          <w:szCs w:val="24"/>
        </w:rPr>
      </w:pPr>
      <w:r w:rsidRPr="000F4FFB">
        <w:rPr>
          <w:rFonts w:ascii="Times New Roman" w:hAnsi="Times New Roman" w:cs="Times New Roman"/>
          <w:sz w:val="24"/>
          <w:szCs w:val="24"/>
        </w:rPr>
        <w:t xml:space="preserve">BARRANQUERO TEXEIRA, E. y EIROA SAN FRANCISCO, M.: “La cárcel de mujeres de Málaga en la paz de Franco”, </w:t>
      </w:r>
      <w:proofErr w:type="spellStart"/>
      <w:r w:rsidRPr="000F4FFB">
        <w:rPr>
          <w:rFonts w:ascii="Times New Roman" w:hAnsi="Times New Roman" w:cs="Times New Roman"/>
          <w:i/>
          <w:sz w:val="24"/>
          <w:szCs w:val="24"/>
        </w:rPr>
        <w:t>Stvdia</w:t>
      </w:r>
      <w:proofErr w:type="spellEnd"/>
      <w:r w:rsidRPr="000F4FFB">
        <w:rPr>
          <w:rFonts w:ascii="Times New Roman" w:hAnsi="Times New Roman" w:cs="Times New Roman"/>
          <w:i/>
          <w:sz w:val="24"/>
          <w:szCs w:val="24"/>
        </w:rPr>
        <w:t xml:space="preserve"> Histórica. Historia Contemporánea, </w:t>
      </w:r>
      <w:r w:rsidRPr="000F4FFB">
        <w:rPr>
          <w:rFonts w:ascii="Times New Roman" w:hAnsi="Times New Roman" w:cs="Times New Roman"/>
          <w:sz w:val="24"/>
          <w:szCs w:val="24"/>
        </w:rPr>
        <w:t>núm. 29, 2011, pp. 119-137.</w:t>
      </w:r>
    </w:p>
    <w:p w:rsidR="00AA66A9" w:rsidRPr="000F4FFB" w:rsidRDefault="00AA66A9" w:rsidP="00CD41D9">
      <w:pPr>
        <w:pStyle w:val="Textonotapie"/>
        <w:spacing w:line="360" w:lineRule="auto"/>
        <w:ind w:firstLine="709"/>
        <w:jc w:val="both"/>
        <w:rPr>
          <w:rFonts w:ascii="Times New Roman" w:hAnsi="Times New Roman" w:cs="Times New Roman"/>
          <w:sz w:val="24"/>
          <w:szCs w:val="24"/>
        </w:rPr>
      </w:pPr>
      <w:r w:rsidRPr="000F4FFB">
        <w:rPr>
          <w:rFonts w:ascii="Times New Roman" w:hAnsi="Times New Roman" w:cs="Times New Roman"/>
          <w:sz w:val="24"/>
          <w:szCs w:val="24"/>
        </w:rPr>
        <w:t xml:space="preserve">BARRANQUERO TEXEIRA, E. y PRIETO BORREGO, L., </w:t>
      </w:r>
      <w:r w:rsidRPr="000F4FFB">
        <w:rPr>
          <w:rFonts w:ascii="Times New Roman" w:hAnsi="Times New Roman" w:cs="Times New Roman"/>
          <w:i/>
          <w:sz w:val="24"/>
          <w:szCs w:val="24"/>
        </w:rPr>
        <w:t xml:space="preserve">La derrota bajo tierra. Las fosas comunes del franquismo, </w:t>
      </w:r>
      <w:proofErr w:type="spellStart"/>
      <w:r w:rsidRPr="000F4FFB">
        <w:rPr>
          <w:rFonts w:ascii="Times New Roman" w:hAnsi="Times New Roman" w:cs="Times New Roman"/>
          <w:sz w:val="24"/>
          <w:szCs w:val="24"/>
        </w:rPr>
        <w:t>C</w:t>
      </w:r>
      <w:r w:rsidR="009A4C52">
        <w:rPr>
          <w:rFonts w:ascii="Times New Roman" w:hAnsi="Times New Roman" w:cs="Times New Roman"/>
          <w:sz w:val="24"/>
          <w:szCs w:val="24"/>
        </w:rPr>
        <w:t>omares</w:t>
      </w:r>
      <w:proofErr w:type="spellEnd"/>
      <w:r w:rsidR="009A4C52">
        <w:rPr>
          <w:rFonts w:ascii="Times New Roman" w:hAnsi="Times New Roman" w:cs="Times New Roman"/>
          <w:sz w:val="24"/>
          <w:szCs w:val="24"/>
        </w:rPr>
        <w:t>, Granada, 2018</w:t>
      </w:r>
      <w:r w:rsidRPr="000F4FFB">
        <w:rPr>
          <w:rFonts w:ascii="Times New Roman" w:hAnsi="Times New Roman" w:cs="Times New Roman"/>
          <w:sz w:val="24"/>
          <w:szCs w:val="24"/>
        </w:rPr>
        <w:t>.</w:t>
      </w:r>
    </w:p>
    <w:p w:rsidR="00AA66A9" w:rsidRPr="000F4FFB" w:rsidRDefault="008F4BC9" w:rsidP="00CD41D9">
      <w:pPr>
        <w:pStyle w:val="Textonotapie"/>
        <w:spacing w:line="360" w:lineRule="auto"/>
        <w:ind w:firstLine="709"/>
        <w:jc w:val="both"/>
        <w:rPr>
          <w:rFonts w:ascii="Times New Roman" w:hAnsi="Times New Roman" w:cs="Times New Roman"/>
          <w:sz w:val="24"/>
          <w:szCs w:val="24"/>
        </w:rPr>
      </w:pPr>
      <w:r w:rsidRPr="000F4FFB">
        <w:rPr>
          <w:rFonts w:ascii="Times New Roman" w:hAnsi="Times New Roman" w:cs="Times New Roman"/>
          <w:sz w:val="24"/>
          <w:szCs w:val="24"/>
        </w:rPr>
        <w:t>BARRANQERO, E., “Mujeres y guerrilla en Andalucía”, en CHAPUT, M.C.; LLECHA, C. y MARTÍNEZ, O. (</w:t>
      </w:r>
      <w:proofErr w:type="spellStart"/>
      <w:r w:rsidRPr="000F4FFB">
        <w:rPr>
          <w:rFonts w:ascii="Times New Roman" w:hAnsi="Times New Roman" w:cs="Times New Roman"/>
          <w:sz w:val="24"/>
          <w:szCs w:val="24"/>
        </w:rPr>
        <w:t>Dirs</w:t>
      </w:r>
      <w:proofErr w:type="spellEnd"/>
      <w:r w:rsidRPr="000F4FFB">
        <w:rPr>
          <w:rFonts w:ascii="Times New Roman" w:hAnsi="Times New Roman" w:cs="Times New Roman"/>
          <w:sz w:val="24"/>
          <w:szCs w:val="24"/>
        </w:rPr>
        <w:t xml:space="preserve">.), </w:t>
      </w:r>
      <w:r w:rsidRPr="000F4FFB">
        <w:rPr>
          <w:rFonts w:ascii="Times New Roman" w:hAnsi="Times New Roman" w:cs="Times New Roman"/>
          <w:i/>
          <w:sz w:val="24"/>
          <w:szCs w:val="24"/>
        </w:rPr>
        <w:t xml:space="preserve">Escrituras de la resistencia armada al franquismo, </w:t>
      </w:r>
      <w:proofErr w:type="spellStart"/>
      <w:r w:rsidRPr="000F4FFB">
        <w:rPr>
          <w:rFonts w:ascii="Times New Roman" w:hAnsi="Times New Roman" w:cs="Times New Roman"/>
          <w:sz w:val="24"/>
          <w:szCs w:val="24"/>
        </w:rPr>
        <w:t>Presses</w:t>
      </w:r>
      <w:proofErr w:type="spellEnd"/>
      <w:r w:rsidRPr="000F4FFB">
        <w:rPr>
          <w:rFonts w:ascii="Times New Roman" w:hAnsi="Times New Roman" w:cs="Times New Roman"/>
          <w:sz w:val="24"/>
          <w:szCs w:val="24"/>
        </w:rPr>
        <w:t xml:space="preserve"> </w:t>
      </w:r>
      <w:proofErr w:type="spellStart"/>
      <w:r w:rsidRPr="000F4FFB">
        <w:rPr>
          <w:rFonts w:ascii="Times New Roman" w:hAnsi="Times New Roman" w:cs="Times New Roman"/>
          <w:sz w:val="24"/>
          <w:szCs w:val="24"/>
        </w:rPr>
        <w:t>Universitaires</w:t>
      </w:r>
      <w:proofErr w:type="spellEnd"/>
      <w:r w:rsidRPr="000F4FFB">
        <w:rPr>
          <w:rFonts w:ascii="Times New Roman" w:hAnsi="Times New Roman" w:cs="Times New Roman"/>
          <w:sz w:val="24"/>
          <w:szCs w:val="24"/>
        </w:rPr>
        <w:t xml:space="preserve"> de Paris </w:t>
      </w:r>
      <w:proofErr w:type="spellStart"/>
      <w:r w:rsidRPr="000F4FFB">
        <w:rPr>
          <w:rFonts w:ascii="Times New Roman" w:hAnsi="Times New Roman" w:cs="Times New Roman"/>
          <w:sz w:val="24"/>
          <w:szCs w:val="24"/>
        </w:rPr>
        <w:t>N</w:t>
      </w:r>
      <w:r w:rsidR="009A4C52">
        <w:rPr>
          <w:rFonts w:ascii="Times New Roman" w:hAnsi="Times New Roman" w:cs="Times New Roman"/>
          <w:sz w:val="24"/>
          <w:szCs w:val="24"/>
        </w:rPr>
        <w:t>anterre</w:t>
      </w:r>
      <w:proofErr w:type="spellEnd"/>
      <w:r w:rsidR="009A4C52">
        <w:rPr>
          <w:rFonts w:ascii="Times New Roman" w:hAnsi="Times New Roman" w:cs="Times New Roman"/>
          <w:sz w:val="24"/>
          <w:szCs w:val="24"/>
        </w:rPr>
        <w:t>, París, 2017, pp. 71-86.</w:t>
      </w:r>
    </w:p>
    <w:p w:rsidR="002639A4" w:rsidRPr="000F4FFB" w:rsidRDefault="002639A4" w:rsidP="00CD41D9">
      <w:pPr>
        <w:pStyle w:val="Textonotapie"/>
        <w:spacing w:line="360" w:lineRule="auto"/>
        <w:ind w:firstLine="709"/>
        <w:jc w:val="both"/>
        <w:rPr>
          <w:rFonts w:ascii="Times New Roman" w:hAnsi="Times New Roman" w:cs="Times New Roman"/>
          <w:sz w:val="24"/>
          <w:szCs w:val="24"/>
        </w:rPr>
      </w:pPr>
      <w:r w:rsidRPr="000F4FFB">
        <w:rPr>
          <w:rFonts w:ascii="Times New Roman" w:hAnsi="Times New Roman" w:cs="Times New Roman"/>
          <w:sz w:val="24"/>
          <w:szCs w:val="24"/>
        </w:rPr>
        <w:lastRenderedPageBreak/>
        <w:t xml:space="preserve">BARRANQUERO TEXEIRA, E. y PRIETO BORREGO, L., </w:t>
      </w:r>
      <w:r w:rsidRPr="000F4FFB">
        <w:rPr>
          <w:rFonts w:ascii="Times New Roman" w:hAnsi="Times New Roman" w:cs="Times New Roman"/>
          <w:i/>
          <w:sz w:val="24"/>
          <w:szCs w:val="24"/>
        </w:rPr>
        <w:t xml:space="preserve">Así sobrevivimos al hambre. Estrategias de supervivencia de las mujeres en la posguerra española, </w:t>
      </w:r>
      <w:r w:rsidRPr="000F4FFB">
        <w:rPr>
          <w:rFonts w:ascii="Times New Roman" w:hAnsi="Times New Roman" w:cs="Times New Roman"/>
          <w:sz w:val="24"/>
          <w:szCs w:val="24"/>
        </w:rPr>
        <w:t>Diputación Provincial, Málaga, 2003.</w:t>
      </w:r>
    </w:p>
    <w:p w:rsidR="006F5026" w:rsidRPr="000F4FFB" w:rsidRDefault="006F5026" w:rsidP="00CD41D9">
      <w:pPr>
        <w:pStyle w:val="Textonotapie"/>
        <w:spacing w:line="360" w:lineRule="auto"/>
        <w:ind w:firstLine="709"/>
        <w:jc w:val="both"/>
        <w:rPr>
          <w:rFonts w:ascii="Times New Roman" w:hAnsi="Times New Roman" w:cs="Times New Roman"/>
          <w:sz w:val="24"/>
          <w:szCs w:val="24"/>
        </w:rPr>
      </w:pPr>
      <w:r w:rsidRPr="000F4FFB">
        <w:rPr>
          <w:rFonts w:ascii="Times New Roman" w:hAnsi="Times New Roman" w:cs="Times New Roman"/>
          <w:sz w:val="24"/>
          <w:szCs w:val="24"/>
        </w:rPr>
        <w:t xml:space="preserve">BLANCO RODRÍGUEZ, J.A., </w:t>
      </w:r>
      <w:r w:rsidRPr="000F4FFB">
        <w:rPr>
          <w:rFonts w:ascii="Times New Roman" w:hAnsi="Times New Roman" w:cs="Times New Roman"/>
          <w:i/>
          <w:sz w:val="24"/>
          <w:szCs w:val="24"/>
        </w:rPr>
        <w:t xml:space="preserve">El quinto regimiento en la política militar del PCE en la guerra civil, </w:t>
      </w:r>
      <w:r w:rsidRPr="000F4FFB">
        <w:rPr>
          <w:rFonts w:ascii="Times New Roman" w:hAnsi="Times New Roman" w:cs="Times New Roman"/>
          <w:sz w:val="24"/>
          <w:szCs w:val="24"/>
        </w:rPr>
        <w:t>UNED, 1993.</w:t>
      </w:r>
    </w:p>
    <w:p w:rsidR="002639A4" w:rsidRPr="000F4FFB" w:rsidRDefault="002639A4" w:rsidP="00CD41D9">
      <w:pPr>
        <w:pStyle w:val="Textonotapie"/>
        <w:spacing w:line="360" w:lineRule="auto"/>
        <w:ind w:firstLine="709"/>
        <w:jc w:val="both"/>
        <w:rPr>
          <w:rFonts w:ascii="Times New Roman" w:hAnsi="Times New Roman" w:cs="Times New Roman"/>
          <w:sz w:val="24"/>
          <w:szCs w:val="24"/>
        </w:rPr>
      </w:pPr>
      <w:r w:rsidRPr="000F4FFB">
        <w:rPr>
          <w:rFonts w:ascii="Times New Roman" w:hAnsi="Times New Roman" w:cs="Times New Roman"/>
          <w:sz w:val="24"/>
          <w:szCs w:val="24"/>
        </w:rPr>
        <w:t>BLANCO RODRÍGUEZ, E., “Las vencidas. La represión de las mujeres de Ciudad Real mediante la Jurisdicción Especial de Responsabilidades Políticas (1939-1945),</w:t>
      </w:r>
      <w:r w:rsidRPr="000F4FFB">
        <w:rPr>
          <w:rFonts w:ascii="Times New Roman" w:hAnsi="Times New Roman" w:cs="Times New Roman"/>
          <w:i/>
          <w:sz w:val="24"/>
          <w:szCs w:val="24"/>
        </w:rPr>
        <w:t xml:space="preserve"> Arenal, </w:t>
      </w:r>
      <w:r w:rsidRPr="000F4FFB">
        <w:rPr>
          <w:rFonts w:ascii="Times New Roman" w:hAnsi="Times New Roman" w:cs="Times New Roman"/>
          <w:sz w:val="24"/>
          <w:szCs w:val="24"/>
        </w:rPr>
        <w:t xml:space="preserve">núm. 27, pp. 225-280. </w:t>
      </w:r>
    </w:p>
    <w:p w:rsidR="00AA66A9" w:rsidRDefault="00AA66A9" w:rsidP="00CD41D9">
      <w:pPr>
        <w:pStyle w:val="Textonotapie"/>
        <w:spacing w:line="360" w:lineRule="auto"/>
        <w:ind w:firstLine="709"/>
        <w:jc w:val="both"/>
        <w:rPr>
          <w:rFonts w:ascii="Times New Roman" w:hAnsi="Times New Roman" w:cs="Times New Roman"/>
          <w:sz w:val="24"/>
          <w:szCs w:val="24"/>
        </w:rPr>
      </w:pPr>
      <w:r w:rsidRPr="000F4FFB">
        <w:rPr>
          <w:rFonts w:ascii="Times New Roman" w:hAnsi="Times New Roman" w:cs="Times New Roman"/>
          <w:sz w:val="24"/>
          <w:szCs w:val="24"/>
        </w:rPr>
        <w:t xml:space="preserve">CABANA IGLESIAS, A., </w:t>
      </w:r>
      <w:r w:rsidRPr="000F4FFB">
        <w:rPr>
          <w:rFonts w:ascii="Times New Roman" w:hAnsi="Times New Roman" w:cs="Times New Roman"/>
          <w:i/>
          <w:sz w:val="24"/>
          <w:szCs w:val="24"/>
        </w:rPr>
        <w:t xml:space="preserve">La derrota de lo épico, </w:t>
      </w:r>
      <w:r w:rsidRPr="000F4FFB">
        <w:rPr>
          <w:rFonts w:ascii="Times New Roman" w:hAnsi="Times New Roman" w:cs="Times New Roman"/>
          <w:sz w:val="24"/>
          <w:szCs w:val="24"/>
        </w:rPr>
        <w:t>Universidad de Valencia, Valencia, 2013</w:t>
      </w:r>
      <w:r w:rsidR="00F65F6D">
        <w:rPr>
          <w:rFonts w:ascii="Times New Roman" w:hAnsi="Times New Roman" w:cs="Times New Roman"/>
          <w:sz w:val="24"/>
          <w:szCs w:val="24"/>
        </w:rPr>
        <w:t>.</w:t>
      </w:r>
    </w:p>
    <w:p w:rsidR="00F65F6D" w:rsidRPr="000F4FFB" w:rsidRDefault="00F65F6D" w:rsidP="00CD41D9">
      <w:pPr>
        <w:pStyle w:val="Textonotapie"/>
        <w:spacing w:line="360" w:lineRule="auto"/>
        <w:ind w:firstLine="709"/>
        <w:jc w:val="both"/>
        <w:rPr>
          <w:rFonts w:ascii="Times New Roman" w:hAnsi="Times New Roman" w:cs="Times New Roman"/>
          <w:sz w:val="24"/>
          <w:szCs w:val="24"/>
        </w:rPr>
      </w:pPr>
      <w:r w:rsidRPr="000F4FFB">
        <w:rPr>
          <w:rFonts w:ascii="Times New Roman" w:hAnsi="Times New Roman" w:cs="Times New Roman"/>
          <w:sz w:val="24"/>
          <w:szCs w:val="24"/>
        </w:rPr>
        <w:t xml:space="preserve">CALCERRADA, J. y ORTIZ, A., </w:t>
      </w:r>
      <w:r w:rsidRPr="000F4FFB">
        <w:rPr>
          <w:rFonts w:ascii="Times New Roman" w:hAnsi="Times New Roman" w:cs="Times New Roman"/>
          <w:i/>
          <w:sz w:val="24"/>
          <w:szCs w:val="24"/>
        </w:rPr>
        <w:t xml:space="preserve">Julia Manzanal “Comisario Chico”, </w:t>
      </w:r>
      <w:r w:rsidRPr="000F4FFB">
        <w:rPr>
          <w:rFonts w:ascii="Times New Roman" w:hAnsi="Times New Roman" w:cs="Times New Roman"/>
          <w:sz w:val="24"/>
          <w:szCs w:val="24"/>
        </w:rPr>
        <w:t xml:space="preserve">Fundación Domingo </w:t>
      </w:r>
      <w:proofErr w:type="spellStart"/>
      <w:r w:rsidRPr="000F4FFB">
        <w:rPr>
          <w:rFonts w:ascii="Times New Roman" w:hAnsi="Times New Roman" w:cs="Times New Roman"/>
          <w:sz w:val="24"/>
          <w:szCs w:val="24"/>
        </w:rPr>
        <w:t>Ma</w:t>
      </w:r>
      <w:r>
        <w:rPr>
          <w:rFonts w:ascii="Times New Roman" w:hAnsi="Times New Roman" w:cs="Times New Roman"/>
          <w:sz w:val="24"/>
          <w:szCs w:val="24"/>
        </w:rPr>
        <w:t>lagón</w:t>
      </w:r>
      <w:proofErr w:type="spellEnd"/>
      <w:r>
        <w:rPr>
          <w:rFonts w:ascii="Times New Roman" w:hAnsi="Times New Roman" w:cs="Times New Roman"/>
          <w:sz w:val="24"/>
          <w:szCs w:val="24"/>
        </w:rPr>
        <w:t>, Madrid, 2001</w:t>
      </w:r>
      <w:r w:rsidRPr="000F4FFB">
        <w:rPr>
          <w:rFonts w:ascii="Times New Roman" w:hAnsi="Times New Roman" w:cs="Times New Roman"/>
          <w:sz w:val="24"/>
          <w:szCs w:val="24"/>
        </w:rPr>
        <w:t>.</w:t>
      </w:r>
    </w:p>
    <w:p w:rsidR="00BF4EBB" w:rsidRPr="000F4FFB" w:rsidRDefault="00BF4EBB" w:rsidP="00CD41D9">
      <w:pPr>
        <w:pStyle w:val="Textonotapie"/>
        <w:spacing w:line="360" w:lineRule="auto"/>
        <w:ind w:firstLine="709"/>
        <w:jc w:val="both"/>
        <w:rPr>
          <w:rFonts w:ascii="Times New Roman" w:hAnsi="Times New Roman" w:cs="Times New Roman"/>
          <w:sz w:val="24"/>
          <w:szCs w:val="24"/>
        </w:rPr>
      </w:pPr>
      <w:r w:rsidRPr="000F4FFB">
        <w:rPr>
          <w:rFonts w:ascii="Times New Roman" w:hAnsi="Times New Roman" w:cs="Times New Roman"/>
          <w:sz w:val="24"/>
          <w:szCs w:val="24"/>
        </w:rPr>
        <w:t xml:space="preserve">CASES SOLA, A., “La violencia sexual en la retaguardia republicana durante la Guerra Civil Española”, </w:t>
      </w:r>
      <w:r w:rsidRPr="000F4FFB">
        <w:rPr>
          <w:rFonts w:ascii="Times New Roman" w:hAnsi="Times New Roman" w:cs="Times New Roman"/>
          <w:i/>
          <w:sz w:val="24"/>
          <w:szCs w:val="24"/>
        </w:rPr>
        <w:t xml:space="preserve">Historia Actual Online, </w:t>
      </w:r>
      <w:r w:rsidR="009A4C52">
        <w:rPr>
          <w:rFonts w:ascii="Times New Roman" w:hAnsi="Times New Roman" w:cs="Times New Roman"/>
          <w:sz w:val="24"/>
          <w:szCs w:val="24"/>
        </w:rPr>
        <w:t>núm. 34, 2014, pp</w:t>
      </w:r>
      <w:r w:rsidRPr="000F4FFB">
        <w:rPr>
          <w:rFonts w:ascii="Times New Roman" w:hAnsi="Times New Roman" w:cs="Times New Roman"/>
          <w:sz w:val="24"/>
          <w:szCs w:val="24"/>
        </w:rPr>
        <w:t>.</w:t>
      </w:r>
      <w:r w:rsidR="00A87B69">
        <w:rPr>
          <w:rFonts w:ascii="Times New Roman" w:hAnsi="Times New Roman" w:cs="Times New Roman"/>
          <w:sz w:val="24"/>
          <w:szCs w:val="24"/>
        </w:rPr>
        <w:t xml:space="preserve"> 69-80.</w:t>
      </w:r>
    </w:p>
    <w:p w:rsidR="00CE38F9" w:rsidRPr="000F4FFB" w:rsidRDefault="00CE38F9" w:rsidP="00CD41D9">
      <w:pPr>
        <w:pStyle w:val="Textonotapie"/>
        <w:spacing w:line="360" w:lineRule="auto"/>
        <w:ind w:firstLine="709"/>
        <w:jc w:val="both"/>
        <w:rPr>
          <w:rFonts w:ascii="Times New Roman" w:hAnsi="Times New Roman" w:cs="Times New Roman"/>
          <w:sz w:val="24"/>
          <w:szCs w:val="24"/>
        </w:rPr>
      </w:pPr>
      <w:r w:rsidRPr="000F4FFB">
        <w:rPr>
          <w:rFonts w:ascii="Times New Roman" w:hAnsi="Times New Roman" w:cs="Times New Roman"/>
          <w:sz w:val="24"/>
          <w:szCs w:val="24"/>
        </w:rPr>
        <w:t xml:space="preserve">CENARRO LAGUNAS, A., “Movilización femenina para una guerra total (1936-1939). Un ejemplo comparativo”, </w:t>
      </w:r>
      <w:r w:rsidRPr="000F4FFB">
        <w:rPr>
          <w:rFonts w:ascii="Times New Roman" w:hAnsi="Times New Roman" w:cs="Times New Roman"/>
          <w:i/>
          <w:sz w:val="24"/>
          <w:szCs w:val="24"/>
        </w:rPr>
        <w:t>Historia y Política,</w:t>
      </w:r>
      <w:r w:rsidRPr="000F4FFB">
        <w:rPr>
          <w:rFonts w:ascii="Times New Roman" w:hAnsi="Times New Roman" w:cs="Times New Roman"/>
          <w:sz w:val="24"/>
          <w:szCs w:val="24"/>
        </w:rPr>
        <w:t xml:space="preserve"> núm. 16, pp. 159-182.</w:t>
      </w:r>
    </w:p>
    <w:p w:rsidR="00CE38F9" w:rsidRPr="000F4FFB" w:rsidRDefault="00CE38F9" w:rsidP="00CD41D9">
      <w:pPr>
        <w:pStyle w:val="Textonotapie"/>
        <w:spacing w:line="360" w:lineRule="auto"/>
        <w:ind w:firstLine="709"/>
        <w:jc w:val="both"/>
        <w:rPr>
          <w:rFonts w:ascii="Times New Roman" w:hAnsi="Times New Roman" w:cs="Times New Roman"/>
          <w:sz w:val="24"/>
          <w:szCs w:val="24"/>
        </w:rPr>
      </w:pPr>
      <w:r w:rsidRPr="000F4FFB">
        <w:rPr>
          <w:rFonts w:ascii="Times New Roman" w:hAnsi="Times New Roman" w:cs="Times New Roman"/>
          <w:sz w:val="24"/>
          <w:szCs w:val="24"/>
        </w:rPr>
        <w:t xml:space="preserve">CUEVAS, T., </w:t>
      </w:r>
      <w:r w:rsidRPr="000F4FFB">
        <w:rPr>
          <w:rFonts w:ascii="Times New Roman" w:hAnsi="Times New Roman" w:cs="Times New Roman"/>
          <w:i/>
          <w:sz w:val="24"/>
          <w:szCs w:val="24"/>
        </w:rPr>
        <w:t xml:space="preserve">Cárcel de mujeres (1939-1945), </w:t>
      </w:r>
      <w:proofErr w:type="spellStart"/>
      <w:r w:rsidRPr="000F4FFB">
        <w:rPr>
          <w:rFonts w:ascii="Times New Roman" w:hAnsi="Times New Roman" w:cs="Times New Roman"/>
          <w:sz w:val="24"/>
          <w:szCs w:val="24"/>
        </w:rPr>
        <w:t>Sirocco</w:t>
      </w:r>
      <w:proofErr w:type="spellEnd"/>
      <w:r w:rsidRPr="000F4FFB">
        <w:rPr>
          <w:rFonts w:ascii="Times New Roman" w:hAnsi="Times New Roman" w:cs="Times New Roman"/>
          <w:sz w:val="24"/>
          <w:szCs w:val="24"/>
        </w:rPr>
        <w:t xml:space="preserve"> </w:t>
      </w:r>
      <w:proofErr w:type="spellStart"/>
      <w:r w:rsidRPr="000F4FFB">
        <w:rPr>
          <w:rFonts w:ascii="Times New Roman" w:hAnsi="Times New Roman" w:cs="Times New Roman"/>
          <w:sz w:val="24"/>
          <w:szCs w:val="24"/>
        </w:rPr>
        <w:t>Books</w:t>
      </w:r>
      <w:proofErr w:type="spellEnd"/>
      <w:r w:rsidRPr="000F4FFB">
        <w:rPr>
          <w:rFonts w:ascii="Times New Roman" w:hAnsi="Times New Roman" w:cs="Times New Roman"/>
          <w:sz w:val="24"/>
          <w:szCs w:val="24"/>
        </w:rPr>
        <w:t>, Barcelona, 1985.</w:t>
      </w:r>
    </w:p>
    <w:p w:rsidR="00CE38F9" w:rsidRPr="000F4FFB" w:rsidRDefault="00CE38F9" w:rsidP="00CD41D9">
      <w:pPr>
        <w:pStyle w:val="Textonotapie"/>
        <w:spacing w:line="360" w:lineRule="auto"/>
        <w:ind w:firstLine="709"/>
        <w:jc w:val="both"/>
        <w:rPr>
          <w:rFonts w:ascii="Times New Roman" w:hAnsi="Times New Roman" w:cs="Times New Roman"/>
          <w:sz w:val="24"/>
          <w:szCs w:val="24"/>
        </w:rPr>
      </w:pPr>
      <w:r w:rsidRPr="000F4FFB">
        <w:rPr>
          <w:rFonts w:ascii="Times New Roman" w:hAnsi="Times New Roman" w:cs="Times New Roman"/>
          <w:sz w:val="24"/>
          <w:szCs w:val="24"/>
        </w:rPr>
        <w:t xml:space="preserve">DOÑA, J., </w:t>
      </w:r>
      <w:r w:rsidRPr="000F4FFB">
        <w:rPr>
          <w:rFonts w:ascii="Times New Roman" w:hAnsi="Times New Roman" w:cs="Times New Roman"/>
          <w:i/>
          <w:sz w:val="24"/>
          <w:szCs w:val="24"/>
        </w:rPr>
        <w:t>Desde la noche y la niebla (mujeres en las cárceles franquistas),</w:t>
      </w:r>
      <w:r w:rsidRPr="000F4FFB">
        <w:rPr>
          <w:rFonts w:ascii="Times New Roman" w:hAnsi="Times New Roman" w:cs="Times New Roman"/>
          <w:sz w:val="24"/>
          <w:szCs w:val="24"/>
        </w:rPr>
        <w:t xml:space="preserve"> Ediciones de la Torre, Madrid, 1978. </w:t>
      </w:r>
    </w:p>
    <w:p w:rsidR="00BF4EBB" w:rsidRPr="000F4FFB" w:rsidRDefault="00BF4EBB" w:rsidP="00CD41D9">
      <w:pPr>
        <w:pStyle w:val="Textonotapie"/>
        <w:spacing w:line="360" w:lineRule="auto"/>
        <w:ind w:firstLine="709"/>
        <w:jc w:val="both"/>
        <w:rPr>
          <w:rFonts w:ascii="Times New Roman" w:hAnsi="Times New Roman" w:cs="Times New Roman"/>
          <w:sz w:val="24"/>
          <w:szCs w:val="24"/>
        </w:rPr>
      </w:pPr>
      <w:r w:rsidRPr="000F4FFB">
        <w:rPr>
          <w:rFonts w:ascii="Times New Roman" w:hAnsi="Times New Roman" w:cs="Times New Roman"/>
          <w:sz w:val="24"/>
          <w:szCs w:val="24"/>
        </w:rPr>
        <w:t xml:space="preserve">EGIDO LEÓN, A., </w:t>
      </w:r>
      <w:r w:rsidRPr="000F4FFB">
        <w:rPr>
          <w:rFonts w:ascii="Times New Roman" w:hAnsi="Times New Roman" w:cs="Times New Roman"/>
          <w:i/>
          <w:sz w:val="24"/>
          <w:szCs w:val="24"/>
        </w:rPr>
        <w:t xml:space="preserve">Cárceles de mujeres. La prisión femenina en la posguerra, </w:t>
      </w:r>
      <w:r w:rsidRPr="000F4FFB">
        <w:rPr>
          <w:rFonts w:ascii="Times New Roman" w:hAnsi="Times New Roman" w:cs="Times New Roman"/>
          <w:sz w:val="24"/>
          <w:szCs w:val="24"/>
        </w:rPr>
        <w:t xml:space="preserve">Sanz </w:t>
      </w:r>
      <w:r w:rsidR="00CF0A68">
        <w:rPr>
          <w:rFonts w:ascii="Times New Roman" w:hAnsi="Times New Roman" w:cs="Times New Roman"/>
          <w:sz w:val="24"/>
          <w:szCs w:val="24"/>
        </w:rPr>
        <w:t xml:space="preserve">y </w:t>
      </w:r>
      <w:r w:rsidRPr="000F4FFB">
        <w:rPr>
          <w:rFonts w:ascii="Times New Roman" w:hAnsi="Times New Roman" w:cs="Times New Roman"/>
          <w:sz w:val="24"/>
          <w:szCs w:val="24"/>
        </w:rPr>
        <w:t>Torres, Madrid, 2017.</w:t>
      </w:r>
    </w:p>
    <w:p w:rsidR="002639A4" w:rsidRPr="000F4FFB" w:rsidRDefault="002639A4" w:rsidP="00CD41D9">
      <w:pPr>
        <w:pStyle w:val="Textonotapie"/>
        <w:spacing w:line="360" w:lineRule="auto"/>
        <w:ind w:firstLine="709"/>
        <w:jc w:val="both"/>
        <w:rPr>
          <w:rFonts w:ascii="Times New Roman" w:hAnsi="Times New Roman" w:cs="Times New Roman"/>
          <w:sz w:val="24"/>
          <w:szCs w:val="24"/>
        </w:rPr>
      </w:pPr>
      <w:r w:rsidRPr="000F4FFB">
        <w:rPr>
          <w:rFonts w:ascii="Times New Roman" w:hAnsi="Times New Roman" w:cs="Times New Roman"/>
          <w:sz w:val="24"/>
          <w:szCs w:val="24"/>
        </w:rPr>
        <w:t xml:space="preserve">EGIDO LEÓN, A., “Milicianas condenadas a muerte”, </w:t>
      </w:r>
      <w:r w:rsidRPr="000F4FFB">
        <w:rPr>
          <w:rFonts w:ascii="Times New Roman" w:hAnsi="Times New Roman" w:cs="Times New Roman"/>
          <w:i/>
          <w:sz w:val="24"/>
          <w:szCs w:val="24"/>
        </w:rPr>
        <w:t xml:space="preserve">Historia del Presente, </w:t>
      </w:r>
      <w:r w:rsidRPr="000F4FFB">
        <w:rPr>
          <w:rFonts w:ascii="Times New Roman" w:hAnsi="Times New Roman" w:cs="Times New Roman"/>
          <w:sz w:val="24"/>
          <w:szCs w:val="24"/>
        </w:rPr>
        <w:t>núm. 32-2, pp. 112-126.</w:t>
      </w:r>
    </w:p>
    <w:p w:rsidR="00CE38F9" w:rsidRPr="000F4FFB" w:rsidRDefault="00CE38F9" w:rsidP="00CD41D9">
      <w:pPr>
        <w:pStyle w:val="Textonotapie"/>
        <w:spacing w:line="360" w:lineRule="auto"/>
        <w:ind w:firstLine="709"/>
        <w:jc w:val="both"/>
        <w:rPr>
          <w:rFonts w:ascii="Times New Roman" w:hAnsi="Times New Roman" w:cs="Times New Roman"/>
          <w:sz w:val="24"/>
          <w:szCs w:val="24"/>
        </w:rPr>
      </w:pPr>
      <w:r w:rsidRPr="000F4FFB">
        <w:rPr>
          <w:rFonts w:ascii="Times New Roman" w:hAnsi="Times New Roman" w:cs="Times New Roman"/>
          <w:sz w:val="24"/>
          <w:szCs w:val="24"/>
        </w:rPr>
        <w:t xml:space="preserve">EGIDO LEÓN, Á. y MONTES, J.J. (Eds.), </w:t>
      </w:r>
      <w:r w:rsidRPr="000F4FFB">
        <w:rPr>
          <w:rFonts w:ascii="Times New Roman" w:hAnsi="Times New Roman" w:cs="Times New Roman"/>
          <w:i/>
          <w:sz w:val="24"/>
          <w:szCs w:val="24"/>
        </w:rPr>
        <w:t xml:space="preserve">Mujer, franquismo y represión. Una deuda histórica, </w:t>
      </w:r>
      <w:r w:rsidRPr="000F4FFB">
        <w:rPr>
          <w:rFonts w:ascii="Times New Roman" w:hAnsi="Times New Roman" w:cs="Times New Roman"/>
          <w:sz w:val="24"/>
          <w:szCs w:val="24"/>
        </w:rPr>
        <w:t>Sanz y Torres, Madrid, 2018.</w:t>
      </w:r>
    </w:p>
    <w:p w:rsidR="006F5026" w:rsidRPr="000F4FFB" w:rsidRDefault="006F5026" w:rsidP="00CD41D9">
      <w:pPr>
        <w:pStyle w:val="Textonotapie"/>
        <w:spacing w:line="360" w:lineRule="auto"/>
        <w:ind w:firstLine="709"/>
        <w:jc w:val="both"/>
        <w:rPr>
          <w:rFonts w:ascii="Times New Roman" w:hAnsi="Times New Roman" w:cs="Times New Roman"/>
          <w:sz w:val="24"/>
          <w:szCs w:val="24"/>
        </w:rPr>
      </w:pPr>
      <w:r w:rsidRPr="000F4FFB">
        <w:rPr>
          <w:rFonts w:ascii="Times New Roman" w:hAnsi="Times New Roman" w:cs="Times New Roman"/>
          <w:sz w:val="24"/>
          <w:szCs w:val="24"/>
        </w:rPr>
        <w:t xml:space="preserve">ETCHEBÉHÈRE, M., </w:t>
      </w:r>
      <w:r w:rsidRPr="000F4FFB">
        <w:rPr>
          <w:rFonts w:ascii="Times New Roman" w:hAnsi="Times New Roman" w:cs="Times New Roman"/>
          <w:i/>
          <w:sz w:val="24"/>
          <w:szCs w:val="24"/>
        </w:rPr>
        <w:t xml:space="preserve">Mi guerra en España, </w:t>
      </w:r>
      <w:r w:rsidRPr="000F4FFB">
        <w:rPr>
          <w:rFonts w:ascii="Times New Roman" w:hAnsi="Times New Roman" w:cs="Times New Roman"/>
          <w:sz w:val="24"/>
          <w:szCs w:val="24"/>
        </w:rPr>
        <w:t>Alcaná Libros, Barcelona, 1987</w:t>
      </w:r>
      <w:r w:rsidR="00BF4EBB" w:rsidRPr="000F4FFB">
        <w:rPr>
          <w:rFonts w:ascii="Times New Roman" w:hAnsi="Times New Roman" w:cs="Times New Roman"/>
          <w:sz w:val="24"/>
          <w:szCs w:val="24"/>
        </w:rPr>
        <w:t>.</w:t>
      </w:r>
    </w:p>
    <w:p w:rsidR="00BF4EBB" w:rsidRPr="000F4FFB" w:rsidRDefault="00BF4EBB" w:rsidP="00CD41D9">
      <w:pPr>
        <w:pStyle w:val="Textonotapie"/>
        <w:spacing w:line="360" w:lineRule="auto"/>
        <w:ind w:firstLine="709"/>
        <w:jc w:val="both"/>
        <w:rPr>
          <w:rFonts w:ascii="Times New Roman" w:hAnsi="Times New Roman" w:cs="Times New Roman"/>
          <w:sz w:val="24"/>
          <w:szCs w:val="24"/>
        </w:rPr>
      </w:pPr>
      <w:r w:rsidRPr="000F4FFB">
        <w:rPr>
          <w:rFonts w:ascii="Times New Roman" w:hAnsi="Times New Roman" w:cs="Times New Roman"/>
          <w:sz w:val="24"/>
          <w:szCs w:val="24"/>
        </w:rPr>
        <w:t xml:space="preserve">GÁLVEZ, S. y HERNÁNDEZ, F. (Ed.), </w:t>
      </w:r>
      <w:r w:rsidRPr="000F4FFB">
        <w:rPr>
          <w:rFonts w:ascii="Times New Roman" w:hAnsi="Times New Roman" w:cs="Times New Roman"/>
          <w:i/>
          <w:sz w:val="24"/>
          <w:szCs w:val="24"/>
        </w:rPr>
        <w:t xml:space="preserve">Presas de Franco, </w:t>
      </w:r>
      <w:r w:rsidRPr="000F4FFB">
        <w:rPr>
          <w:rFonts w:ascii="Times New Roman" w:hAnsi="Times New Roman" w:cs="Times New Roman"/>
          <w:sz w:val="24"/>
          <w:szCs w:val="24"/>
        </w:rPr>
        <w:t>Diputación Provincial, Málaga, 2007</w:t>
      </w:r>
      <w:r w:rsidR="00F65F6D">
        <w:rPr>
          <w:rFonts w:ascii="Times New Roman" w:hAnsi="Times New Roman" w:cs="Times New Roman"/>
          <w:sz w:val="24"/>
          <w:szCs w:val="24"/>
        </w:rPr>
        <w:t>.</w:t>
      </w:r>
    </w:p>
    <w:p w:rsidR="006F5026" w:rsidRPr="000F4FFB" w:rsidRDefault="006F5026" w:rsidP="00CD41D9">
      <w:pPr>
        <w:pStyle w:val="Textonotapie"/>
        <w:spacing w:line="360" w:lineRule="auto"/>
        <w:ind w:firstLine="709"/>
        <w:jc w:val="both"/>
        <w:rPr>
          <w:rFonts w:ascii="Times New Roman" w:hAnsi="Times New Roman" w:cs="Times New Roman"/>
          <w:sz w:val="24"/>
          <w:szCs w:val="24"/>
        </w:rPr>
      </w:pPr>
      <w:r w:rsidRPr="000F4FFB">
        <w:rPr>
          <w:rFonts w:ascii="Times New Roman" w:hAnsi="Times New Roman" w:cs="Times New Roman"/>
          <w:sz w:val="24"/>
          <w:szCs w:val="24"/>
        </w:rPr>
        <w:t xml:space="preserve">GARCÍA, J., </w:t>
      </w:r>
      <w:r w:rsidRPr="000F4FFB">
        <w:rPr>
          <w:rFonts w:ascii="Times New Roman" w:hAnsi="Times New Roman" w:cs="Times New Roman"/>
          <w:i/>
          <w:sz w:val="24"/>
          <w:szCs w:val="24"/>
        </w:rPr>
        <w:t xml:space="preserve">Lina </w:t>
      </w:r>
      <w:proofErr w:type="spellStart"/>
      <w:r w:rsidRPr="000F4FFB">
        <w:rPr>
          <w:rFonts w:ascii="Times New Roman" w:hAnsi="Times New Roman" w:cs="Times New Roman"/>
          <w:i/>
          <w:sz w:val="24"/>
          <w:szCs w:val="24"/>
        </w:rPr>
        <w:t>Odena</w:t>
      </w:r>
      <w:proofErr w:type="spellEnd"/>
      <w:r w:rsidRPr="000F4FFB">
        <w:rPr>
          <w:rFonts w:ascii="Times New Roman" w:hAnsi="Times New Roman" w:cs="Times New Roman"/>
          <w:i/>
          <w:sz w:val="24"/>
          <w:szCs w:val="24"/>
        </w:rPr>
        <w:t xml:space="preserve">. Palabras (de) Mayores, </w:t>
      </w:r>
      <w:proofErr w:type="spellStart"/>
      <w:r w:rsidRPr="000F4FFB">
        <w:rPr>
          <w:rFonts w:ascii="Times New Roman" w:hAnsi="Times New Roman" w:cs="Times New Roman"/>
          <w:sz w:val="24"/>
          <w:szCs w:val="24"/>
        </w:rPr>
        <w:t>DeBarris</w:t>
      </w:r>
      <w:proofErr w:type="spellEnd"/>
      <w:r w:rsidRPr="000F4FFB">
        <w:rPr>
          <w:rFonts w:ascii="Times New Roman" w:hAnsi="Times New Roman" w:cs="Times New Roman"/>
          <w:sz w:val="24"/>
          <w:szCs w:val="24"/>
        </w:rPr>
        <w:t>, Barcelona, 2008.</w:t>
      </w:r>
    </w:p>
    <w:p w:rsidR="00611AEB" w:rsidRDefault="00611AEB" w:rsidP="00CD41D9">
      <w:pPr>
        <w:pStyle w:val="Textonotapie"/>
        <w:spacing w:line="360" w:lineRule="auto"/>
        <w:ind w:firstLine="709"/>
        <w:jc w:val="both"/>
        <w:rPr>
          <w:rFonts w:ascii="Times New Roman" w:hAnsi="Times New Roman" w:cs="Times New Roman"/>
          <w:sz w:val="24"/>
          <w:szCs w:val="24"/>
        </w:rPr>
      </w:pPr>
      <w:r w:rsidRPr="000F4FFB">
        <w:rPr>
          <w:rFonts w:ascii="Times New Roman" w:hAnsi="Times New Roman" w:cs="Times New Roman"/>
          <w:sz w:val="24"/>
          <w:szCs w:val="24"/>
        </w:rPr>
        <w:t xml:space="preserve">GARCÍA-NIETO, M.C., “Las mujeres en la guerra civil de España. Nueva perspectiva”, en </w:t>
      </w:r>
      <w:r w:rsidRPr="000F4FFB">
        <w:rPr>
          <w:rFonts w:ascii="Times New Roman" w:hAnsi="Times New Roman" w:cs="Times New Roman"/>
          <w:i/>
          <w:sz w:val="24"/>
          <w:szCs w:val="24"/>
        </w:rPr>
        <w:t xml:space="preserve">Actas de las Primeras Jornadas de Investigación Interdisciplinaria. Nuevas perspectivas sobre la mujer, </w:t>
      </w:r>
      <w:r w:rsidRPr="000F4FFB">
        <w:rPr>
          <w:rFonts w:ascii="Times New Roman" w:hAnsi="Times New Roman" w:cs="Times New Roman"/>
          <w:sz w:val="24"/>
          <w:szCs w:val="24"/>
        </w:rPr>
        <w:t>Universidad Autónoma de Madrid, Madrid, 1982, pp. 184-189.</w:t>
      </w:r>
    </w:p>
    <w:p w:rsidR="00AD6AEE" w:rsidRPr="000F4FFB" w:rsidRDefault="00AD6AEE" w:rsidP="00CD41D9">
      <w:pPr>
        <w:pStyle w:val="Textonotapie"/>
        <w:spacing w:line="360" w:lineRule="auto"/>
        <w:ind w:firstLine="709"/>
        <w:jc w:val="both"/>
        <w:rPr>
          <w:rFonts w:ascii="Times New Roman" w:hAnsi="Times New Roman" w:cs="Times New Roman"/>
          <w:sz w:val="24"/>
          <w:szCs w:val="24"/>
        </w:rPr>
      </w:pPr>
      <w:r w:rsidRPr="000F4FFB">
        <w:rPr>
          <w:rFonts w:ascii="Times New Roman" w:hAnsi="Times New Roman" w:cs="Times New Roman"/>
          <w:sz w:val="24"/>
          <w:szCs w:val="24"/>
        </w:rPr>
        <w:lastRenderedPageBreak/>
        <w:t xml:space="preserve">GARCÍA MÁRQUEZ, J.M., </w:t>
      </w:r>
      <w:r w:rsidRPr="000F4FFB">
        <w:rPr>
          <w:rFonts w:ascii="Times New Roman" w:hAnsi="Times New Roman" w:cs="Times New Roman"/>
          <w:i/>
          <w:sz w:val="24"/>
          <w:szCs w:val="24"/>
        </w:rPr>
        <w:t xml:space="preserve">Las víctimas de la represión militar en la provincia de Sevilla (1936-1963), </w:t>
      </w:r>
      <w:r w:rsidRPr="000F4FFB">
        <w:rPr>
          <w:rFonts w:ascii="Times New Roman" w:hAnsi="Times New Roman" w:cs="Times New Roman"/>
          <w:sz w:val="24"/>
          <w:szCs w:val="24"/>
        </w:rPr>
        <w:t>Aconcagua, Sevilla, 2012.</w:t>
      </w:r>
    </w:p>
    <w:p w:rsidR="00CE38F9" w:rsidRDefault="00CE38F9" w:rsidP="00CD41D9">
      <w:pPr>
        <w:pStyle w:val="Textonotapie"/>
        <w:spacing w:line="360" w:lineRule="auto"/>
        <w:ind w:firstLine="709"/>
        <w:jc w:val="both"/>
        <w:rPr>
          <w:rFonts w:ascii="Times New Roman" w:hAnsi="Times New Roman" w:cs="Times New Roman"/>
          <w:sz w:val="24"/>
          <w:szCs w:val="24"/>
        </w:rPr>
      </w:pPr>
      <w:r w:rsidRPr="000F4FFB">
        <w:rPr>
          <w:rFonts w:ascii="Times New Roman" w:hAnsi="Times New Roman" w:cs="Times New Roman"/>
          <w:sz w:val="24"/>
          <w:szCs w:val="24"/>
        </w:rPr>
        <w:t>GINARD i FERÓN</w:t>
      </w:r>
      <w:r w:rsidRPr="000F4FFB">
        <w:rPr>
          <w:rFonts w:ascii="Times New Roman" w:hAnsi="Times New Roman" w:cs="Times New Roman"/>
          <w:i/>
          <w:sz w:val="24"/>
          <w:szCs w:val="24"/>
        </w:rPr>
        <w:t xml:space="preserve">, </w:t>
      </w:r>
      <w:r w:rsidRPr="000F4FFB">
        <w:rPr>
          <w:rFonts w:ascii="Times New Roman" w:hAnsi="Times New Roman" w:cs="Times New Roman"/>
          <w:sz w:val="24"/>
          <w:szCs w:val="24"/>
        </w:rPr>
        <w:t xml:space="preserve">D. (Coord.), </w:t>
      </w:r>
      <w:r w:rsidRPr="000F4FFB">
        <w:rPr>
          <w:rFonts w:ascii="Times New Roman" w:hAnsi="Times New Roman" w:cs="Times New Roman"/>
          <w:i/>
          <w:sz w:val="24"/>
          <w:szCs w:val="24"/>
        </w:rPr>
        <w:t xml:space="preserve">Dona, Guerra Civil y </w:t>
      </w:r>
      <w:proofErr w:type="spellStart"/>
      <w:r w:rsidRPr="000F4FFB">
        <w:rPr>
          <w:rFonts w:ascii="Times New Roman" w:hAnsi="Times New Roman" w:cs="Times New Roman"/>
          <w:i/>
          <w:sz w:val="24"/>
          <w:szCs w:val="24"/>
        </w:rPr>
        <w:t>franquisme</w:t>
      </w:r>
      <w:proofErr w:type="spellEnd"/>
      <w:r w:rsidRPr="000F4FFB">
        <w:rPr>
          <w:rFonts w:ascii="Times New Roman" w:hAnsi="Times New Roman" w:cs="Times New Roman"/>
          <w:i/>
          <w:sz w:val="24"/>
          <w:szCs w:val="24"/>
        </w:rPr>
        <w:t xml:space="preserve">, </w:t>
      </w:r>
      <w:proofErr w:type="spellStart"/>
      <w:r w:rsidRPr="000F4FFB">
        <w:rPr>
          <w:rFonts w:ascii="Times New Roman" w:hAnsi="Times New Roman" w:cs="Times New Roman"/>
          <w:sz w:val="24"/>
          <w:szCs w:val="24"/>
        </w:rPr>
        <w:t>Gobern</w:t>
      </w:r>
      <w:proofErr w:type="spellEnd"/>
      <w:r w:rsidRPr="000F4FFB">
        <w:rPr>
          <w:rFonts w:ascii="Times New Roman" w:hAnsi="Times New Roman" w:cs="Times New Roman"/>
          <w:sz w:val="24"/>
          <w:szCs w:val="24"/>
        </w:rPr>
        <w:t xml:space="preserve"> Balear, Palma, 2011.</w:t>
      </w:r>
    </w:p>
    <w:p w:rsidR="007A0CCA" w:rsidRPr="007A0CCA" w:rsidRDefault="007A0CCA" w:rsidP="00CD41D9">
      <w:pPr>
        <w:pStyle w:val="Textonotapie"/>
        <w:spacing w:line="360" w:lineRule="auto"/>
        <w:ind w:firstLine="709"/>
        <w:jc w:val="both"/>
        <w:rPr>
          <w:rFonts w:ascii="Times New Roman" w:hAnsi="Times New Roman" w:cs="Times New Roman"/>
          <w:sz w:val="24"/>
          <w:szCs w:val="24"/>
        </w:rPr>
      </w:pPr>
      <w:r w:rsidRPr="000F4FFB">
        <w:rPr>
          <w:rFonts w:ascii="Times New Roman" w:hAnsi="Times New Roman" w:cs="Times New Roman"/>
          <w:sz w:val="24"/>
          <w:szCs w:val="24"/>
        </w:rPr>
        <w:t>GINARD i FERÓN</w:t>
      </w:r>
      <w:r w:rsidRPr="000F4FFB">
        <w:rPr>
          <w:rFonts w:ascii="Times New Roman" w:hAnsi="Times New Roman" w:cs="Times New Roman"/>
          <w:i/>
          <w:sz w:val="24"/>
          <w:szCs w:val="24"/>
        </w:rPr>
        <w:t xml:space="preserve">, </w:t>
      </w:r>
      <w:r w:rsidRPr="000F4FFB">
        <w:rPr>
          <w:rFonts w:ascii="Times New Roman" w:hAnsi="Times New Roman" w:cs="Times New Roman"/>
          <w:sz w:val="24"/>
          <w:szCs w:val="24"/>
        </w:rPr>
        <w:t>D</w:t>
      </w:r>
      <w:r>
        <w:rPr>
          <w:rFonts w:ascii="Times New Roman" w:hAnsi="Times New Roman" w:cs="Times New Roman"/>
          <w:sz w:val="24"/>
          <w:szCs w:val="24"/>
        </w:rPr>
        <w:t xml:space="preserve">, </w:t>
      </w:r>
      <w:r>
        <w:rPr>
          <w:rFonts w:ascii="Times New Roman" w:hAnsi="Times New Roman" w:cs="Times New Roman"/>
          <w:i/>
          <w:sz w:val="24"/>
          <w:szCs w:val="24"/>
        </w:rPr>
        <w:t xml:space="preserve">Matilde Landa: el compromiso y la tragedia 1904-1942, </w:t>
      </w:r>
      <w:r w:rsidR="00AD6AEE">
        <w:rPr>
          <w:rFonts w:ascii="Times New Roman" w:hAnsi="Times New Roman" w:cs="Times New Roman"/>
          <w:sz w:val="24"/>
          <w:szCs w:val="24"/>
        </w:rPr>
        <w:t>Universidad de Valencia, Valencia, 2023.</w:t>
      </w:r>
    </w:p>
    <w:p w:rsidR="00CE38F9" w:rsidRPr="000F4FFB" w:rsidRDefault="00CE38F9" w:rsidP="00CD41D9">
      <w:pPr>
        <w:pStyle w:val="Textonotapie"/>
        <w:spacing w:line="360" w:lineRule="auto"/>
        <w:ind w:firstLine="709"/>
        <w:jc w:val="both"/>
        <w:rPr>
          <w:rFonts w:ascii="Times New Roman" w:hAnsi="Times New Roman" w:cs="Times New Roman"/>
          <w:sz w:val="24"/>
          <w:szCs w:val="24"/>
        </w:rPr>
      </w:pPr>
      <w:r w:rsidRPr="000F4FFB">
        <w:rPr>
          <w:rFonts w:ascii="Times New Roman" w:hAnsi="Times New Roman" w:cs="Times New Roman"/>
          <w:sz w:val="24"/>
          <w:szCs w:val="24"/>
        </w:rPr>
        <w:t xml:space="preserve">GONZÁLEZ DURO, E., </w:t>
      </w:r>
      <w:r w:rsidRPr="000F4FFB">
        <w:rPr>
          <w:rFonts w:ascii="Times New Roman" w:hAnsi="Times New Roman" w:cs="Times New Roman"/>
          <w:i/>
          <w:sz w:val="24"/>
          <w:szCs w:val="24"/>
        </w:rPr>
        <w:t xml:space="preserve">Las rapadas. El franquismo contra la mujer, </w:t>
      </w:r>
      <w:r w:rsidRPr="000F4FFB">
        <w:rPr>
          <w:rFonts w:ascii="Times New Roman" w:hAnsi="Times New Roman" w:cs="Times New Roman"/>
          <w:sz w:val="24"/>
          <w:szCs w:val="24"/>
        </w:rPr>
        <w:t>Siglo XXI, Madrid, 2012.</w:t>
      </w:r>
    </w:p>
    <w:p w:rsidR="00CE38F9" w:rsidRPr="000F4FFB" w:rsidRDefault="006F5026" w:rsidP="00CD41D9">
      <w:pPr>
        <w:pStyle w:val="Textonotapie"/>
        <w:spacing w:line="360" w:lineRule="auto"/>
        <w:ind w:firstLine="709"/>
        <w:jc w:val="both"/>
        <w:rPr>
          <w:rFonts w:ascii="Times New Roman" w:hAnsi="Times New Roman" w:cs="Times New Roman"/>
          <w:sz w:val="24"/>
          <w:szCs w:val="24"/>
        </w:rPr>
      </w:pPr>
      <w:r w:rsidRPr="000F4FFB">
        <w:rPr>
          <w:rFonts w:ascii="Times New Roman" w:hAnsi="Times New Roman" w:cs="Times New Roman"/>
          <w:sz w:val="24"/>
          <w:szCs w:val="24"/>
        </w:rPr>
        <w:t xml:space="preserve">ILLIÓN, R., </w:t>
      </w:r>
      <w:r w:rsidRPr="000F4FFB">
        <w:rPr>
          <w:rFonts w:ascii="Times New Roman" w:hAnsi="Times New Roman" w:cs="Times New Roman"/>
          <w:i/>
          <w:sz w:val="24"/>
          <w:szCs w:val="24"/>
        </w:rPr>
        <w:t xml:space="preserve">Mujer, política y sindicalismo, </w:t>
      </w:r>
      <w:r w:rsidRPr="000F4FFB">
        <w:rPr>
          <w:rFonts w:ascii="Times New Roman" w:hAnsi="Times New Roman" w:cs="Times New Roman"/>
          <w:sz w:val="24"/>
          <w:szCs w:val="24"/>
        </w:rPr>
        <w:t>Institución Fernando el Católico, Zaragoza, 2002</w:t>
      </w:r>
      <w:r w:rsidR="002639A4" w:rsidRPr="000F4FFB">
        <w:rPr>
          <w:rFonts w:ascii="Times New Roman" w:hAnsi="Times New Roman" w:cs="Times New Roman"/>
          <w:sz w:val="24"/>
          <w:szCs w:val="24"/>
        </w:rPr>
        <w:t>.</w:t>
      </w:r>
    </w:p>
    <w:p w:rsidR="002639A4" w:rsidRPr="000F4FFB" w:rsidRDefault="002639A4" w:rsidP="00CD41D9">
      <w:pPr>
        <w:pStyle w:val="Textonotapie"/>
        <w:spacing w:line="360" w:lineRule="auto"/>
        <w:ind w:firstLine="709"/>
        <w:jc w:val="both"/>
        <w:rPr>
          <w:rFonts w:ascii="Times New Roman" w:hAnsi="Times New Roman" w:cs="Times New Roman"/>
          <w:sz w:val="24"/>
          <w:szCs w:val="24"/>
        </w:rPr>
      </w:pPr>
      <w:r w:rsidRPr="000F4FFB">
        <w:rPr>
          <w:rFonts w:ascii="Times New Roman" w:hAnsi="Times New Roman" w:cs="Times New Roman"/>
          <w:sz w:val="24"/>
          <w:szCs w:val="24"/>
        </w:rPr>
        <w:t xml:space="preserve">JACKSON, A., </w:t>
      </w:r>
      <w:r w:rsidRPr="000F4FFB">
        <w:rPr>
          <w:rFonts w:ascii="Times New Roman" w:hAnsi="Times New Roman" w:cs="Times New Roman"/>
          <w:i/>
          <w:sz w:val="24"/>
          <w:szCs w:val="24"/>
        </w:rPr>
        <w:t xml:space="preserve">Las mujeres británicas y la Guerra Civil española, </w:t>
      </w:r>
      <w:r w:rsidRPr="000F4FFB">
        <w:rPr>
          <w:rFonts w:ascii="Times New Roman" w:hAnsi="Times New Roman" w:cs="Times New Roman"/>
          <w:sz w:val="24"/>
          <w:szCs w:val="24"/>
        </w:rPr>
        <w:t>Universidad de Valencia, Valencia, 2010.</w:t>
      </w:r>
    </w:p>
    <w:p w:rsidR="006F5026" w:rsidRPr="000F4FFB" w:rsidRDefault="00CE38F9" w:rsidP="00CD41D9">
      <w:pPr>
        <w:pStyle w:val="Textonotapie"/>
        <w:spacing w:line="360" w:lineRule="auto"/>
        <w:ind w:firstLine="709"/>
        <w:jc w:val="both"/>
        <w:rPr>
          <w:rFonts w:ascii="Times New Roman" w:hAnsi="Times New Roman" w:cs="Times New Roman"/>
          <w:sz w:val="24"/>
          <w:szCs w:val="24"/>
        </w:rPr>
      </w:pPr>
      <w:r w:rsidRPr="000F4FFB">
        <w:rPr>
          <w:rFonts w:ascii="Times New Roman" w:hAnsi="Times New Roman" w:cs="Times New Roman"/>
          <w:sz w:val="24"/>
          <w:szCs w:val="24"/>
        </w:rPr>
        <w:t xml:space="preserve">JOLY, M., “Las violencias sexuadas de la guerra civil española, paradigma para una lectura cultural del conflicto”, </w:t>
      </w:r>
      <w:r w:rsidRPr="000F4FFB">
        <w:rPr>
          <w:rFonts w:ascii="Times New Roman" w:hAnsi="Times New Roman" w:cs="Times New Roman"/>
          <w:i/>
          <w:sz w:val="24"/>
          <w:szCs w:val="24"/>
        </w:rPr>
        <w:t xml:space="preserve">Historia Social, </w:t>
      </w:r>
      <w:r w:rsidRPr="000F4FFB">
        <w:rPr>
          <w:rFonts w:ascii="Times New Roman" w:hAnsi="Times New Roman" w:cs="Times New Roman"/>
          <w:sz w:val="24"/>
          <w:szCs w:val="24"/>
        </w:rPr>
        <w:t>núm. 61, 2008, pp. 89-1007.</w:t>
      </w:r>
    </w:p>
    <w:p w:rsidR="006F5026" w:rsidRPr="000F4FFB" w:rsidRDefault="006F5026" w:rsidP="00CD41D9">
      <w:pPr>
        <w:pStyle w:val="Textonotapie"/>
        <w:spacing w:line="360" w:lineRule="auto"/>
        <w:ind w:firstLine="709"/>
        <w:jc w:val="both"/>
        <w:rPr>
          <w:rFonts w:ascii="Times New Roman" w:hAnsi="Times New Roman" w:cs="Times New Roman"/>
          <w:sz w:val="24"/>
          <w:szCs w:val="24"/>
        </w:rPr>
      </w:pPr>
      <w:r w:rsidRPr="000F4FFB">
        <w:rPr>
          <w:rFonts w:ascii="Times New Roman" w:hAnsi="Times New Roman" w:cs="Times New Roman"/>
          <w:sz w:val="24"/>
          <w:szCs w:val="24"/>
        </w:rPr>
        <w:t xml:space="preserve">LEZCANO, R., </w:t>
      </w:r>
      <w:r w:rsidRPr="000F4FFB">
        <w:rPr>
          <w:rFonts w:ascii="Times New Roman" w:hAnsi="Times New Roman" w:cs="Times New Roman"/>
          <w:i/>
          <w:sz w:val="24"/>
          <w:szCs w:val="24"/>
        </w:rPr>
        <w:t xml:space="preserve">El divorcio en la Segunda República, </w:t>
      </w:r>
      <w:proofErr w:type="spellStart"/>
      <w:r w:rsidRPr="000F4FFB">
        <w:rPr>
          <w:rFonts w:ascii="Times New Roman" w:hAnsi="Times New Roman" w:cs="Times New Roman"/>
          <w:sz w:val="24"/>
          <w:szCs w:val="24"/>
        </w:rPr>
        <w:t>Akal</w:t>
      </w:r>
      <w:proofErr w:type="spellEnd"/>
      <w:r w:rsidRPr="000F4FFB">
        <w:rPr>
          <w:rFonts w:ascii="Times New Roman" w:hAnsi="Times New Roman" w:cs="Times New Roman"/>
          <w:sz w:val="24"/>
          <w:szCs w:val="24"/>
        </w:rPr>
        <w:t>, Madrid, 1979</w:t>
      </w:r>
      <w:r w:rsidR="002639A4" w:rsidRPr="000F4FFB">
        <w:rPr>
          <w:rFonts w:ascii="Times New Roman" w:hAnsi="Times New Roman" w:cs="Times New Roman"/>
          <w:sz w:val="24"/>
          <w:szCs w:val="24"/>
        </w:rPr>
        <w:t>.</w:t>
      </w:r>
    </w:p>
    <w:p w:rsidR="002639A4" w:rsidRPr="000F4FFB" w:rsidRDefault="002639A4" w:rsidP="00CD41D9">
      <w:pPr>
        <w:pStyle w:val="Textonotapie"/>
        <w:spacing w:line="360" w:lineRule="auto"/>
        <w:ind w:firstLine="709"/>
        <w:jc w:val="both"/>
        <w:rPr>
          <w:rFonts w:ascii="Times New Roman" w:hAnsi="Times New Roman" w:cs="Times New Roman"/>
          <w:sz w:val="24"/>
          <w:szCs w:val="24"/>
        </w:rPr>
      </w:pPr>
      <w:r w:rsidRPr="000F4FFB">
        <w:rPr>
          <w:rFonts w:ascii="Times New Roman" w:hAnsi="Times New Roman" w:cs="Times New Roman"/>
          <w:sz w:val="24"/>
          <w:szCs w:val="24"/>
        </w:rPr>
        <w:t xml:space="preserve">LINES. L.M., </w:t>
      </w:r>
      <w:r w:rsidRPr="000F4FFB">
        <w:rPr>
          <w:rFonts w:ascii="Times New Roman" w:hAnsi="Times New Roman" w:cs="Times New Roman"/>
          <w:i/>
          <w:sz w:val="24"/>
          <w:szCs w:val="24"/>
        </w:rPr>
        <w:t xml:space="preserve">Milicianas: </w:t>
      </w:r>
      <w:proofErr w:type="spellStart"/>
      <w:r w:rsidRPr="000F4FFB">
        <w:rPr>
          <w:rFonts w:ascii="Times New Roman" w:hAnsi="Times New Roman" w:cs="Times New Roman"/>
          <w:i/>
          <w:sz w:val="24"/>
          <w:szCs w:val="24"/>
        </w:rPr>
        <w:t>women</w:t>
      </w:r>
      <w:proofErr w:type="spellEnd"/>
      <w:r w:rsidRPr="000F4FFB">
        <w:rPr>
          <w:rFonts w:ascii="Times New Roman" w:hAnsi="Times New Roman" w:cs="Times New Roman"/>
          <w:i/>
          <w:sz w:val="24"/>
          <w:szCs w:val="24"/>
        </w:rPr>
        <w:t xml:space="preserve"> in </w:t>
      </w:r>
      <w:proofErr w:type="spellStart"/>
      <w:r w:rsidRPr="000F4FFB">
        <w:rPr>
          <w:rFonts w:ascii="Times New Roman" w:hAnsi="Times New Roman" w:cs="Times New Roman"/>
          <w:i/>
          <w:sz w:val="24"/>
          <w:szCs w:val="24"/>
        </w:rPr>
        <w:t>combating</w:t>
      </w:r>
      <w:proofErr w:type="spellEnd"/>
      <w:r w:rsidRPr="000F4FFB">
        <w:rPr>
          <w:rFonts w:ascii="Times New Roman" w:hAnsi="Times New Roman" w:cs="Times New Roman"/>
          <w:i/>
          <w:sz w:val="24"/>
          <w:szCs w:val="24"/>
        </w:rPr>
        <w:t xml:space="preserve"> </w:t>
      </w:r>
      <w:proofErr w:type="spellStart"/>
      <w:r w:rsidRPr="000F4FFB">
        <w:rPr>
          <w:rFonts w:ascii="Times New Roman" w:hAnsi="Times New Roman" w:cs="Times New Roman"/>
          <w:i/>
          <w:sz w:val="24"/>
          <w:szCs w:val="24"/>
        </w:rPr>
        <w:t>the</w:t>
      </w:r>
      <w:proofErr w:type="spellEnd"/>
      <w:r w:rsidRPr="000F4FFB">
        <w:rPr>
          <w:rFonts w:ascii="Times New Roman" w:hAnsi="Times New Roman" w:cs="Times New Roman"/>
          <w:i/>
          <w:sz w:val="24"/>
          <w:szCs w:val="24"/>
        </w:rPr>
        <w:t xml:space="preserve"> </w:t>
      </w:r>
      <w:proofErr w:type="spellStart"/>
      <w:r w:rsidRPr="000F4FFB">
        <w:rPr>
          <w:rFonts w:ascii="Times New Roman" w:hAnsi="Times New Roman" w:cs="Times New Roman"/>
          <w:i/>
          <w:sz w:val="24"/>
          <w:szCs w:val="24"/>
        </w:rPr>
        <w:t>Spanish</w:t>
      </w:r>
      <w:proofErr w:type="spellEnd"/>
      <w:r w:rsidRPr="000F4FFB">
        <w:rPr>
          <w:rFonts w:ascii="Times New Roman" w:hAnsi="Times New Roman" w:cs="Times New Roman"/>
          <w:i/>
          <w:sz w:val="24"/>
          <w:szCs w:val="24"/>
        </w:rPr>
        <w:t xml:space="preserve"> Civil </w:t>
      </w:r>
      <w:proofErr w:type="spellStart"/>
      <w:r w:rsidRPr="000F4FFB">
        <w:rPr>
          <w:rFonts w:ascii="Times New Roman" w:hAnsi="Times New Roman" w:cs="Times New Roman"/>
          <w:i/>
          <w:sz w:val="24"/>
          <w:szCs w:val="24"/>
        </w:rPr>
        <w:t>War</w:t>
      </w:r>
      <w:proofErr w:type="spellEnd"/>
      <w:r w:rsidRPr="000F4FFB">
        <w:rPr>
          <w:rFonts w:ascii="Times New Roman" w:hAnsi="Times New Roman" w:cs="Times New Roman"/>
          <w:i/>
          <w:sz w:val="24"/>
          <w:szCs w:val="24"/>
        </w:rPr>
        <w:t xml:space="preserve">, </w:t>
      </w:r>
      <w:r w:rsidRPr="000F4FFB">
        <w:rPr>
          <w:rFonts w:ascii="Times New Roman" w:hAnsi="Times New Roman" w:cs="Times New Roman"/>
          <w:sz w:val="24"/>
          <w:szCs w:val="24"/>
        </w:rPr>
        <w:t xml:space="preserve">Lexington </w:t>
      </w:r>
      <w:proofErr w:type="spellStart"/>
      <w:r w:rsidRPr="000F4FFB">
        <w:rPr>
          <w:rFonts w:ascii="Times New Roman" w:hAnsi="Times New Roman" w:cs="Times New Roman"/>
          <w:sz w:val="24"/>
          <w:szCs w:val="24"/>
        </w:rPr>
        <w:t>Books</w:t>
      </w:r>
      <w:proofErr w:type="spellEnd"/>
      <w:r w:rsidRPr="000F4FFB">
        <w:rPr>
          <w:rFonts w:ascii="Times New Roman" w:hAnsi="Times New Roman" w:cs="Times New Roman"/>
          <w:sz w:val="24"/>
          <w:szCs w:val="24"/>
        </w:rPr>
        <w:t xml:space="preserve">, </w:t>
      </w:r>
      <w:proofErr w:type="spellStart"/>
      <w:r w:rsidRPr="000F4FFB">
        <w:rPr>
          <w:rFonts w:ascii="Times New Roman" w:hAnsi="Times New Roman" w:cs="Times New Roman"/>
          <w:sz w:val="24"/>
          <w:szCs w:val="24"/>
        </w:rPr>
        <w:t>Lanhan</w:t>
      </w:r>
      <w:proofErr w:type="spellEnd"/>
      <w:r w:rsidRPr="000F4FFB">
        <w:rPr>
          <w:rFonts w:ascii="Times New Roman" w:hAnsi="Times New Roman" w:cs="Times New Roman"/>
          <w:sz w:val="24"/>
          <w:szCs w:val="24"/>
        </w:rPr>
        <w:t>, 2012.</w:t>
      </w:r>
    </w:p>
    <w:p w:rsidR="008F4BC9" w:rsidRPr="000F4FFB" w:rsidRDefault="008F4BC9" w:rsidP="00CD41D9">
      <w:pPr>
        <w:pStyle w:val="Textonotapie"/>
        <w:spacing w:line="360" w:lineRule="auto"/>
        <w:ind w:firstLine="709"/>
        <w:jc w:val="both"/>
        <w:rPr>
          <w:rFonts w:ascii="Times New Roman" w:hAnsi="Times New Roman" w:cs="Times New Roman"/>
          <w:sz w:val="24"/>
          <w:szCs w:val="24"/>
        </w:rPr>
      </w:pPr>
      <w:r w:rsidRPr="000F4FFB">
        <w:rPr>
          <w:rFonts w:ascii="Times New Roman" w:hAnsi="Times New Roman" w:cs="Times New Roman"/>
          <w:sz w:val="24"/>
          <w:szCs w:val="24"/>
        </w:rPr>
        <w:t xml:space="preserve">MARTÍNEZ, F., </w:t>
      </w:r>
      <w:r w:rsidRPr="000F4FFB">
        <w:rPr>
          <w:rFonts w:ascii="Times New Roman" w:hAnsi="Times New Roman" w:cs="Times New Roman"/>
          <w:i/>
          <w:sz w:val="24"/>
          <w:szCs w:val="24"/>
        </w:rPr>
        <w:t xml:space="preserve">Las Responsabilidades Políticas en Andalucía, 1936-1945, </w:t>
      </w:r>
      <w:r w:rsidRPr="000F4FFB">
        <w:rPr>
          <w:rFonts w:ascii="Times New Roman" w:hAnsi="Times New Roman" w:cs="Times New Roman"/>
          <w:sz w:val="24"/>
          <w:szCs w:val="24"/>
        </w:rPr>
        <w:t>Centro de Estudios Andaluces, Sevilla, 2014.</w:t>
      </w:r>
    </w:p>
    <w:p w:rsidR="00CE38F9" w:rsidRPr="000F4FFB" w:rsidRDefault="00CE38F9" w:rsidP="00CD41D9">
      <w:pPr>
        <w:pStyle w:val="Textonotapie"/>
        <w:spacing w:line="360" w:lineRule="auto"/>
        <w:ind w:firstLine="709"/>
        <w:jc w:val="both"/>
        <w:rPr>
          <w:rFonts w:ascii="Times New Roman" w:hAnsi="Times New Roman" w:cs="Times New Roman"/>
          <w:sz w:val="24"/>
          <w:szCs w:val="24"/>
        </w:rPr>
      </w:pPr>
      <w:r w:rsidRPr="000F4FFB">
        <w:rPr>
          <w:rFonts w:ascii="Times New Roman" w:hAnsi="Times New Roman" w:cs="Times New Roman"/>
          <w:sz w:val="24"/>
          <w:szCs w:val="24"/>
        </w:rPr>
        <w:t xml:space="preserve">MARTÍNEZ RUS, A., “Mujeres y guerra civil. Un balance historiográfico”, </w:t>
      </w:r>
      <w:proofErr w:type="spellStart"/>
      <w:r w:rsidRPr="000F4FFB">
        <w:rPr>
          <w:rFonts w:ascii="Times New Roman" w:hAnsi="Times New Roman" w:cs="Times New Roman"/>
          <w:i/>
          <w:sz w:val="24"/>
          <w:szCs w:val="24"/>
        </w:rPr>
        <w:t>Stvdia</w:t>
      </w:r>
      <w:proofErr w:type="spellEnd"/>
      <w:r w:rsidRPr="000F4FFB">
        <w:rPr>
          <w:rFonts w:ascii="Times New Roman" w:hAnsi="Times New Roman" w:cs="Times New Roman"/>
          <w:i/>
          <w:sz w:val="24"/>
          <w:szCs w:val="24"/>
        </w:rPr>
        <w:t xml:space="preserve"> Histórica. Historia Contemporánea, </w:t>
      </w:r>
      <w:r w:rsidRPr="000F4FFB">
        <w:rPr>
          <w:rFonts w:ascii="Times New Roman" w:hAnsi="Times New Roman" w:cs="Times New Roman"/>
          <w:sz w:val="24"/>
          <w:szCs w:val="24"/>
        </w:rPr>
        <w:t>núm. 32, 2014, pp. 333-343.</w:t>
      </w:r>
    </w:p>
    <w:p w:rsidR="006F5026" w:rsidRPr="000F4FFB" w:rsidRDefault="006F5026" w:rsidP="00CD41D9">
      <w:pPr>
        <w:pStyle w:val="Textonotapie"/>
        <w:spacing w:line="360" w:lineRule="auto"/>
        <w:ind w:firstLine="709"/>
        <w:jc w:val="both"/>
        <w:rPr>
          <w:rFonts w:ascii="Times New Roman" w:hAnsi="Times New Roman" w:cs="Times New Roman"/>
          <w:sz w:val="24"/>
          <w:szCs w:val="24"/>
        </w:rPr>
      </w:pPr>
      <w:r w:rsidRPr="000F4FFB">
        <w:rPr>
          <w:rFonts w:ascii="Times New Roman" w:hAnsi="Times New Roman" w:cs="Times New Roman"/>
          <w:sz w:val="24"/>
          <w:szCs w:val="24"/>
        </w:rPr>
        <w:t xml:space="preserve">MARTÍNEZ RUS, A., </w:t>
      </w:r>
      <w:r w:rsidRPr="000F4FFB">
        <w:rPr>
          <w:rFonts w:ascii="Times New Roman" w:hAnsi="Times New Roman" w:cs="Times New Roman"/>
          <w:i/>
          <w:sz w:val="24"/>
          <w:szCs w:val="24"/>
        </w:rPr>
        <w:t xml:space="preserve">Milicianas. Mujeres republicanas combatientes, </w:t>
      </w:r>
      <w:r w:rsidRPr="000F4FFB">
        <w:rPr>
          <w:rFonts w:ascii="Times New Roman" w:hAnsi="Times New Roman" w:cs="Times New Roman"/>
          <w:sz w:val="24"/>
          <w:szCs w:val="24"/>
        </w:rPr>
        <w:t>Catarata, Madrid, 2018.</w:t>
      </w:r>
    </w:p>
    <w:p w:rsidR="00611AEB" w:rsidRPr="000F4FFB" w:rsidRDefault="00CE38F9" w:rsidP="00CD41D9">
      <w:pPr>
        <w:spacing w:after="0" w:line="360" w:lineRule="auto"/>
        <w:ind w:firstLine="709"/>
        <w:jc w:val="both"/>
      </w:pPr>
      <w:r w:rsidRPr="000F4FFB">
        <w:t xml:space="preserve">MORENO SECO, M., “Las mujeres de la República y la Guerra Civil desde la perspectiva democrática actual, </w:t>
      </w:r>
      <w:r w:rsidRPr="000F4FFB">
        <w:rPr>
          <w:i/>
        </w:rPr>
        <w:t xml:space="preserve">Pasado y Memoria. Revista de Historia Contemporánea, </w:t>
      </w:r>
      <w:r w:rsidRPr="000F4FFB">
        <w:t>núm. 6, pp. 73-94</w:t>
      </w:r>
      <w:r w:rsidR="00AA66A9" w:rsidRPr="000F4FFB">
        <w:t>.</w:t>
      </w:r>
    </w:p>
    <w:p w:rsidR="00AA66A9" w:rsidRPr="000F4FFB" w:rsidRDefault="00AA66A9" w:rsidP="00CD41D9">
      <w:pPr>
        <w:pStyle w:val="Textonotapie"/>
        <w:spacing w:line="360" w:lineRule="auto"/>
        <w:ind w:firstLine="709"/>
        <w:jc w:val="both"/>
        <w:rPr>
          <w:rFonts w:ascii="Times New Roman" w:hAnsi="Times New Roman" w:cs="Times New Roman"/>
          <w:sz w:val="24"/>
          <w:szCs w:val="24"/>
        </w:rPr>
      </w:pPr>
      <w:r w:rsidRPr="000F4FFB">
        <w:rPr>
          <w:rFonts w:ascii="Times New Roman" w:hAnsi="Times New Roman" w:cs="Times New Roman"/>
          <w:sz w:val="24"/>
          <w:szCs w:val="24"/>
        </w:rPr>
        <w:t xml:space="preserve">NADAL SÁNCHEZ, A., “Experiencia psíquicas sobre mujeres marxistas malagueñas. Málaga, 1939”, </w:t>
      </w:r>
      <w:r w:rsidRPr="000F4FFB">
        <w:rPr>
          <w:rFonts w:ascii="Times New Roman" w:hAnsi="Times New Roman" w:cs="Times New Roman"/>
          <w:i/>
          <w:sz w:val="24"/>
          <w:szCs w:val="24"/>
        </w:rPr>
        <w:t xml:space="preserve">BAETICA, </w:t>
      </w:r>
      <w:r w:rsidRPr="000F4FFB">
        <w:rPr>
          <w:rFonts w:ascii="Times New Roman" w:hAnsi="Times New Roman" w:cs="Times New Roman"/>
          <w:sz w:val="24"/>
          <w:szCs w:val="24"/>
        </w:rPr>
        <w:t>núm. 10, 1987, pp. 365-383.</w:t>
      </w:r>
    </w:p>
    <w:p w:rsidR="00611AEB" w:rsidRPr="000F4FFB" w:rsidRDefault="00611AEB" w:rsidP="00CD41D9">
      <w:pPr>
        <w:pStyle w:val="Textonotapie"/>
        <w:spacing w:line="360" w:lineRule="auto"/>
        <w:ind w:firstLine="709"/>
        <w:jc w:val="both"/>
        <w:rPr>
          <w:rFonts w:ascii="Times New Roman" w:hAnsi="Times New Roman" w:cs="Times New Roman"/>
          <w:sz w:val="24"/>
          <w:szCs w:val="24"/>
        </w:rPr>
      </w:pPr>
      <w:r w:rsidRPr="000F4FFB">
        <w:rPr>
          <w:rFonts w:ascii="Times New Roman" w:hAnsi="Times New Roman" w:cs="Times New Roman"/>
          <w:sz w:val="24"/>
          <w:szCs w:val="24"/>
        </w:rPr>
        <w:t xml:space="preserve">NASH, M., “Dos décadas de historia de las mujeres en España. Una consideración”, </w:t>
      </w:r>
      <w:r w:rsidRPr="000F4FFB">
        <w:rPr>
          <w:rFonts w:ascii="Times New Roman" w:hAnsi="Times New Roman" w:cs="Times New Roman"/>
          <w:i/>
          <w:sz w:val="24"/>
          <w:szCs w:val="24"/>
        </w:rPr>
        <w:t xml:space="preserve">Historia Social, </w:t>
      </w:r>
      <w:r w:rsidRPr="000F4FFB">
        <w:rPr>
          <w:rFonts w:ascii="Times New Roman" w:hAnsi="Times New Roman" w:cs="Times New Roman"/>
          <w:sz w:val="24"/>
          <w:szCs w:val="24"/>
        </w:rPr>
        <w:t>núm. 9</w:t>
      </w:r>
      <w:r w:rsidR="00F65F6D">
        <w:rPr>
          <w:rFonts w:ascii="Times New Roman" w:hAnsi="Times New Roman" w:cs="Times New Roman"/>
          <w:sz w:val="24"/>
          <w:szCs w:val="24"/>
        </w:rPr>
        <w:t>, 1991, pp. 137-171</w:t>
      </w:r>
      <w:r w:rsidRPr="000F4FFB">
        <w:rPr>
          <w:rFonts w:ascii="Times New Roman" w:hAnsi="Times New Roman" w:cs="Times New Roman"/>
          <w:sz w:val="24"/>
          <w:szCs w:val="24"/>
        </w:rPr>
        <w:t>.</w:t>
      </w:r>
    </w:p>
    <w:p w:rsidR="002639A4" w:rsidRPr="000F4FFB" w:rsidRDefault="002639A4" w:rsidP="00CD41D9">
      <w:pPr>
        <w:pStyle w:val="Textonotapie"/>
        <w:spacing w:line="360" w:lineRule="auto"/>
        <w:ind w:firstLine="709"/>
        <w:jc w:val="both"/>
        <w:rPr>
          <w:rFonts w:ascii="Times New Roman" w:hAnsi="Times New Roman" w:cs="Times New Roman"/>
          <w:sz w:val="24"/>
          <w:szCs w:val="24"/>
        </w:rPr>
      </w:pPr>
      <w:r w:rsidRPr="000F4FFB">
        <w:rPr>
          <w:rFonts w:ascii="Times New Roman" w:hAnsi="Times New Roman" w:cs="Times New Roman"/>
          <w:sz w:val="24"/>
          <w:szCs w:val="24"/>
        </w:rPr>
        <w:t>NASH, M., “</w:t>
      </w:r>
      <w:proofErr w:type="spellStart"/>
      <w:r w:rsidRPr="000F4FFB">
        <w:rPr>
          <w:rFonts w:ascii="Times New Roman" w:hAnsi="Times New Roman" w:cs="Times New Roman"/>
          <w:sz w:val="24"/>
          <w:szCs w:val="24"/>
        </w:rPr>
        <w:t>Pronatalismo</w:t>
      </w:r>
      <w:proofErr w:type="spellEnd"/>
      <w:r w:rsidRPr="000F4FFB">
        <w:rPr>
          <w:rFonts w:ascii="Times New Roman" w:hAnsi="Times New Roman" w:cs="Times New Roman"/>
          <w:sz w:val="24"/>
          <w:szCs w:val="24"/>
        </w:rPr>
        <w:t xml:space="preserve"> y maternidad en la España franquista”, en BLOCK, G. y THANE, P., </w:t>
      </w:r>
      <w:r w:rsidRPr="000F4FFB">
        <w:rPr>
          <w:rFonts w:ascii="Times New Roman" w:hAnsi="Times New Roman" w:cs="Times New Roman"/>
          <w:i/>
          <w:sz w:val="24"/>
          <w:szCs w:val="24"/>
        </w:rPr>
        <w:t xml:space="preserve">Maternidad y políticas de género, </w:t>
      </w:r>
      <w:r w:rsidRPr="000F4FFB">
        <w:rPr>
          <w:rFonts w:ascii="Times New Roman" w:hAnsi="Times New Roman" w:cs="Times New Roman"/>
          <w:sz w:val="24"/>
          <w:szCs w:val="24"/>
        </w:rPr>
        <w:t>Cátedra-Universidad de Valencia-Instituto de la Mujer, Madrid, 1996, pp. 279-308.</w:t>
      </w:r>
    </w:p>
    <w:p w:rsidR="00611AEB" w:rsidRPr="000F4FFB" w:rsidRDefault="00CE38F9" w:rsidP="00CD41D9">
      <w:pPr>
        <w:spacing w:after="0" w:line="360" w:lineRule="auto"/>
        <w:ind w:firstLine="709"/>
        <w:jc w:val="both"/>
      </w:pPr>
      <w:r w:rsidRPr="000F4FFB">
        <w:lastRenderedPageBreak/>
        <w:t xml:space="preserve">NASH, M., </w:t>
      </w:r>
      <w:r w:rsidRPr="000F4FFB">
        <w:rPr>
          <w:i/>
        </w:rPr>
        <w:t xml:space="preserve">Rojas. La mujer republicana en la Guerra Civil, </w:t>
      </w:r>
      <w:r w:rsidRPr="000F4FFB">
        <w:t>Taurus, Madrid, 2006.</w:t>
      </w:r>
    </w:p>
    <w:p w:rsidR="00611AEB" w:rsidRDefault="00CE38F9" w:rsidP="00CD41D9">
      <w:pPr>
        <w:pStyle w:val="Textonotapie"/>
        <w:spacing w:line="360" w:lineRule="auto"/>
        <w:ind w:firstLine="709"/>
        <w:jc w:val="both"/>
        <w:rPr>
          <w:rFonts w:ascii="Times New Roman" w:hAnsi="Times New Roman" w:cs="Times New Roman"/>
          <w:sz w:val="24"/>
          <w:szCs w:val="24"/>
        </w:rPr>
      </w:pPr>
      <w:r w:rsidRPr="000F4FFB">
        <w:rPr>
          <w:rFonts w:ascii="Times New Roman" w:hAnsi="Times New Roman" w:cs="Times New Roman"/>
          <w:sz w:val="24"/>
          <w:szCs w:val="24"/>
        </w:rPr>
        <w:t xml:space="preserve">PRADA, J. (Ed.), </w:t>
      </w:r>
      <w:r w:rsidRPr="000F4FFB">
        <w:rPr>
          <w:rFonts w:ascii="Times New Roman" w:hAnsi="Times New Roman" w:cs="Times New Roman"/>
          <w:i/>
          <w:sz w:val="24"/>
          <w:szCs w:val="24"/>
        </w:rPr>
        <w:t xml:space="preserve">Franquismo y represión de género en Galicia, </w:t>
      </w:r>
      <w:r w:rsidRPr="000F4FFB">
        <w:rPr>
          <w:rFonts w:ascii="Times New Roman" w:hAnsi="Times New Roman" w:cs="Times New Roman"/>
          <w:sz w:val="24"/>
          <w:szCs w:val="24"/>
        </w:rPr>
        <w:t>Catarata, Madrid, 2013</w:t>
      </w:r>
      <w:r w:rsidR="00AA66A9" w:rsidRPr="000F4FFB">
        <w:rPr>
          <w:rFonts w:ascii="Times New Roman" w:hAnsi="Times New Roman" w:cs="Times New Roman"/>
          <w:sz w:val="24"/>
          <w:szCs w:val="24"/>
        </w:rPr>
        <w:t>.</w:t>
      </w:r>
    </w:p>
    <w:p w:rsidR="005F24E4" w:rsidRPr="000F4FFB" w:rsidRDefault="005F24E4" w:rsidP="00CD41D9">
      <w:pPr>
        <w:pStyle w:val="Textonotapie"/>
        <w:spacing w:line="360" w:lineRule="auto"/>
        <w:ind w:firstLine="709"/>
        <w:jc w:val="both"/>
        <w:rPr>
          <w:rFonts w:ascii="Times New Roman" w:hAnsi="Times New Roman" w:cs="Times New Roman"/>
          <w:sz w:val="24"/>
          <w:szCs w:val="24"/>
        </w:rPr>
      </w:pPr>
      <w:r w:rsidRPr="000F4FFB">
        <w:rPr>
          <w:rFonts w:ascii="Times New Roman" w:hAnsi="Times New Roman" w:cs="Times New Roman"/>
          <w:sz w:val="24"/>
          <w:szCs w:val="24"/>
        </w:rPr>
        <w:t xml:space="preserve">PRIETO BORREGO, L. (Ed.), </w:t>
      </w:r>
      <w:r w:rsidRPr="000F4FFB">
        <w:rPr>
          <w:rFonts w:ascii="Times New Roman" w:hAnsi="Times New Roman" w:cs="Times New Roman"/>
          <w:i/>
          <w:sz w:val="24"/>
          <w:szCs w:val="24"/>
        </w:rPr>
        <w:t xml:space="preserve">Encuadramiento femenino, socialización y cultura en el franquismo, </w:t>
      </w:r>
      <w:r w:rsidRPr="000F4FFB">
        <w:rPr>
          <w:rFonts w:ascii="Times New Roman" w:hAnsi="Times New Roman" w:cs="Times New Roman"/>
          <w:sz w:val="24"/>
          <w:szCs w:val="24"/>
        </w:rPr>
        <w:t>Diputación de Málaga, Málaga, 2010.</w:t>
      </w:r>
    </w:p>
    <w:p w:rsidR="00AA66A9" w:rsidRDefault="00AA66A9" w:rsidP="00CD41D9">
      <w:pPr>
        <w:pStyle w:val="Textonotapie"/>
        <w:spacing w:line="360" w:lineRule="auto"/>
        <w:ind w:firstLine="709"/>
        <w:jc w:val="both"/>
        <w:rPr>
          <w:rFonts w:ascii="Times New Roman" w:hAnsi="Times New Roman" w:cs="Times New Roman"/>
          <w:sz w:val="24"/>
          <w:szCs w:val="24"/>
        </w:rPr>
      </w:pPr>
      <w:r w:rsidRPr="000F4FFB">
        <w:rPr>
          <w:rFonts w:ascii="Times New Roman" w:hAnsi="Times New Roman" w:cs="Times New Roman"/>
          <w:sz w:val="24"/>
          <w:szCs w:val="24"/>
        </w:rPr>
        <w:t xml:space="preserve">PRIETO BORREGO, L., </w:t>
      </w:r>
      <w:r w:rsidRPr="000F4FFB">
        <w:rPr>
          <w:rFonts w:ascii="Times New Roman" w:hAnsi="Times New Roman" w:cs="Times New Roman"/>
          <w:i/>
          <w:sz w:val="24"/>
          <w:szCs w:val="24"/>
        </w:rPr>
        <w:t xml:space="preserve">Mujer, moral y Franquismo. Del velo al bikini, </w:t>
      </w:r>
      <w:r w:rsidRPr="000F4FFB">
        <w:rPr>
          <w:rFonts w:ascii="Times New Roman" w:hAnsi="Times New Roman" w:cs="Times New Roman"/>
          <w:sz w:val="24"/>
          <w:szCs w:val="24"/>
        </w:rPr>
        <w:t>Universidad de Málaga, Málaga, 2018.</w:t>
      </w:r>
    </w:p>
    <w:p w:rsidR="00611AEB" w:rsidRPr="000F4FFB" w:rsidRDefault="00611AEB" w:rsidP="00CD41D9">
      <w:pPr>
        <w:pStyle w:val="Textonotapie"/>
        <w:spacing w:line="360" w:lineRule="auto"/>
        <w:ind w:firstLine="709"/>
        <w:jc w:val="both"/>
        <w:rPr>
          <w:rFonts w:ascii="Times New Roman" w:hAnsi="Times New Roman" w:cs="Times New Roman"/>
          <w:sz w:val="24"/>
          <w:szCs w:val="24"/>
        </w:rPr>
      </w:pPr>
      <w:r w:rsidRPr="000F4FFB">
        <w:rPr>
          <w:rFonts w:ascii="Times New Roman" w:hAnsi="Times New Roman" w:cs="Times New Roman"/>
          <w:sz w:val="24"/>
          <w:szCs w:val="24"/>
        </w:rPr>
        <w:t>RODRÍGUEZ LÓPEZ, S., “La historiografía de las mujeres en la guerra civil española. Una revisión”, en SANTO TOMÁS, M. y otros (</w:t>
      </w:r>
      <w:proofErr w:type="spellStart"/>
      <w:r w:rsidRPr="000F4FFB">
        <w:rPr>
          <w:rFonts w:ascii="Times New Roman" w:hAnsi="Times New Roman" w:cs="Times New Roman"/>
          <w:sz w:val="24"/>
          <w:szCs w:val="24"/>
        </w:rPr>
        <w:t>Coords</w:t>
      </w:r>
      <w:proofErr w:type="spellEnd"/>
      <w:r w:rsidRPr="000F4FFB">
        <w:rPr>
          <w:rFonts w:ascii="Times New Roman" w:hAnsi="Times New Roman" w:cs="Times New Roman"/>
          <w:sz w:val="24"/>
          <w:szCs w:val="24"/>
        </w:rPr>
        <w:t xml:space="preserve">.), </w:t>
      </w:r>
      <w:r w:rsidRPr="000F4FFB">
        <w:rPr>
          <w:rFonts w:ascii="Times New Roman" w:hAnsi="Times New Roman" w:cs="Times New Roman"/>
          <w:i/>
          <w:sz w:val="24"/>
          <w:szCs w:val="24"/>
        </w:rPr>
        <w:t xml:space="preserve">La historia de las mujeres. Una revisión historiográfica, </w:t>
      </w:r>
      <w:r w:rsidRPr="000F4FFB">
        <w:rPr>
          <w:rFonts w:ascii="Times New Roman" w:hAnsi="Times New Roman" w:cs="Times New Roman"/>
          <w:sz w:val="24"/>
          <w:szCs w:val="24"/>
        </w:rPr>
        <w:t>Universidad d</w:t>
      </w:r>
      <w:r w:rsidR="00CE38F9" w:rsidRPr="000F4FFB">
        <w:rPr>
          <w:rFonts w:ascii="Times New Roman" w:hAnsi="Times New Roman" w:cs="Times New Roman"/>
          <w:sz w:val="24"/>
          <w:szCs w:val="24"/>
        </w:rPr>
        <w:t>e Valladolid, Valladolid</w:t>
      </w:r>
      <w:r w:rsidRPr="000F4FFB">
        <w:rPr>
          <w:rFonts w:ascii="Times New Roman" w:hAnsi="Times New Roman" w:cs="Times New Roman"/>
          <w:sz w:val="24"/>
          <w:szCs w:val="24"/>
        </w:rPr>
        <w:t>.</w:t>
      </w:r>
    </w:p>
    <w:p w:rsidR="002639A4" w:rsidRPr="000F4FFB" w:rsidRDefault="002639A4" w:rsidP="00CD41D9">
      <w:pPr>
        <w:pStyle w:val="Textonotapie"/>
        <w:spacing w:line="360" w:lineRule="auto"/>
        <w:ind w:firstLine="709"/>
        <w:jc w:val="both"/>
        <w:rPr>
          <w:rFonts w:ascii="Times New Roman" w:hAnsi="Times New Roman" w:cs="Times New Roman"/>
          <w:sz w:val="24"/>
          <w:szCs w:val="24"/>
        </w:rPr>
      </w:pPr>
      <w:r w:rsidRPr="000F4FFB">
        <w:rPr>
          <w:rFonts w:ascii="Times New Roman" w:hAnsi="Times New Roman" w:cs="Times New Roman"/>
          <w:sz w:val="24"/>
          <w:szCs w:val="24"/>
        </w:rPr>
        <w:t xml:space="preserve">RODRÍGUEZ LÓPEZ, S., “La violencia como arma de guerra”, en BARRANQUERO TEXEIRA, E. (Ed.), </w:t>
      </w:r>
      <w:r w:rsidRPr="000F4FFB">
        <w:rPr>
          <w:rFonts w:ascii="Times New Roman" w:hAnsi="Times New Roman" w:cs="Times New Roman"/>
          <w:i/>
          <w:sz w:val="24"/>
          <w:szCs w:val="24"/>
        </w:rPr>
        <w:t xml:space="preserve">Mujeres en la Guerra Civil y el Franquismo: violencia, silencio y memoria de los tiempos difíciles, </w:t>
      </w:r>
      <w:r w:rsidRPr="000F4FFB">
        <w:rPr>
          <w:rFonts w:ascii="Times New Roman" w:hAnsi="Times New Roman" w:cs="Times New Roman"/>
          <w:sz w:val="24"/>
          <w:szCs w:val="24"/>
        </w:rPr>
        <w:t>Diputación de Málaga, Málaga, 2010, pp. 29-30.</w:t>
      </w:r>
    </w:p>
    <w:p w:rsidR="002639A4" w:rsidRPr="000F4FFB" w:rsidRDefault="00BF4EBB" w:rsidP="00CD41D9">
      <w:pPr>
        <w:pStyle w:val="Textonotapie"/>
        <w:spacing w:line="360" w:lineRule="auto"/>
        <w:ind w:firstLine="709"/>
        <w:jc w:val="both"/>
        <w:rPr>
          <w:rFonts w:ascii="Times New Roman" w:hAnsi="Times New Roman" w:cs="Times New Roman"/>
          <w:sz w:val="24"/>
          <w:szCs w:val="24"/>
        </w:rPr>
      </w:pPr>
      <w:r w:rsidRPr="000F4FFB">
        <w:rPr>
          <w:rFonts w:ascii="Times New Roman" w:hAnsi="Times New Roman" w:cs="Times New Roman"/>
          <w:sz w:val="24"/>
          <w:szCs w:val="24"/>
        </w:rPr>
        <w:t xml:space="preserve">RODRÍGUEZ LÓPEZ, S.: Reseña de Rosas y margaritas. Mujeres falangistas, tradicionalistas y de Acción Católica asesinadas en la guerra civil”, </w:t>
      </w:r>
      <w:proofErr w:type="spellStart"/>
      <w:r w:rsidRPr="000F4FFB">
        <w:rPr>
          <w:rFonts w:ascii="Times New Roman" w:hAnsi="Times New Roman" w:cs="Times New Roman"/>
          <w:i/>
          <w:sz w:val="24"/>
          <w:szCs w:val="24"/>
        </w:rPr>
        <w:t>Stvdia</w:t>
      </w:r>
      <w:proofErr w:type="spellEnd"/>
      <w:r w:rsidRPr="000F4FFB">
        <w:rPr>
          <w:rFonts w:ascii="Times New Roman" w:hAnsi="Times New Roman" w:cs="Times New Roman"/>
          <w:i/>
          <w:sz w:val="24"/>
          <w:szCs w:val="24"/>
        </w:rPr>
        <w:t xml:space="preserve"> Histórica. Historia Contemporánea, núm. 34, </w:t>
      </w:r>
      <w:r w:rsidRPr="000F4FFB">
        <w:rPr>
          <w:rFonts w:ascii="Times New Roman" w:hAnsi="Times New Roman" w:cs="Times New Roman"/>
          <w:sz w:val="24"/>
          <w:szCs w:val="24"/>
        </w:rPr>
        <w:t>pp. 504-508.</w:t>
      </w:r>
    </w:p>
    <w:p w:rsidR="00CE38F9" w:rsidRPr="000F4FFB" w:rsidRDefault="00CE38F9" w:rsidP="00CD41D9">
      <w:pPr>
        <w:pStyle w:val="Textonotapie"/>
        <w:spacing w:line="360" w:lineRule="auto"/>
        <w:ind w:firstLine="709"/>
        <w:jc w:val="both"/>
        <w:rPr>
          <w:rFonts w:ascii="Times New Roman" w:hAnsi="Times New Roman" w:cs="Times New Roman"/>
          <w:sz w:val="24"/>
          <w:szCs w:val="24"/>
        </w:rPr>
      </w:pPr>
      <w:r w:rsidRPr="000F4FFB">
        <w:rPr>
          <w:rFonts w:ascii="Times New Roman" w:hAnsi="Times New Roman" w:cs="Times New Roman"/>
          <w:sz w:val="24"/>
          <w:szCs w:val="24"/>
        </w:rPr>
        <w:t xml:space="preserve">RODRÍGUEZ PADILLA, E., </w:t>
      </w:r>
      <w:r w:rsidRPr="000F4FFB">
        <w:rPr>
          <w:rFonts w:ascii="Times New Roman" w:hAnsi="Times New Roman" w:cs="Times New Roman"/>
          <w:i/>
          <w:sz w:val="24"/>
          <w:szCs w:val="24"/>
        </w:rPr>
        <w:t xml:space="preserve">Mujeres de Almería. Condenadas a muerte o reclusión perpetua tras la guerra civil, 1939-1945, </w:t>
      </w:r>
      <w:proofErr w:type="spellStart"/>
      <w:r w:rsidRPr="000F4FFB">
        <w:rPr>
          <w:rFonts w:ascii="Times New Roman" w:hAnsi="Times New Roman" w:cs="Times New Roman"/>
          <w:sz w:val="24"/>
          <w:szCs w:val="24"/>
        </w:rPr>
        <w:t>Árraez</w:t>
      </w:r>
      <w:proofErr w:type="spellEnd"/>
      <w:r w:rsidRPr="000F4FFB">
        <w:rPr>
          <w:rFonts w:ascii="Times New Roman" w:hAnsi="Times New Roman" w:cs="Times New Roman"/>
          <w:sz w:val="24"/>
          <w:szCs w:val="24"/>
        </w:rPr>
        <w:t xml:space="preserve">, </w:t>
      </w:r>
      <w:proofErr w:type="spellStart"/>
      <w:r w:rsidRPr="000F4FFB">
        <w:rPr>
          <w:rFonts w:ascii="Times New Roman" w:hAnsi="Times New Roman" w:cs="Times New Roman"/>
          <w:sz w:val="24"/>
          <w:szCs w:val="24"/>
        </w:rPr>
        <w:t>Mojácar</w:t>
      </w:r>
      <w:proofErr w:type="spellEnd"/>
      <w:r w:rsidRPr="000F4FFB">
        <w:rPr>
          <w:rFonts w:ascii="Times New Roman" w:hAnsi="Times New Roman" w:cs="Times New Roman"/>
          <w:sz w:val="24"/>
          <w:szCs w:val="24"/>
        </w:rPr>
        <w:t>, 2014</w:t>
      </w:r>
    </w:p>
    <w:p w:rsidR="00CE38F9" w:rsidRPr="000F4FFB" w:rsidRDefault="00CE38F9" w:rsidP="00CD41D9">
      <w:pPr>
        <w:pStyle w:val="Textonotapie"/>
        <w:spacing w:line="360" w:lineRule="auto"/>
        <w:ind w:firstLine="709"/>
        <w:jc w:val="both"/>
        <w:rPr>
          <w:rFonts w:ascii="Times New Roman" w:hAnsi="Times New Roman" w:cs="Times New Roman"/>
          <w:sz w:val="24"/>
          <w:szCs w:val="24"/>
        </w:rPr>
      </w:pPr>
      <w:r w:rsidRPr="000F4FFB">
        <w:rPr>
          <w:rFonts w:ascii="Times New Roman" w:hAnsi="Times New Roman" w:cs="Times New Roman"/>
          <w:sz w:val="24"/>
          <w:szCs w:val="24"/>
        </w:rPr>
        <w:t xml:space="preserve">SÁIZ VIADERO, J.R., </w:t>
      </w:r>
      <w:r w:rsidRPr="000F4FFB">
        <w:rPr>
          <w:rFonts w:ascii="Times New Roman" w:hAnsi="Times New Roman" w:cs="Times New Roman"/>
          <w:i/>
          <w:sz w:val="24"/>
          <w:szCs w:val="24"/>
        </w:rPr>
        <w:t xml:space="preserve">Mujer, república, guerra civil y represión en Cantabria, </w:t>
      </w:r>
      <w:proofErr w:type="spellStart"/>
      <w:r w:rsidRPr="000F4FFB">
        <w:rPr>
          <w:rFonts w:ascii="Times New Roman" w:hAnsi="Times New Roman" w:cs="Times New Roman"/>
          <w:sz w:val="24"/>
          <w:szCs w:val="24"/>
        </w:rPr>
        <w:t>Librucos</w:t>
      </w:r>
      <w:proofErr w:type="spellEnd"/>
      <w:r w:rsidRPr="000F4FFB">
        <w:rPr>
          <w:rFonts w:ascii="Times New Roman" w:hAnsi="Times New Roman" w:cs="Times New Roman"/>
          <w:sz w:val="24"/>
          <w:szCs w:val="24"/>
        </w:rPr>
        <w:t>, Santander, 2016</w:t>
      </w:r>
      <w:r w:rsidR="006F5026" w:rsidRPr="000F4FFB">
        <w:rPr>
          <w:rFonts w:ascii="Times New Roman" w:hAnsi="Times New Roman" w:cs="Times New Roman"/>
          <w:sz w:val="24"/>
          <w:szCs w:val="24"/>
        </w:rPr>
        <w:t>.</w:t>
      </w:r>
    </w:p>
    <w:p w:rsidR="006F5026" w:rsidRPr="000F4FFB" w:rsidRDefault="006F5026" w:rsidP="00CD41D9">
      <w:pPr>
        <w:pStyle w:val="Textonotapie"/>
        <w:spacing w:line="360" w:lineRule="auto"/>
        <w:ind w:firstLine="709"/>
        <w:jc w:val="both"/>
        <w:rPr>
          <w:rFonts w:ascii="Times New Roman" w:hAnsi="Times New Roman" w:cs="Times New Roman"/>
          <w:sz w:val="24"/>
          <w:szCs w:val="24"/>
        </w:rPr>
      </w:pPr>
      <w:r w:rsidRPr="000F4FFB">
        <w:rPr>
          <w:rFonts w:ascii="Times New Roman" w:hAnsi="Times New Roman" w:cs="Times New Roman"/>
          <w:sz w:val="24"/>
          <w:szCs w:val="24"/>
        </w:rPr>
        <w:t xml:space="preserve">SÁNCHEZ PERABÁ, D., “Obreras en la provincia de Jaén durante la Guerra Civil”, en BARRANQUERO TEXEIRA, E. (Ed.), </w:t>
      </w:r>
      <w:r w:rsidR="00F65F6D" w:rsidRPr="000F4FFB">
        <w:rPr>
          <w:rFonts w:ascii="Times New Roman" w:hAnsi="Times New Roman" w:cs="Times New Roman"/>
          <w:i/>
          <w:sz w:val="24"/>
          <w:szCs w:val="24"/>
        </w:rPr>
        <w:t>Mujeres en la Guerra Civil y el Franquismo: violencia, silencio y memoria de los tiempos difíciles</w:t>
      </w:r>
      <w:r w:rsidR="00F65F6D">
        <w:rPr>
          <w:rFonts w:ascii="Times New Roman" w:hAnsi="Times New Roman" w:cs="Times New Roman"/>
          <w:sz w:val="24"/>
          <w:szCs w:val="24"/>
        </w:rPr>
        <w:t xml:space="preserve">, Diputación Provincial, Málaga, 2010, pp. </w:t>
      </w:r>
      <w:r w:rsidRPr="000F4FFB">
        <w:rPr>
          <w:rFonts w:ascii="Times New Roman" w:hAnsi="Times New Roman" w:cs="Times New Roman"/>
          <w:sz w:val="24"/>
          <w:szCs w:val="24"/>
        </w:rPr>
        <w:t>91-106.</w:t>
      </w:r>
    </w:p>
    <w:p w:rsidR="00CE38F9" w:rsidRPr="000F4FFB" w:rsidRDefault="00CE38F9" w:rsidP="00CD41D9">
      <w:pPr>
        <w:pStyle w:val="Textonotapie"/>
        <w:spacing w:line="360" w:lineRule="auto"/>
        <w:ind w:firstLine="709"/>
        <w:jc w:val="both"/>
        <w:rPr>
          <w:rFonts w:ascii="Times New Roman" w:hAnsi="Times New Roman" w:cs="Times New Roman"/>
          <w:sz w:val="24"/>
          <w:szCs w:val="24"/>
        </w:rPr>
      </w:pPr>
      <w:r w:rsidRPr="000F4FFB">
        <w:rPr>
          <w:rFonts w:ascii="Times New Roman" w:hAnsi="Times New Roman" w:cs="Times New Roman"/>
          <w:sz w:val="24"/>
          <w:szCs w:val="24"/>
        </w:rPr>
        <w:t xml:space="preserve">SÁNCHEZ, P., </w:t>
      </w:r>
      <w:r w:rsidRPr="000F4FFB">
        <w:rPr>
          <w:rFonts w:ascii="Times New Roman" w:hAnsi="Times New Roman" w:cs="Times New Roman"/>
          <w:i/>
          <w:sz w:val="24"/>
          <w:szCs w:val="24"/>
        </w:rPr>
        <w:t xml:space="preserve">La represión de las mujeres en Andalucía, </w:t>
      </w:r>
      <w:r w:rsidRPr="000F4FFB">
        <w:rPr>
          <w:rFonts w:ascii="Times New Roman" w:hAnsi="Times New Roman" w:cs="Times New Roman"/>
          <w:sz w:val="24"/>
          <w:szCs w:val="24"/>
        </w:rPr>
        <w:t>Ayuntamiento de Sevilla-Real Alcázar, Sevilla, 2008.</w:t>
      </w:r>
    </w:p>
    <w:p w:rsidR="00F65F6D" w:rsidRDefault="00611AEB" w:rsidP="00CD41D9">
      <w:pPr>
        <w:pStyle w:val="Textonotapie"/>
        <w:spacing w:line="360" w:lineRule="auto"/>
        <w:ind w:firstLine="709"/>
        <w:jc w:val="both"/>
        <w:rPr>
          <w:rFonts w:ascii="Times New Roman" w:hAnsi="Times New Roman" w:cs="Times New Roman"/>
          <w:sz w:val="24"/>
          <w:szCs w:val="24"/>
        </w:rPr>
      </w:pPr>
      <w:r w:rsidRPr="000F4FFB">
        <w:rPr>
          <w:rFonts w:ascii="Times New Roman" w:hAnsi="Times New Roman" w:cs="Times New Roman"/>
          <w:sz w:val="24"/>
          <w:szCs w:val="24"/>
        </w:rPr>
        <w:t xml:space="preserve">VINYES, R., </w:t>
      </w:r>
      <w:r w:rsidRPr="000F4FFB">
        <w:rPr>
          <w:rFonts w:ascii="Times New Roman" w:hAnsi="Times New Roman" w:cs="Times New Roman"/>
          <w:i/>
          <w:sz w:val="24"/>
          <w:szCs w:val="24"/>
        </w:rPr>
        <w:t xml:space="preserve">Irredentas. Las presas políticas y sus hijos en las cárceles franquistas, </w:t>
      </w:r>
      <w:proofErr w:type="spellStart"/>
      <w:r w:rsidRPr="000F4FFB">
        <w:rPr>
          <w:rFonts w:ascii="Times New Roman" w:hAnsi="Times New Roman" w:cs="Times New Roman"/>
          <w:sz w:val="24"/>
          <w:szCs w:val="24"/>
        </w:rPr>
        <w:t>Plaza&amp;Janés</w:t>
      </w:r>
      <w:proofErr w:type="spellEnd"/>
      <w:r w:rsidRPr="000F4FFB">
        <w:rPr>
          <w:rFonts w:ascii="Times New Roman" w:hAnsi="Times New Roman" w:cs="Times New Roman"/>
          <w:sz w:val="24"/>
          <w:szCs w:val="24"/>
        </w:rPr>
        <w:t>, Barcelona, 2004</w:t>
      </w:r>
      <w:r w:rsidR="00F65F6D">
        <w:rPr>
          <w:rFonts w:ascii="Times New Roman" w:hAnsi="Times New Roman" w:cs="Times New Roman"/>
          <w:sz w:val="24"/>
          <w:szCs w:val="24"/>
        </w:rPr>
        <w:t>.</w:t>
      </w:r>
      <w:r w:rsidRPr="000F4FFB">
        <w:rPr>
          <w:rFonts w:ascii="Times New Roman" w:hAnsi="Times New Roman" w:cs="Times New Roman"/>
          <w:sz w:val="24"/>
          <w:szCs w:val="24"/>
        </w:rPr>
        <w:t xml:space="preserve"> </w:t>
      </w:r>
    </w:p>
    <w:p w:rsidR="00DE3B29" w:rsidRPr="000F4FFB" w:rsidRDefault="00611AEB" w:rsidP="00CD41D9">
      <w:pPr>
        <w:pStyle w:val="Textonotapie"/>
        <w:spacing w:line="360" w:lineRule="auto"/>
        <w:ind w:firstLine="709"/>
        <w:jc w:val="both"/>
        <w:rPr>
          <w:rFonts w:ascii="Times New Roman" w:hAnsi="Times New Roman" w:cs="Times New Roman"/>
          <w:sz w:val="24"/>
          <w:szCs w:val="24"/>
        </w:rPr>
      </w:pPr>
      <w:r w:rsidRPr="000F4FFB">
        <w:rPr>
          <w:rFonts w:ascii="Times New Roman" w:hAnsi="Times New Roman" w:cs="Times New Roman"/>
          <w:sz w:val="24"/>
          <w:szCs w:val="24"/>
        </w:rPr>
        <w:t xml:space="preserve">VIRGILI, F., “Víctimas culpables y silenciosas. Memoria de las mujeres rapadas en la Francia de la posguerra”, en ARÓSTEGUI, J. y GODICHEAU, F., </w:t>
      </w:r>
      <w:r w:rsidRPr="000F4FFB">
        <w:rPr>
          <w:rFonts w:ascii="Times New Roman" w:hAnsi="Times New Roman" w:cs="Times New Roman"/>
          <w:i/>
          <w:sz w:val="24"/>
          <w:szCs w:val="24"/>
        </w:rPr>
        <w:t xml:space="preserve">Guerra Civil: mito y memoria, </w:t>
      </w:r>
      <w:r w:rsidRPr="000F4FFB">
        <w:rPr>
          <w:rFonts w:ascii="Times New Roman" w:hAnsi="Times New Roman" w:cs="Times New Roman"/>
          <w:sz w:val="24"/>
          <w:szCs w:val="24"/>
        </w:rPr>
        <w:t>Marcial Pons, Madrid, 2006, pp. 361-172</w:t>
      </w:r>
      <w:r w:rsidR="00CE38F9" w:rsidRPr="000F4FFB">
        <w:rPr>
          <w:rFonts w:ascii="Times New Roman" w:hAnsi="Times New Roman" w:cs="Times New Roman"/>
          <w:sz w:val="24"/>
          <w:szCs w:val="24"/>
        </w:rPr>
        <w:t>.</w:t>
      </w:r>
    </w:p>
    <w:p w:rsidR="00DE3B29" w:rsidRPr="000F4FFB" w:rsidRDefault="00DE3B29" w:rsidP="00CD41D9">
      <w:pPr>
        <w:pStyle w:val="Textonotapie"/>
        <w:spacing w:line="360" w:lineRule="auto"/>
        <w:ind w:firstLine="709"/>
        <w:jc w:val="both"/>
        <w:rPr>
          <w:rFonts w:ascii="Times New Roman" w:hAnsi="Times New Roman" w:cs="Times New Roman"/>
          <w:sz w:val="24"/>
          <w:szCs w:val="24"/>
        </w:rPr>
      </w:pPr>
      <w:r w:rsidRPr="000F4FFB">
        <w:rPr>
          <w:rFonts w:ascii="Times New Roman" w:hAnsi="Times New Roman" w:cs="Times New Roman"/>
          <w:sz w:val="24"/>
          <w:szCs w:val="24"/>
        </w:rPr>
        <w:lastRenderedPageBreak/>
        <w:t xml:space="preserve">RODRÍGUEZ, S. y FERNÁNDEZ, E., “Rebeldes, sumisa, víctimas o verdugos”, </w:t>
      </w:r>
      <w:r w:rsidRPr="000F4FFB">
        <w:rPr>
          <w:rFonts w:ascii="Times New Roman" w:hAnsi="Times New Roman" w:cs="Times New Roman"/>
          <w:i/>
          <w:sz w:val="24"/>
          <w:szCs w:val="24"/>
        </w:rPr>
        <w:t xml:space="preserve">Historia del Presente, </w:t>
      </w:r>
      <w:r w:rsidRPr="000F4FFB">
        <w:rPr>
          <w:rFonts w:ascii="Times New Roman" w:hAnsi="Times New Roman" w:cs="Times New Roman"/>
          <w:sz w:val="24"/>
          <w:szCs w:val="24"/>
        </w:rPr>
        <w:t>núm. 32, 2018, pp.5-10.</w:t>
      </w:r>
    </w:p>
    <w:p w:rsidR="00AA66A9" w:rsidRPr="000D5FE9" w:rsidRDefault="00BF568D" w:rsidP="00CD41D9">
      <w:pPr>
        <w:pStyle w:val="Textonotapie"/>
        <w:spacing w:line="360" w:lineRule="auto"/>
        <w:ind w:firstLine="709"/>
        <w:jc w:val="both"/>
        <w:rPr>
          <w:rFonts w:ascii="Times New Roman" w:hAnsi="Times New Roman" w:cs="Times New Roman"/>
        </w:rPr>
      </w:pPr>
      <w:r w:rsidRPr="000F4FFB">
        <w:rPr>
          <w:rFonts w:ascii="Times New Roman" w:hAnsi="Times New Roman" w:cs="Times New Roman"/>
          <w:sz w:val="24"/>
          <w:szCs w:val="24"/>
        </w:rPr>
        <w:t xml:space="preserve">SÁNCHEZ BLANCO, L., </w:t>
      </w:r>
      <w:r w:rsidRPr="000F4FFB">
        <w:rPr>
          <w:rFonts w:ascii="Times New Roman" w:hAnsi="Times New Roman" w:cs="Times New Roman"/>
          <w:i/>
          <w:sz w:val="24"/>
          <w:szCs w:val="24"/>
        </w:rPr>
        <w:t xml:space="preserve">Mujeres falangistas, tradicionalistas y de Acción Católica asesinadas en la Guerra Civil, </w:t>
      </w:r>
      <w:r w:rsidRPr="000F4FFB">
        <w:rPr>
          <w:rFonts w:ascii="Times New Roman" w:hAnsi="Times New Roman" w:cs="Times New Roman"/>
          <w:sz w:val="24"/>
          <w:szCs w:val="24"/>
        </w:rPr>
        <w:t>Actas, Madrid, 2016.</w:t>
      </w:r>
    </w:p>
    <w:p w:rsidR="00AA66A9" w:rsidRPr="000D5FE9" w:rsidRDefault="00AA66A9" w:rsidP="00CD41D9">
      <w:pPr>
        <w:pStyle w:val="Textonotapie"/>
        <w:ind w:firstLine="709"/>
        <w:jc w:val="both"/>
        <w:rPr>
          <w:rFonts w:ascii="Times New Roman" w:hAnsi="Times New Roman" w:cs="Times New Roman"/>
        </w:rPr>
      </w:pPr>
    </w:p>
    <w:p w:rsidR="00AA66A9" w:rsidRPr="00611AEB" w:rsidRDefault="00AA66A9" w:rsidP="00CD41D9">
      <w:pPr>
        <w:pStyle w:val="Textonotapie"/>
        <w:ind w:firstLine="709"/>
        <w:rPr>
          <w:rFonts w:ascii="Times New Roman" w:hAnsi="Times New Roman" w:cs="Times New Roman"/>
        </w:rPr>
      </w:pPr>
    </w:p>
    <w:p w:rsidR="006F5026" w:rsidRPr="008C3267" w:rsidRDefault="006F5026" w:rsidP="00CD41D9">
      <w:pPr>
        <w:pStyle w:val="Textonotapie"/>
        <w:ind w:firstLine="709"/>
        <w:jc w:val="both"/>
        <w:rPr>
          <w:rFonts w:ascii="Times New Roman" w:hAnsi="Times New Roman" w:cs="Times New Roman"/>
        </w:rPr>
      </w:pPr>
    </w:p>
    <w:sectPr w:rsidR="006F5026" w:rsidRPr="008C3267" w:rsidSect="009C5922">
      <w:pgSz w:w="11906" w:h="16838"/>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272410" w:rsidRDefault="00272410" w:rsidP="006C0E7B">
      <w:pPr>
        <w:spacing w:after="0" w:line="240" w:lineRule="auto"/>
      </w:pPr>
      <w:r>
        <w:separator/>
      </w:r>
    </w:p>
  </w:endnote>
  <w:endnote w:type="continuationSeparator" w:id="0">
    <w:p w:rsidR="00272410" w:rsidRDefault="00272410" w:rsidP="006C0E7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272410" w:rsidRDefault="00272410" w:rsidP="006C0E7B">
      <w:pPr>
        <w:spacing w:after="0" w:line="240" w:lineRule="auto"/>
      </w:pPr>
      <w:r>
        <w:separator/>
      </w:r>
    </w:p>
  </w:footnote>
  <w:footnote w:type="continuationSeparator" w:id="0">
    <w:p w:rsidR="00272410" w:rsidRDefault="00272410" w:rsidP="006C0E7B">
      <w:pPr>
        <w:spacing w:after="0" w:line="240" w:lineRule="auto"/>
      </w:pPr>
      <w:r>
        <w:continuationSeparator/>
      </w:r>
    </w:p>
  </w:footnote>
  <w:footnote w:id="1">
    <w:p w:rsidR="00CE38F9" w:rsidRPr="00A30365" w:rsidRDefault="00CE38F9" w:rsidP="00A30365">
      <w:pPr>
        <w:pStyle w:val="Textonotapie"/>
        <w:jc w:val="both"/>
        <w:rPr>
          <w:rFonts w:ascii="Times New Roman" w:hAnsi="Times New Roman" w:cs="Times New Roman"/>
        </w:rPr>
      </w:pPr>
      <w:r>
        <w:rPr>
          <w:rStyle w:val="Refdenotaalpie"/>
        </w:rPr>
        <w:footnoteRef/>
      </w:r>
      <w:r>
        <w:t xml:space="preserve"> </w:t>
      </w:r>
      <w:r>
        <w:rPr>
          <w:rFonts w:ascii="Times New Roman" w:hAnsi="Times New Roman" w:cs="Times New Roman"/>
        </w:rPr>
        <w:t>Este trabajo forma parte de los proyectos: “La hambruna española: causas, desarrollo, consecuencias y memoria (1939-1952) (HAMBRUNA)” PID2019-109470GB-100/AEI/10.13039/501100011033 y “La violencia política en Castilla-La Mancha durante la guerra civil y la dictadura franquista (1936-1946). Del terror a la cárcel SBPLY/21/180501/0028</w:t>
      </w:r>
      <w:r w:rsidR="006E36EE">
        <w:rPr>
          <w:rFonts w:ascii="Times New Roman" w:hAnsi="Times New Roman" w:cs="Times New Roman"/>
        </w:rPr>
        <w:t>.</w:t>
      </w:r>
    </w:p>
  </w:footnote>
  <w:footnote w:id="2">
    <w:p w:rsidR="00CE38F9" w:rsidRPr="00CE55CE" w:rsidRDefault="00CE38F9">
      <w:pPr>
        <w:pStyle w:val="Textonotapie"/>
        <w:rPr>
          <w:rFonts w:ascii="Times New Roman" w:hAnsi="Times New Roman" w:cs="Times New Roman"/>
        </w:rPr>
      </w:pPr>
      <w:r>
        <w:rPr>
          <w:rStyle w:val="Refdenotaalpie"/>
        </w:rPr>
        <w:footnoteRef/>
      </w:r>
      <w:r>
        <w:t xml:space="preserve"> </w:t>
      </w:r>
      <w:r>
        <w:rPr>
          <w:rFonts w:ascii="Times New Roman" w:hAnsi="Times New Roman" w:cs="Times New Roman"/>
        </w:rPr>
        <w:t xml:space="preserve">GARCÍA-NIETO, M.C., “Las mujeres en la guerra civil de España. Nueva perspectiva”, en </w:t>
      </w:r>
      <w:r>
        <w:rPr>
          <w:rFonts w:ascii="Times New Roman" w:hAnsi="Times New Roman" w:cs="Times New Roman"/>
          <w:i/>
        </w:rPr>
        <w:t xml:space="preserve">Actas de las Primeras Jornadas de Investigación Interdisciplinaria. Nuevas perspectivas sobre la mujer, </w:t>
      </w:r>
      <w:r>
        <w:rPr>
          <w:rFonts w:ascii="Times New Roman" w:hAnsi="Times New Roman" w:cs="Times New Roman"/>
        </w:rPr>
        <w:t>Universidad Autónoma de Madrid, Madrid, 1982, pp. 184-189.</w:t>
      </w:r>
    </w:p>
  </w:footnote>
  <w:footnote w:id="3">
    <w:p w:rsidR="00CE38F9" w:rsidRPr="00C822B8" w:rsidRDefault="00CE38F9" w:rsidP="00C822B8">
      <w:pPr>
        <w:pStyle w:val="Textonotapie"/>
        <w:jc w:val="both"/>
        <w:rPr>
          <w:rFonts w:ascii="Times New Roman" w:hAnsi="Times New Roman" w:cs="Times New Roman"/>
        </w:rPr>
      </w:pPr>
      <w:r>
        <w:rPr>
          <w:rStyle w:val="Refdenotaalpie"/>
        </w:rPr>
        <w:footnoteRef/>
      </w:r>
      <w:r>
        <w:t xml:space="preserve"> </w:t>
      </w:r>
      <w:r>
        <w:rPr>
          <w:rFonts w:ascii="Times New Roman" w:hAnsi="Times New Roman" w:cs="Times New Roman"/>
        </w:rPr>
        <w:t xml:space="preserve">NASH, M., “Dos décadas de historia de las mujeres en España. Una consideración”, </w:t>
      </w:r>
      <w:r>
        <w:rPr>
          <w:rFonts w:ascii="Times New Roman" w:hAnsi="Times New Roman" w:cs="Times New Roman"/>
          <w:i/>
        </w:rPr>
        <w:t xml:space="preserve">Historia Social, </w:t>
      </w:r>
      <w:r w:rsidRPr="00C822B8">
        <w:rPr>
          <w:rFonts w:ascii="Times New Roman" w:hAnsi="Times New Roman" w:cs="Times New Roman"/>
        </w:rPr>
        <w:t>núm. 9</w:t>
      </w:r>
      <w:r>
        <w:rPr>
          <w:rFonts w:ascii="Times New Roman" w:hAnsi="Times New Roman" w:cs="Times New Roman"/>
        </w:rPr>
        <w:t>, 1991, pp. 138.</w:t>
      </w:r>
    </w:p>
  </w:footnote>
  <w:footnote w:id="4">
    <w:p w:rsidR="00CE38F9" w:rsidRPr="009D4554" w:rsidRDefault="00CE38F9" w:rsidP="009D4554">
      <w:pPr>
        <w:pStyle w:val="Textonotapie"/>
        <w:jc w:val="both"/>
        <w:rPr>
          <w:rFonts w:ascii="Times New Roman" w:hAnsi="Times New Roman" w:cs="Times New Roman"/>
        </w:rPr>
      </w:pPr>
      <w:r>
        <w:rPr>
          <w:rStyle w:val="Refdenotaalpie"/>
        </w:rPr>
        <w:footnoteRef/>
      </w:r>
      <w:r>
        <w:t xml:space="preserve"> </w:t>
      </w:r>
      <w:r>
        <w:rPr>
          <w:rFonts w:ascii="Times New Roman" w:hAnsi="Times New Roman" w:cs="Times New Roman"/>
        </w:rPr>
        <w:t xml:space="preserve">DOÑA, J., </w:t>
      </w:r>
      <w:r>
        <w:rPr>
          <w:rFonts w:ascii="Times New Roman" w:hAnsi="Times New Roman" w:cs="Times New Roman"/>
          <w:i/>
        </w:rPr>
        <w:t>Desde la noche y la niebla (mujeres en las cárceles franquistas),</w:t>
      </w:r>
      <w:r>
        <w:rPr>
          <w:rFonts w:ascii="Times New Roman" w:hAnsi="Times New Roman" w:cs="Times New Roman"/>
        </w:rPr>
        <w:t xml:space="preserve"> Ediciones de la Torre, Madrid, 1978 y CUEVAS, T., </w:t>
      </w:r>
      <w:r>
        <w:rPr>
          <w:rFonts w:ascii="Times New Roman" w:hAnsi="Times New Roman" w:cs="Times New Roman"/>
          <w:i/>
        </w:rPr>
        <w:t xml:space="preserve">Cárcel de mujeres (1939-1945), </w:t>
      </w:r>
      <w:proofErr w:type="spellStart"/>
      <w:r>
        <w:rPr>
          <w:rFonts w:ascii="Times New Roman" w:hAnsi="Times New Roman" w:cs="Times New Roman"/>
        </w:rPr>
        <w:t>Sirocco</w:t>
      </w:r>
      <w:proofErr w:type="spellEnd"/>
      <w:r>
        <w:rPr>
          <w:rFonts w:ascii="Times New Roman" w:hAnsi="Times New Roman" w:cs="Times New Roman"/>
        </w:rPr>
        <w:t xml:space="preserve"> </w:t>
      </w:r>
      <w:proofErr w:type="spellStart"/>
      <w:r>
        <w:rPr>
          <w:rFonts w:ascii="Times New Roman" w:hAnsi="Times New Roman" w:cs="Times New Roman"/>
        </w:rPr>
        <w:t>Books</w:t>
      </w:r>
      <w:proofErr w:type="spellEnd"/>
      <w:r>
        <w:rPr>
          <w:rFonts w:ascii="Times New Roman" w:hAnsi="Times New Roman" w:cs="Times New Roman"/>
        </w:rPr>
        <w:t>, Barcelona, 1985, entre otros</w:t>
      </w:r>
    </w:p>
  </w:footnote>
  <w:footnote w:id="5">
    <w:p w:rsidR="00CE38F9" w:rsidRPr="009D4554" w:rsidRDefault="00CE38F9">
      <w:pPr>
        <w:pStyle w:val="Textonotapie"/>
        <w:rPr>
          <w:rFonts w:ascii="Times New Roman" w:hAnsi="Times New Roman" w:cs="Times New Roman"/>
        </w:rPr>
      </w:pPr>
      <w:r w:rsidRPr="009D4554">
        <w:rPr>
          <w:rStyle w:val="Refdenotaalpie"/>
          <w:rFonts w:ascii="Times New Roman" w:hAnsi="Times New Roman" w:cs="Times New Roman"/>
        </w:rPr>
        <w:footnoteRef/>
      </w:r>
      <w:r w:rsidRPr="009D4554">
        <w:rPr>
          <w:rFonts w:ascii="Times New Roman" w:hAnsi="Times New Roman" w:cs="Times New Roman"/>
        </w:rPr>
        <w:t xml:space="preserve"> NASH, M., </w:t>
      </w:r>
      <w:proofErr w:type="spellStart"/>
      <w:r w:rsidRPr="009D4554">
        <w:rPr>
          <w:rFonts w:ascii="Times New Roman" w:hAnsi="Times New Roman" w:cs="Times New Roman"/>
          <w:i/>
        </w:rPr>
        <w:t>op</w:t>
      </w:r>
      <w:proofErr w:type="spellEnd"/>
      <w:r w:rsidRPr="009D4554">
        <w:rPr>
          <w:rFonts w:ascii="Times New Roman" w:hAnsi="Times New Roman" w:cs="Times New Roman"/>
          <w:i/>
        </w:rPr>
        <w:t xml:space="preserve">. cit., </w:t>
      </w:r>
      <w:r>
        <w:rPr>
          <w:rFonts w:ascii="Times New Roman" w:hAnsi="Times New Roman" w:cs="Times New Roman"/>
        </w:rPr>
        <w:t>pp. 142-143.</w:t>
      </w:r>
    </w:p>
  </w:footnote>
  <w:footnote w:id="6">
    <w:p w:rsidR="00CE38F9" w:rsidRPr="009542BB" w:rsidRDefault="00CE38F9" w:rsidP="009542BB">
      <w:pPr>
        <w:pStyle w:val="Textonotapie"/>
        <w:jc w:val="both"/>
        <w:rPr>
          <w:rFonts w:ascii="Times New Roman" w:hAnsi="Times New Roman" w:cs="Times New Roman"/>
        </w:rPr>
      </w:pPr>
      <w:r w:rsidRPr="009542BB">
        <w:rPr>
          <w:rStyle w:val="Refdenotaalpie"/>
          <w:rFonts w:ascii="Times New Roman" w:hAnsi="Times New Roman" w:cs="Times New Roman"/>
        </w:rPr>
        <w:footnoteRef/>
      </w:r>
      <w:r w:rsidRPr="009542BB">
        <w:rPr>
          <w:rFonts w:ascii="Times New Roman" w:hAnsi="Times New Roman" w:cs="Times New Roman"/>
        </w:rPr>
        <w:t xml:space="preserve"> RODRÍGUEZ LÓPEZ</w:t>
      </w:r>
      <w:r>
        <w:rPr>
          <w:rFonts w:ascii="Times New Roman" w:hAnsi="Times New Roman" w:cs="Times New Roman"/>
        </w:rPr>
        <w:t>, S., “La historiografía de las mujeres en la guerra civil española. Una revisión”, en SANTO TOMÁS, M. y otros (</w:t>
      </w:r>
      <w:proofErr w:type="spellStart"/>
      <w:r>
        <w:rPr>
          <w:rFonts w:ascii="Times New Roman" w:hAnsi="Times New Roman" w:cs="Times New Roman"/>
        </w:rPr>
        <w:t>Coords</w:t>
      </w:r>
      <w:proofErr w:type="spellEnd"/>
      <w:r>
        <w:rPr>
          <w:rFonts w:ascii="Times New Roman" w:hAnsi="Times New Roman" w:cs="Times New Roman"/>
        </w:rPr>
        <w:t xml:space="preserve">.), </w:t>
      </w:r>
      <w:r>
        <w:rPr>
          <w:rFonts w:ascii="Times New Roman" w:hAnsi="Times New Roman" w:cs="Times New Roman"/>
          <w:i/>
        </w:rPr>
        <w:t xml:space="preserve">La historia de las mujeres. Una revisión historiográfica, </w:t>
      </w:r>
      <w:r>
        <w:rPr>
          <w:rFonts w:ascii="Times New Roman" w:hAnsi="Times New Roman" w:cs="Times New Roman"/>
        </w:rPr>
        <w:t>Universidad de Valladolid, Valladolid, p. 427.</w:t>
      </w:r>
    </w:p>
  </w:footnote>
  <w:footnote w:id="7">
    <w:p w:rsidR="00CE38F9" w:rsidRPr="0037644D" w:rsidRDefault="00CE38F9" w:rsidP="0037644D">
      <w:pPr>
        <w:pStyle w:val="Textonotapie"/>
        <w:jc w:val="both"/>
        <w:rPr>
          <w:rFonts w:ascii="Times New Roman" w:hAnsi="Times New Roman" w:cs="Times New Roman"/>
        </w:rPr>
      </w:pPr>
      <w:r w:rsidRPr="0037644D">
        <w:rPr>
          <w:rStyle w:val="Refdenotaalpie"/>
          <w:rFonts w:ascii="Times New Roman" w:hAnsi="Times New Roman" w:cs="Times New Roman"/>
        </w:rPr>
        <w:footnoteRef/>
      </w:r>
      <w:r w:rsidRPr="0037644D">
        <w:rPr>
          <w:rFonts w:ascii="Times New Roman" w:hAnsi="Times New Roman" w:cs="Times New Roman"/>
        </w:rPr>
        <w:t xml:space="preserve"> VINYES, R., </w:t>
      </w:r>
      <w:r>
        <w:rPr>
          <w:rFonts w:ascii="Times New Roman" w:hAnsi="Times New Roman" w:cs="Times New Roman"/>
          <w:i/>
        </w:rPr>
        <w:t xml:space="preserve">Irredentas. Las presas políticas y sus hijos en las cárceles franquistas, </w:t>
      </w:r>
      <w:proofErr w:type="spellStart"/>
      <w:r w:rsidR="007A0CCA">
        <w:rPr>
          <w:rFonts w:ascii="Times New Roman" w:hAnsi="Times New Roman" w:cs="Times New Roman"/>
        </w:rPr>
        <w:t>Plaza&amp;Janés</w:t>
      </w:r>
      <w:proofErr w:type="spellEnd"/>
      <w:r w:rsidR="007A0CCA">
        <w:rPr>
          <w:rFonts w:ascii="Times New Roman" w:hAnsi="Times New Roman" w:cs="Times New Roman"/>
        </w:rPr>
        <w:t>, Barcelona, 2004;</w:t>
      </w:r>
      <w:r>
        <w:rPr>
          <w:rFonts w:ascii="Times New Roman" w:hAnsi="Times New Roman" w:cs="Times New Roman"/>
        </w:rPr>
        <w:t xml:space="preserve"> CALCERRADA, J. y ORTIZ, A., </w:t>
      </w:r>
      <w:r>
        <w:rPr>
          <w:rFonts w:ascii="Times New Roman" w:hAnsi="Times New Roman" w:cs="Times New Roman"/>
          <w:i/>
        </w:rPr>
        <w:t xml:space="preserve">Julia Manzanal “Comisario Chico”, </w:t>
      </w:r>
      <w:r>
        <w:rPr>
          <w:rFonts w:ascii="Times New Roman" w:hAnsi="Times New Roman" w:cs="Times New Roman"/>
        </w:rPr>
        <w:t xml:space="preserve">Fundación Domingo </w:t>
      </w:r>
      <w:proofErr w:type="spellStart"/>
      <w:r>
        <w:rPr>
          <w:rFonts w:ascii="Times New Roman" w:hAnsi="Times New Roman" w:cs="Times New Roman"/>
        </w:rPr>
        <w:t>Ma</w:t>
      </w:r>
      <w:r w:rsidR="007A0CCA">
        <w:rPr>
          <w:rFonts w:ascii="Times New Roman" w:hAnsi="Times New Roman" w:cs="Times New Roman"/>
        </w:rPr>
        <w:t>lagón</w:t>
      </w:r>
      <w:proofErr w:type="spellEnd"/>
      <w:r w:rsidR="007A0CCA">
        <w:rPr>
          <w:rFonts w:ascii="Times New Roman" w:hAnsi="Times New Roman" w:cs="Times New Roman"/>
        </w:rPr>
        <w:t xml:space="preserve">, Madrid, 2001; GUINARD i FERÓN, D., </w:t>
      </w:r>
      <w:r w:rsidR="007A0CCA">
        <w:rPr>
          <w:rFonts w:ascii="Times New Roman" w:hAnsi="Times New Roman" w:cs="Times New Roman"/>
          <w:i/>
        </w:rPr>
        <w:t xml:space="preserve">Matilde Landa: el compromiso y la tragedia, 1904-1942, </w:t>
      </w:r>
      <w:r w:rsidR="007A0CCA">
        <w:rPr>
          <w:rFonts w:ascii="Times New Roman" w:hAnsi="Times New Roman" w:cs="Times New Roman"/>
        </w:rPr>
        <w:t>Universidad de Valencia, Valencia, 2023</w:t>
      </w:r>
      <w:proofErr w:type="gramStart"/>
      <w:r w:rsidR="007A0CCA">
        <w:rPr>
          <w:rFonts w:ascii="Times New Roman" w:hAnsi="Times New Roman" w:cs="Times New Roman"/>
        </w:rPr>
        <w:t>.</w:t>
      </w:r>
      <w:r>
        <w:rPr>
          <w:rFonts w:ascii="Times New Roman" w:hAnsi="Times New Roman" w:cs="Times New Roman"/>
        </w:rPr>
        <w:t>.</w:t>
      </w:r>
      <w:proofErr w:type="gramEnd"/>
    </w:p>
  </w:footnote>
  <w:footnote w:id="8">
    <w:p w:rsidR="00CE38F9" w:rsidRPr="00AC1539" w:rsidRDefault="00CE38F9" w:rsidP="00827F23">
      <w:pPr>
        <w:pStyle w:val="Textonotapie"/>
        <w:jc w:val="both"/>
        <w:rPr>
          <w:rFonts w:ascii="Times New Roman" w:hAnsi="Times New Roman" w:cs="Times New Roman"/>
        </w:rPr>
      </w:pPr>
      <w:r w:rsidRPr="00AC1539">
        <w:rPr>
          <w:rStyle w:val="Refdenotaalpie"/>
          <w:rFonts w:ascii="Times New Roman" w:hAnsi="Times New Roman" w:cs="Times New Roman"/>
        </w:rPr>
        <w:footnoteRef/>
      </w:r>
      <w:r w:rsidRPr="00AC1539">
        <w:rPr>
          <w:rFonts w:ascii="Times New Roman" w:hAnsi="Times New Roman" w:cs="Times New Roman"/>
        </w:rPr>
        <w:t xml:space="preserve"> BARRANQUERO TEXEIRA, E. (Ed.), </w:t>
      </w:r>
      <w:r w:rsidRPr="00AC1539">
        <w:rPr>
          <w:rFonts w:ascii="Times New Roman" w:hAnsi="Times New Roman" w:cs="Times New Roman"/>
          <w:i/>
        </w:rPr>
        <w:t xml:space="preserve">Mujeres en la Guerra Civil y el Franquismo: violencia, silencio y memoria de los tiempos difíciles, </w:t>
      </w:r>
      <w:r w:rsidRPr="00AC1539">
        <w:rPr>
          <w:rFonts w:ascii="Times New Roman" w:hAnsi="Times New Roman" w:cs="Times New Roman"/>
        </w:rPr>
        <w:t xml:space="preserve">Diputación de Málaga, Málaga, 2010 y PRIETO BORREGO, L. (Ed.), </w:t>
      </w:r>
      <w:r w:rsidRPr="00AC1539">
        <w:rPr>
          <w:rFonts w:ascii="Times New Roman" w:hAnsi="Times New Roman" w:cs="Times New Roman"/>
          <w:i/>
        </w:rPr>
        <w:t xml:space="preserve">Encuadramiento femenino, socialización y cultura en el franquismo, </w:t>
      </w:r>
      <w:r w:rsidRPr="00AC1539">
        <w:rPr>
          <w:rFonts w:ascii="Times New Roman" w:hAnsi="Times New Roman" w:cs="Times New Roman"/>
        </w:rPr>
        <w:t>Diputación de Málaga, Málaga, 2010</w:t>
      </w:r>
      <w:r>
        <w:rPr>
          <w:rFonts w:ascii="Times New Roman" w:hAnsi="Times New Roman" w:cs="Times New Roman"/>
        </w:rPr>
        <w:t>.</w:t>
      </w:r>
    </w:p>
  </w:footnote>
  <w:footnote w:id="9">
    <w:p w:rsidR="00CE38F9" w:rsidRPr="00806637" w:rsidRDefault="00CE38F9" w:rsidP="00827F23">
      <w:pPr>
        <w:pStyle w:val="Textonotapie"/>
        <w:jc w:val="both"/>
        <w:rPr>
          <w:rFonts w:ascii="Times New Roman" w:hAnsi="Times New Roman" w:cs="Times New Roman"/>
        </w:rPr>
      </w:pPr>
      <w:r>
        <w:rPr>
          <w:rStyle w:val="Refdenotaalpie"/>
        </w:rPr>
        <w:footnoteRef/>
      </w:r>
      <w:r>
        <w:t xml:space="preserve"> </w:t>
      </w:r>
      <w:r>
        <w:rPr>
          <w:rFonts w:ascii="Times New Roman" w:hAnsi="Times New Roman" w:cs="Times New Roman"/>
        </w:rPr>
        <w:t xml:space="preserve">MARTÍNEZ RUS, A., “Mujeres y guerra civil. Un balance historiográfico”, </w:t>
      </w:r>
      <w:proofErr w:type="spellStart"/>
      <w:r>
        <w:rPr>
          <w:rFonts w:ascii="Times New Roman" w:hAnsi="Times New Roman" w:cs="Times New Roman"/>
          <w:i/>
        </w:rPr>
        <w:t>Stvdia</w:t>
      </w:r>
      <w:proofErr w:type="spellEnd"/>
      <w:r>
        <w:rPr>
          <w:rFonts w:ascii="Times New Roman" w:hAnsi="Times New Roman" w:cs="Times New Roman"/>
          <w:i/>
        </w:rPr>
        <w:t xml:space="preserve"> Histórica. Historia Contemporánea, </w:t>
      </w:r>
      <w:r>
        <w:rPr>
          <w:rFonts w:ascii="Times New Roman" w:hAnsi="Times New Roman" w:cs="Times New Roman"/>
        </w:rPr>
        <w:t>núm. 32, 2014, pp. 333-343.</w:t>
      </w:r>
    </w:p>
  </w:footnote>
  <w:footnote w:id="10">
    <w:p w:rsidR="00CE38F9" w:rsidRPr="006E36EE" w:rsidRDefault="00CE38F9" w:rsidP="00827F23">
      <w:pPr>
        <w:pStyle w:val="Textonotapie"/>
        <w:jc w:val="both"/>
        <w:rPr>
          <w:rFonts w:ascii="Times New Roman" w:hAnsi="Times New Roman" w:cs="Times New Roman"/>
        </w:rPr>
      </w:pPr>
      <w:r>
        <w:rPr>
          <w:rStyle w:val="Refdenotaalpie"/>
        </w:rPr>
        <w:footnoteRef/>
      </w:r>
      <w:r>
        <w:t xml:space="preserve"> </w:t>
      </w:r>
      <w:r>
        <w:rPr>
          <w:rFonts w:ascii="Times New Roman" w:hAnsi="Times New Roman" w:cs="Times New Roman"/>
        </w:rPr>
        <w:t xml:space="preserve">NASH, M., </w:t>
      </w:r>
      <w:r>
        <w:rPr>
          <w:rFonts w:ascii="Times New Roman" w:hAnsi="Times New Roman" w:cs="Times New Roman"/>
          <w:i/>
        </w:rPr>
        <w:t xml:space="preserve">Rojas. La mujer republicana en la Guerra Civil, </w:t>
      </w:r>
      <w:r>
        <w:rPr>
          <w:rFonts w:ascii="Times New Roman" w:hAnsi="Times New Roman" w:cs="Times New Roman"/>
        </w:rPr>
        <w:t xml:space="preserve">Taurus, Madrid, 2006 y GINARD i </w:t>
      </w:r>
      <w:r w:rsidRPr="006E36EE">
        <w:rPr>
          <w:rFonts w:ascii="Times New Roman" w:hAnsi="Times New Roman" w:cs="Times New Roman"/>
        </w:rPr>
        <w:t>FERÓN</w:t>
      </w:r>
      <w:r w:rsidRPr="006E36EE">
        <w:rPr>
          <w:rFonts w:ascii="Times New Roman" w:hAnsi="Times New Roman" w:cs="Times New Roman"/>
          <w:i/>
        </w:rPr>
        <w:t xml:space="preserve">, </w:t>
      </w:r>
      <w:r w:rsidRPr="006E36EE">
        <w:rPr>
          <w:rFonts w:ascii="Times New Roman" w:hAnsi="Times New Roman" w:cs="Times New Roman"/>
        </w:rPr>
        <w:t xml:space="preserve">D. (Coord.), </w:t>
      </w:r>
      <w:r w:rsidRPr="006E36EE">
        <w:rPr>
          <w:rFonts w:ascii="Times New Roman" w:hAnsi="Times New Roman" w:cs="Times New Roman"/>
          <w:i/>
        </w:rPr>
        <w:t xml:space="preserve">Dona, Guerra Civil y </w:t>
      </w:r>
      <w:proofErr w:type="spellStart"/>
      <w:r w:rsidRPr="006E36EE">
        <w:rPr>
          <w:rFonts w:ascii="Times New Roman" w:hAnsi="Times New Roman" w:cs="Times New Roman"/>
          <w:i/>
        </w:rPr>
        <w:t>franquisme</w:t>
      </w:r>
      <w:proofErr w:type="spellEnd"/>
      <w:r w:rsidRPr="006E36EE">
        <w:rPr>
          <w:rFonts w:ascii="Times New Roman" w:hAnsi="Times New Roman" w:cs="Times New Roman"/>
          <w:i/>
        </w:rPr>
        <w:t xml:space="preserve">, </w:t>
      </w:r>
      <w:proofErr w:type="spellStart"/>
      <w:r w:rsidRPr="006E36EE">
        <w:rPr>
          <w:rFonts w:ascii="Times New Roman" w:hAnsi="Times New Roman" w:cs="Times New Roman"/>
        </w:rPr>
        <w:t>Gobern</w:t>
      </w:r>
      <w:proofErr w:type="spellEnd"/>
      <w:r w:rsidRPr="006E36EE">
        <w:rPr>
          <w:rFonts w:ascii="Times New Roman" w:hAnsi="Times New Roman" w:cs="Times New Roman"/>
        </w:rPr>
        <w:t xml:space="preserve"> Balear, Palma, 2011.</w:t>
      </w:r>
    </w:p>
  </w:footnote>
  <w:footnote w:id="11">
    <w:p w:rsidR="00CE38F9" w:rsidRPr="006E36EE" w:rsidRDefault="00CE38F9" w:rsidP="00827F23">
      <w:pPr>
        <w:pStyle w:val="Textonotapie"/>
        <w:jc w:val="both"/>
        <w:rPr>
          <w:rFonts w:ascii="Times New Roman" w:hAnsi="Times New Roman" w:cs="Times New Roman"/>
        </w:rPr>
      </w:pPr>
      <w:r w:rsidRPr="006E36EE">
        <w:rPr>
          <w:rStyle w:val="Refdenotaalpie"/>
          <w:rFonts w:ascii="Times New Roman" w:hAnsi="Times New Roman" w:cs="Times New Roman"/>
        </w:rPr>
        <w:footnoteRef/>
      </w:r>
      <w:r w:rsidRPr="006E36EE">
        <w:rPr>
          <w:rFonts w:ascii="Times New Roman" w:hAnsi="Times New Roman" w:cs="Times New Roman"/>
        </w:rPr>
        <w:t xml:space="preserve"> CENARRO LAGUNAS, A., “Movilización femenina para una guerra total (1936-1939). Un ejemplo comparativo”, </w:t>
      </w:r>
      <w:r w:rsidRPr="006E36EE">
        <w:rPr>
          <w:rFonts w:ascii="Times New Roman" w:hAnsi="Times New Roman" w:cs="Times New Roman"/>
          <w:i/>
        </w:rPr>
        <w:t>Historia y Política,</w:t>
      </w:r>
      <w:r w:rsidRPr="006E36EE">
        <w:rPr>
          <w:rFonts w:ascii="Times New Roman" w:hAnsi="Times New Roman" w:cs="Times New Roman"/>
        </w:rPr>
        <w:t xml:space="preserve"> núm. 16, pp. 159-182.</w:t>
      </w:r>
    </w:p>
  </w:footnote>
  <w:footnote w:id="12">
    <w:p w:rsidR="00CE38F9" w:rsidRPr="00C24EEC" w:rsidRDefault="00CE38F9" w:rsidP="00C24EEC">
      <w:pPr>
        <w:pStyle w:val="Textonotapie"/>
        <w:jc w:val="both"/>
        <w:rPr>
          <w:rFonts w:ascii="Times New Roman" w:hAnsi="Times New Roman" w:cs="Times New Roman"/>
        </w:rPr>
      </w:pPr>
      <w:r w:rsidRPr="00C24EEC">
        <w:rPr>
          <w:rStyle w:val="Refdenotaalpie"/>
          <w:rFonts w:ascii="Times New Roman" w:hAnsi="Times New Roman" w:cs="Times New Roman"/>
        </w:rPr>
        <w:footnoteRef/>
      </w:r>
      <w:r w:rsidRPr="00C24EEC">
        <w:rPr>
          <w:rFonts w:ascii="Times New Roman" w:hAnsi="Times New Roman" w:cs="Times New Roman"/>
        </w:rPr>
        <w:t xml:space="preserve"> JOLY, M., “Las violencias sexuadas de la guerra civil española, paradigma para una lectura cultural del conflicto</w:t>
      </w:r>
      <w:r>
        <w:rPr>
          <w:rFonts w:ascii="Times New Roman" w:hAnsi="Times New Roman" w:cs="Times New Roman"/>
        </w:rPr>
        <w:t xml:space="preserve">”, </w:t>
      </w:r>
      <w:r>
        <w:rPr>
          <w:rFonts w:ascii="Times New Roman" w:hAnsi="Times New Roman" w:cs="Times New Roman"/>
          <w:i/>
        </w:rPr>
        <w:t xml:space="preserve">Historia Social, </w:t>
      </w:r>
      <w:r>
        <w:rPr>
          <w:rFonts w:ascii="Times New Roman" w:hAnsi="Times New Roman" w:cs="Times New Roman"/>
        </w:rPr>
        <w:t>núm. 61, 2008, pp. 89-1007.</w:t>
      </w:r>
    </w:p>
  </w:footnote>
  <w:footnote w:id="13">
    <w:p w:rsidR="00CE38F9" w:rsidRPr="00C24EEC" w:rsidRDefault="00CE38F9">
      <w:pPr>
        <w:pStyle w:val="Textonotapie"/>
      </w:pPr>
      <w:r>
        <w:rPr>
          <w:rStyle w:val="Refdenotaalpie"/>
        </w:rPr>
        <w:footnoteRef/>
      </w:r>
      <w:r>
        <w:t xml:space="preserve"> </w:t>
      </w:r>
      <w:r w:rsidRPr="00101FEF">
        <w:rPr>
          <w:rFonts w:ascii="Times New Roman" w:hAnsi="Times New Roman" w:cs="Times New Roman"/>
        </w:rPr>
        <w:t xml:space="preserve">GONZÁLEZ DURO, E., </w:t>
      </w:r>
      <w:r w:rsidRPr="00101FEF">
        <w:rPr>
          <w:rFonts w:ascii="Times New Roman" w:hAnsi="Times New Roman" w:cs="Times New Roman"/>
          <w:i/>
        </w:rPr>
        <w:t xml:space="preserve">Las rapadas. El franquismo contra la mujer, </w:t>
      </w:r>
      <w:r w:rsidRPr="00101FEF">
        <w:rPr>
          <w:rFonts w:ascii="Times New Roman" w:hAnsi="Times New Roman" w:cs="Times New Roman"/>
        </w:rPr>
        <w:t xml:space="preserve">Siglo XXI, </w:t>
      </w:r>
      <w:r>
        <w:rPr>
          <w:rFonts w:ascii="Times New Roman" w:hAnsi="Times New Roman" w:cs="Times New Roman"/>
        </w:rPr>
        <w:t xml:space="preserve">Madrid, </w:t>
      </w:r>
      <w:r w:rsidRPr="00101FEF">
        <w:rPr>
          <w:rFonts w:ascii="Times New Roman" w:hAnsi="Times New Roman" w:cs="Times New Roman"/>
        </w:rPr>
        <w:t>2012</w:t>
      </w:r>
      <w:r>
        <w:t>.</w:t>
      </w:r>
    </w:p>
  </w:footnote>
  <w:footnote w:id="14">
    <w:p w:rsidR="00CE38F9" w:rsidRPr="0073475A" w:rsidRDefault="00CE38F9" w:rsidP="0073475A">
      <w:pPr>
        <w:pStyle w:val="Textonotapie"/>
        <w:jc w:val="both"/>
        <w:rPr>
          <w:rFonts w:ascii="Times New Roman" w:hAnsi="Times New Roman" w:cs="Times New Roman"/>
        </w:rPr>
      </w:pPr>
      <w:r w:rsidRPr="0073475A">
        <w:rPr>
          <w:rStyle w:val="Refdenotaalpie"/>
          <w:rFonts w:ascii="Times New Roman" w:hAnsi="Times New Roman" w:cs="Times New Roman"/>
        </w:rPr>
        <w:footnoteRef/>
      </w:r>
      <w:r w:rsidRPr="0073475A">
        <w:rPr>
          <w:rFonts w:ascii="Times New Roman" w:hAnsi="Times New Roman" w:cs="Times New Roman"/>
        </w:rPr>
        <w:t xml:space="preserve"> VIRGILI, F., “Víctimas culpables y silenciosas. Memoria de las mujeres rapadas en la Francia de la posguerra”, en ARÓSTEGUI, J. y GODICHEA</w:t>
      </w:r>
      <w:r>
        <w:rPr>
          <w:rFonts w:ascii="Times New Roman" w:hAnsi="Times New Roman" w:cs="Times New Roman"/>
        </w:rPr>
        <w:t>U</w:t>
      </w:r>
      <w:r w:rsidRPr="0073475A">
        <w:rPr>
          <w:rFonts w:ascii="Times New Roman" w:hAnsi="Times New Roman" w:cs="Times New Roman"/>
        </w:rPr>
        <w:t xml:space="preserve">, F., </w:t>
      </w:r>
      <w:r>
        <w:rPr>
          <w:rFonts w:ascii="Times New Roman" w:hAnsi="Times New Roman" w:cs="Times New Roman"/>
          <w:i/>
        </w:rPr>
        <w:t xml:space="preserve">Guerra Civil: mito y memoria, </w:t>
      </w:r>
      <w:r>
        <w:rPr>
          <w:rFonts w:ascii="Times New Roman" w:hAnsi="Times New Roman" w:cs="Times New Roman"/>
        </w:rPr>
        <w:t>Marcial Pons, Madrid, 2006, pp. 361-172.</w:t>
      </w:r>
    </w:p>
  </w:footnote>
  <w:footnote w:id="15">
    <w:p w:rsidR="00CE38F9" w:rsidRPr="00B558C8" w:rsidRDefault="00CE38F9" w:rsidP="00B558C8">
      <w:pPr>
        <w:pStyle w:val="Textonotapie"/>
        <w:jc w:val="both"/>
        <w:rPr>
          <w:rFonts w:ascii="Times New Roman" w:hAnsi="Times New Roman" w:cs="Times New Roman"/>
        </w:rPr>
      </w:pPr>
      <w:r w:rsidRPr="00B558C8">
        <w:rPr>
          <w:rStyle w:val="Refdenotaalpie"/>
          <w:rFonts w:ascii="Times New Roman" w:hAnsi="Times New Roman" w:cs="Times New Roman"/>
        </w:rPr>
        <w:footnoteRef/>
      </w:r>
      <w:r w:rsidRPr="00B558C8">
        <w:rPr>
          <w:rFonts w:ascii="Times New Roman" w:hAnsi="Times New Roman" w:cs="Times New Roman"/>
        </w:rPr>
        <w:t xml:space="preserve"> SÁNCHEZ, P., </w:t>
      </w:r>
      <w:r w:rsidRPr="00B558C8">
        <w:rPr>
          <w:rFonts w:ascii="Times New Roman" w:hAnsi="Times New Roman" w:cs="Times New Roman"/>
          <w:i/>
        </w:rPr>
        <w:t xml:space="preserve">La represión de las mujeres en Andalucía, </w:t>
      </w:r>
      <w:r w:rsidRPr="00B558C8">
        <w:rPr>
          <w:rFonts w:ascii="Times New Roman" w:hAnsi="Times New Roman" w:cs="Times New Roman"/>
        </w:rPr>
        <w:t>Ayuntamiento de Sevilla-Real Alcázar, Sevilla, 2008.</w:t>
      </w:r>
    </w:p>
  </w:footnote>
  <w:footnote w:id="16">
    <w:p w:rsidR="00CE38F9" w:rsidRPr="00F96276" w:rsidRDefault="00CE38F9" w:rsidP="00F96276">
      <w:pPr>
        <w:pStyle w:val="Textonotapie"/>
        <w:jc w:val="both"/>
        <w:rPr>
          <w:rFonts w:ascii="Times New Roman" w:hAnsi="Times New Roman" w:cs="Times New Roman"/>
        </w:rPr>
      </w:pPr>
      <w:r w:rsidRPr="00F96276">
        <w:rPr>
          <w:rStyle w:val="Refdenotaalpie"/>
          <w:rFonts w:ascii="Times New Roman" w:hAnsi="Times New Roman" w:cs="Times New Roman"/>
        </w:rPr>
        <w:footnoteRef/>
      </w:r>
      <w:r w:rsidRPr="00F96276">
        <w:rPr>
          <w:rFonts w:ascii="Times New Roman" w:hAnsi="Times New Roman" w:cs="Times New Roman"/>
        </w:rPr>
        <w:t xml:space="preserve"> EGIDO LEÓN, Á. y MONTES, J.J. (Eds.), </w:t>
      </w:r>
      <w:r w:rsidRPr="00F96276">
        <w:rPr>
          <w:rFonts w:ascii="Times New Roman" w:hAnsi="Times New Roman" w:cs="Times New Roman"/>
          <w:i/>
        </w:rPr>
        <w:t xml:space="preserve">Mujer, franquismo y represión. Una deuda histórica, </w:t>
      </w:r>
      <w:r w:rsidRPr="00F96276">
        <w:rPr>
          <w:rFonts w:ascii="Times New Roman" w:hAnsi="Times New Roman" w:cs="Times New Roman"/>
        </w:rPr>
        <w:t xml:space="preserve">Sanz y Torres, Madrid, 2018; PRADA, J. (Ed.), </w:t>
      </w:r>
      <w:r w:rsidRPr="00F96276">
        <w:rPr>
          <w:rFonts w:ascii="Times New Roman" w:hAnsi="Times New Roman" w:cs="Times New Roman"/>
          <w:i/>
        </w:rPr>
        <w:t xml:space="preserve">Franquismo y represión de género en Galicia, </w:t>
      </w:r>
      <w:r w:rsidRPr="00F96276">
        <w:rPr>
          <w:rFonts w:ascii="Times New Roman" w:hAnsi="Times New Roman" w:cs="Times New Roman"/>
        </w:rPr>
        <w:t>Catarata, Madrid, 2013</w:t>
      </w:r>
      <w:r>
        <w:rPr>
          <w:rFonts w:ascii="Times New Roman" w:hAnsi="Times New Roman" w:cs="Times New Roman"/>
        </w:rPr>
        <w:t xml:space="preserve"> o SÁIZ VIADERO, J.R., </w:t>
      </w:r>
      <w:r>
        <w:rPr>
          <w:rFonts w:ascii="Times New Roman" w:hAnsi="Times New Roman" w:cs="Times New Roman"/>
          <w:i/>
        </w:rPr>
        <w:t xml:space="preserve">Mujer, república, guerra civil y represión en Cantabria, </w:t>
      </w:r>
      <w:proofErr w:type="spellStart"/>
      <w:r>
        <w:rPr>
          <w:rFonts w:ascii="Times New Roman" w:hAnsi="Times New Roman" w:cs="Times New Roman"/>
        </w:rPr>
        <w:t>Librucos</w:t>
      </w:r>
      <w:proofErr w:type="spellEnd"/>
      <w:r>
        <w:rPr>
          <w:rFonts w:ascii="Times New Roman" w:hAnsi="Times New Roman" w:cs="Times New Roman"/>
        </w:rPr>
        <w:t>, Santander, 2016, entre otros.</w:t>
      </w:r>
    </w:p>
  </w:footnote>
  <w:footnote w:id="17">
    <w:p w:rsidR="00CE38F9" w:rsidRPr="001904AD" w:rsidRDefault="00CE38F9" w:rsidP="00402FD3">
      <w:pPr>
        <w:pStyle w:val="Textonotapie"/>
        <w:jc w:val="both"/>
        <w:rPr>
          <w:rFonts w:ascii="Times New Roman" w:hAnsi="Times New Roman" w:cs="Times New Roman"/>
        </w:rPr>
      </w:pPr>
      <w:r w:rsidRPr="00F96276">
        <w:rPr>
          <w:rStyle w:val="Refdenotaalpie"/>
          <w:rFonts w:ascii="Times New Roman" w:hAnsi="Times New Roman" w:cs="Times New Roman"/>
        </w:rPr>
        <w:footnoteRef/>
      </w:r>
      <w:r w:rsidRPr="00F96276">
        <w:rPr>
          <w:rFonts w:ascii="Times New Roman" w:hAnsi="Times New Roman" w:cs="Times New Roman"/>
        </w:rPr>
        <w:t xml:space="preserve"> RODRÍGUEZ PADILLA, E.</w:t>
      </w:r>
      <w:r>
        <w:rPr>
          <w:rFonts w:ascii="Times New Roman" w:hAnsi="Times New Roman" w:cs="Times New Roman"/>
        </w:rPr>
        <w:t xml:space="preserve">, </w:t>
      </w:r>
      <w:r>
        <w:rPr>
          <w:rFonts w:ascii="Times New Roman" w:hAnsi="Times New Roman" w:cs="Times New Roman"/>
          <w:i/>
        </w:rPr>
        <w:t xml:space="preserve">Mujeres de Almería. Condenadas a muerte o reclusión perpetua tras la guerra civil, 1939-1945, </w:t>
      </w:r>
      <w:proofErr w:type="spellStart"/>
      <w:r>
        <w:rPr>
          <w:rFonts w:ascii="Times New Roman" w:hAnsi="Times New Roman" w:cs="Times New Roman"/>
        </w:rPr>
        <w:t>Árraez</w:t>
      </w:r>
      <w:proofErr w:type="spellEnd"/>
      <w:r>
        <w:rPr>
          <w:rFonts w:ascii="Times New Roman" w:hAnsi="Times New Roman" w:cs="Times New Roman"/>
        </w:rPr>
        <w:t xml:space="preserve">, </w:t>
      </w:r>
      <w:proofErr w:type="spellStart"/>
      <w:r>
        <w:rPr>
          <w:rFonts w:ascii="Times New Roman" w:hAnsi="Times New Roman" w:cs="Times New Roman"/>
        </w:rPr>
        <w:t>Mojácar</w:t>
      </w:r>
      <w:proofErr w:type="spellEnd"/>
      <w:r>
        <w:rPr>
          <w:rFonts w:ascii="Times New Roman" w:hAnsi="Times New Roman" w:cs="Times New Roman"/>
        </w:rPr>
        <w:t xml:space="preserve">, 2014. </w:t>
      </w:r>
    </w:p>
  </w:footnote>
  <w:footnote w:id="18">
    <w:p w:rsidR="00CE38F9" w:rsidRPr="00402FD3" w:rsidRDefault="00CE38F9" w:rsidP="00402FD3">
      <w:pPr>
        <w:pStyle w:val="Textonotapie"/>
        <w:jc w:val="both"/>
        <w:rPr>
          <w:rFonts w:ascii="Times New Roman" w:hAnsi="Times New Roman" w:cs="Times New Roman"/>
        </w:rPr>
      </w:pPr>
      <w:r w:rsidRPr="00402FD3">
        <w:rPr>
          <w:rStyle w:val="Refdenotaalpie"/>
          <w:rFonts w:ascii="Times New Roman" w:hAnsi="Times New Roman" w:cs="Times New Roman"/>
        </w:rPr>
        <w:footnoteRef/>
      </w:r>
      <w:r w:rsidRPr="00402FD3">
        <w:rPr>
          <w:rFonts w:ascii="Times New Roman" w:hAnsi="Times New Roman" w:cs="Times New Roman"/>
        </w:rPr>
        <w:t xml:space="preserve"> BARRANQUERO TEXEIRA, E., “La memoria de la represión franquista sobre las mujeres en los </w:t>
      </w:r>
      <w:proofErr w:type="spellStart"/>
      <w:r w:rsidRPr="00402FD3">
        <w:rPr>
          <w:rFonts w:ascii="Times New Roman" w:hAnsi="Times New Roman" w:cs="Times New Roman"/>
        </w:rPr>
        <w:t>websites</w:t>
      </w:r>
      <w:proofErr w:type="spellEnd"/>
      <w:r w:rsidRPr="00402FD3">
        <w:rPr>
          <w:rFonts w:ascii="Times New Roman" w:hAnsi="Times New Roman" w:cs="Times New Roman"/>
        </w:rPr>
        <w:t xml:space="preserve">”, </w:t>
      </w:r>
      <w:r w:rsidRPr="00402FD3">
        <w:rPr>
          <w:rFonts w:ascii="Times New Roman" w:hAnsi="Times New Roman" w:cs="Times New Roman"/>
          <w:i/>
        </w:rPr>
        <w:t xml:space="preserve">Historia y Comunicación Social, </w:t>
      </w:r>
      <w:r w:rsidRPr="00402FD3">
        <w:rPr>
          <w:rFonts w:ascii="Times New Roman" w:hAnsi="Times New Roman" w:cs="Times New Roman"/>
        </w:rPr>
        <w:t>núm. 22-2, pp. 363-38</w:t>
      </w:r>
      <w:r>
        <w:rPr>
          <w:rFonts w:ascii="Times New Roman" w:hAnsi="Times New Roman" w:cs="Times New Roman"/>
        </w:rPr>
        <w:t>2.</w:t>
      </w:r>
    </w:p>
  </w:footnote>
  <w:footnote w:id="19">
    <w:p w:rsidR="00CE38F9" w:rsidRPr="00403382" w:rsidRDefault="00CE38F9" w:rsidP="00402FD3">
      <w:pPr>
        <w:pStyle w:val="Textonotapie"/>
        <w:jc w:val="both"/>
        <w:rPr>
          <w:rFonts w:ascii="Times New Roman" w:hAnsi="Times New Roman" w:cs="Times New Roman"/>
        </w:rPr>
      </w:pPr>
      <w:r w:rsidRPr="00403382">
        <w:rPr>
          <w:rStyle w:val="Refdenotaalpie"/>
          <w:rFonts w:ascii="Times New Roman" w:hAnsi="Times New Roman" w:cs="Times New Roman"/>
        </w:rPr>
        <w:footnoteRef/>
      </w:r>
      <w:r w:rsidRPr="00403382">
        <w:rPr>
          <w:rFonts w:ascii="Times New Roman" w:hAnsi="Times New Roman" w:cs="Times New Roman"/>
        </w:rPr>
        <w:t xml:space="preserve"> MORENO SECO, M., “Las mujeres de la República y la Guerra Civil desde la perspectiva democrática actual, </w:t>
      </w:r>
      <w:r w:rsidRPr="00403382">
        <w:rPr>
          <w:rFonts w:ascii="Times New Roman" w:hAnsi="Times New Roman" w:cs="Times New Roman"/>
          <w:i/>
        </w:rPr>
        <w:t xml:space="preserve">Pasado y Memoria. Revista de Historia Contemporánea, </w:t>
      </w:r>
      <w:r w:rsidRPr="00403382">
        <w:rPr>
          <w:rFonts w:ascii="Times New Roman" w:hAnsi="Times New Roman" w:cs="Times New Roman"/>
        </w:rPr>
        <w:t>núm. 6, pp. 73-94.</w:t>
      </w:r>
    </w:p>
  </w:footnote>
  <w:footnote w:id="20">
    <w:p w:rsidR="00CE38F9" w:rsidRPr="005D7BD7" w:rsidRDefault="00CE38F9" w:rsidP="005D7BD7">
      <w:pPr>
        <w:pStyle w:val="Textonotapie"/>
        <w:jc w:val="both"/>
        <w:rPr>
          <w:rFonts w:ascii="Times New Roman" w:hAnsi="Times New Roman" w:cs="Times New Roman"/>
        </w:rPr>
      </w:pPr>
      <w:r w:rsidRPr="005D7BD7">
        <w:rPr>
          <w:rStyle w:val="Refdenotaalpie"/>
          <w:rFonts w:ascii="Times New Roman" w:hAnsi="Times New Roman" w:cs="Times New Roman"/>
        </w:rPr>
        <w:footnoteRef/>
      </w:r>
      <w:r w:rsidRPr="005D7BD7">
        <w:rPr>
          <w:rFonts w:ascii="Times New Roman" w:hAnsi="Times New Roman" w:cs="Times New Roman"/>
        </w:rPr>
        <w:t xml:space="preserve"> ILLIÓN, R., </w:t>
      </w:r>
      <w:r w:rsidRPr="005D7BD7">
        <w:rPr>
          <w:rFonts w:ascii="Times New Roman" w:hAnsi="Times New Roman" w:cs="Times New Roman"/>
          <w:i/>
        </w:rPr>
        <w:t xml:space="preserve">Mujer, política y sindicalismo, </w:t>
      </w:r>
      <w:r w:rsidRPr="005D7BD7">
        <w:rPr>
          <w:rFonts w:ascii="Times New Roman" w:hAnsi="Times New Roman" w:cs="Times New Roman"/>
        </w:rPr>
        <w:t>Institución Ferna</w:t>
      </w:r>
      <w:r>
        <w:rPr>
          <w:rFonts w:ascii="Times New Roman" w:hAnsi="Times New Roman" w:cs="Times New Roman"/>
        </w:rPr>
        <w:t xml:space="preserve">ndo el Católico, Zaragoza, 2002 y SÁNCHEZ PERABÁ, D., “Obreras en la provincia de Jaén durante la Guerra Civil”, en BARRANQUERO TEXEIRA, E. (Ed.), </w:t>
      </w:r>
      <w:proofErr w:type="spellStart"/>
      <w:r>
        <w:rPr>
          <w:rFonts w:ascii="Times New Roman" w:hAnsi="Times New Roman" w:cs="Times New Roman"/>
          <w:i/>
        </w:rPr>
        <w:t>op</w:t>
      </w:r>
      <w:proofErr w:type="spellEnd"/>
      <w:r>
        <w:rPr>
          <w:rFonts w:ascii="Times New Roman" w:hAnsi="Times New Roman" w:cs="Times New Roman"/>
          <w:i/>
        </w:rPr>
        <w:t xml:space="preserve">. cit., </w:t>
      </w:r>
      <w:r>
        <w:rPr>
          <w:rFonts w:ascii="Times New Roman" w:hAnsi="Times New Roman" w:cs="Times New Roman"/>
        </w:rPr>
        <w:t>2010, pp. 91-106.</w:t>
      </w:r>
    </w:p>
  </w:footnote>
  <w:footnote w:id="21">
    <w:p w:rsidR="00CE38F9" w:rsidRPr="00A850D5" w:rsidRDefault="00CE38F9" w:rsidP="00A850D5">
      <w:pPr>
        <w:pStyle w:val="Textonotapie"/>
        <w:jc w:val="both"/>
        <w:rPr>
          <w:rFonts w:ascii="Times New Roman" w:hAnsi="Times New Roman" w:cs="Times New Roman"/>
        </w:rPr>
      </w:pPr>
      <w:r w:rsidRPr="00A850D5">
        <w:rPr>
          <w:rStyle w:val="Refdenotaalpie"/>
          <w:rFonts w:ascii="Times New Roman" w:hAnsi="Times New Roman" w:cs="Times New Roman"/>
        </w:rPr>
        <w:footnoteRef/>
      </w:r>
      <w:r w:rsidRPr="00A850D5">
        <w:rPr>
          <w:rFonts w:ascii="Times New Roman" w:hAnsi="Times New Roman" w:cs="Times New Roman"/>
        </w:rPr>
        <w:t xml:space="preserve"> AGUADO, A. “Entre lo público y lo privado: sufragio y divorcio en la Segunda República”, </w:t>
      </w:r>
      <w:r w:rsidRPr="00A850D5">
        <w:rPr>
          <w:rFonts w:ascii="Times New Roman" w:hAnsi="Times New Roman" w:cs="Times New Roman"/>
          <w:i/>
        </w:rPr>
        <w:t xml:space="preserve">Ayer, </w:t>
      </w:r>
      <w:r w:rsidRPr="00A850D5">
        <w:rPr>
          <w:rFonts w:ascii="Times New Roman" w:hAnsi="Times New Roman" w:cs="Times New Roman"/>
        </w:rPr>
        <w:t>núm. 60, pp. 105-134.</w:t>
      </w:r>
    </w:p>
  </w:footnote>
  <w:footnote w:id="22">
    <w:p w:rsidR="00CE38F9" w:rsidRPr="00BA4975" w:rsidRDefault="00CE38F9">
      <w:pPr>
        <w:pStyle w:val="Textonotapie"/>
        <w:rPr>
          <w:rFonts w:ascii="Times New Roman" w:hAnsi="Times New Roman" w:cs="Times New Roman"/>
        </w:rPr>
      </w:pPr>
      <w:r w:rsidRPr="00BA4975">
        <w:rPr>
          <w:rStyle w:val="Refdenotaalpie"/>
          <w:rFonts w:ascii="Times New Roman" w:hAnsi="Times New Roman" w:cs="Times New Roman"/>
        </w:rPr>
        <w:footnoteRef/>
      </w:r>
      <w:r w:rsidRPr="00BA4975">
        <w:rPr>
          <w:rFonts w:ascii="Times New Roman" w:hAnsi="Times New Roman" w:cs="Times New Roman"/>
        </w:rPr>
        <w:t xml:space="preserve"> LEZCANO, R., </w:t>
      </w:r>
      <w:r w:rsidRPr="00BA4975">
        <w:rPr>
          <w:rFonts w:ascii="Times New Roman" w:hAnsi="Times New Roman" w:cs="Times New Roman"/>
          <w:i/>
        </w:rPr>
        <w:t xml:space="preserve">El divorcio en la Segunda República, </w:t>
      </w:r>
      <w:proofErr w:type="spellStart"/>
      <w:r w:rsidRPr="00BA4975">
        <w:rPr>
          <w:rFonts w:ascii="Times New Roman" w:hAnsi="Times New Roman" w:cs="Times New Roman"/>
        </w:rPr>
        <w:t>Akal</w:t>
      </w:r>
      <w:proofErr w:type="spellEnd"/>
      <w:r w:rsidRPr="00BA4975">
        <w:rPr>
          <w:rFonts w:ascii="Times New Roman" w:hAnsi="Times New Roman" w:cs="Times New Roman"/>
        </w:rPr>
        <w:t>, Madrid, 1979, pp. 265-268.</w:t>
      </w:r>
    </w:p>
  </w:footnote>
  <w:footnote w:id="23">
    <w:p w:rsidR="00CE38F9" w:rsidRPr="00AB0B14" w:rsidRDefault="00CE38F9">
      <w:pPr>
        <w:pStyle w:val="Textonotapie"/>
        <w:rPr>
          <w:rFonts w:ascii="Times New Roman" w:hAnsi="Times New Roman" w:cs="Times New Roman"/>
        </w:rPr>
      </w:pPr>
      <w:r w:rsidRPr="00AB0B14">
        <w:rPr>
          <w:rStyle w:val="Refdenotaalpie"/>
          <w:rFonts w:ascii="Times New Roman" w:hAnsi="Times New Roman" w:cs="Times New Roman"/>
        </w:rPr>
        <w:footnoteRef/>
      </w:r>
      <w:r w:rsidRPr="00AB0B14">
        <w:rPr>
          <w:rFonts w:ascii="Times New Roman" w:hAnsi="Times New Roman" w:cs="Times New Roman"/>
        </w:rPr>
        <w:t xml:space="preserve"> CENARRO LAGUNAS, A.,</w:t>
      </w:r>
      <w:r w:rsidRPr="00AB0B14">
        <w:rPr>
          <w:rFonts w:ascii="Times New Roman" w:hAnsi="Times New Roman" w:cs="Times New Roman"/>
          <w:i/>
        </w:rPr>
        <w:t xml:space="preserve"> </w:t>
      </w:r>
      <w:proofErr w:type="spellStart"/>
      <w:r w:rsidRPr="00AB0B14">
        <w:rPr>
          <w:rFonts w:ascii="Times New Roman" w:hAnsi="Times New Roman" w:cs="Times New Roman"/>
          <w:i/>
        </w:rPr>
        <w:t>op</w:t>
      </w:r>
      <w:proofErr w:type="spellEnd"/>
      <w:r w:rsidRPr="00AB0B14">
        <w:rPr>
          <w:rFonts w:ascii="Times New Roman" w:hAnsi="Times New Roman" w:cs="Times New Roman"/>
          <w:i/>
        </w:rPr>
        <w:t xml:space="preserve">. cit. </w:t>
      </w:r>
      <w:r w:rsidRPr="00AB0B14">
        <w:rPr>
          <w:rFonts w:ascii="Times New Roman" w:hAnsi="Times New Roman" w:cs="Times New Roman"/>
        </w:rPr>
        <w:t>pp. 159.</w:t>
      </w:r>
    </w:p>
  </w:footnote>
  <w:footnote w:id="24">
    <w:p w:rsidR="00CE38F9" w:rsidRPr="00AB0B14" w:rsidRDefault="00CE38F9">
      <w:pPr>
        <w:pStyle w:val="Textonotapie"/>
        <w:rPr>
          <w:rFonts w:ascii="Times New Roman" w:hAnsi="Times New Roman" w:cs="Times New Roman"/>
        </w:rPr>
      </w:pPr>
      <w:r w:rsidRPr="00AB0B14">
        <w:rPr>
          <w:rStyle w:val="Refdenotaalpie"/>
          <w:rFonts w:ascii="Times New Roman" w:hAnsi="Times New Roman" w:cs="Times New Roman"/>
        </w:rPr>
        <w:footnoteRef/>
      </w:r>
      <w:r w:rsidRPr="00AB0B14">
        <w:rPr>
          <w:rFonts w:ascii="Times New Roman" w:hAnsi="Times New Roman" w:cs="Times New Roman"/>
        </w:rPr>
        <w:t xml:space="preserve"> NASH, M., </w:t>
      </w:r>
      <w:proofErr w:type="spellStart"/>
      <w:r w:rsidRPr="00AB0B14">
        <w:rPr>
          <w:rFonts w:ascii="Times New Roman" w:hAnsi="Times New Roman" w:cs="Times New Roman"/>
          <w:i/>
        </w:rPr>
        <w:t>op</w:t>
      </w:r>
      <w:proofErr w:type="spellEnd"/>
      <w:r w:rsidRPr="00AB0B14">
        <w:rPr>
          <w:rFonts w:ascii="Times New Roman" w:hAnsi="Times New Roman" w:cs="Times New Roman"/>
          <w:i/>
        </w:rPr>
        <w:t xml:space="preserve">. cit. </w:t>
      </w:r>
      <w:r w:rsidRPr="00AB0B14">
        <w:rPr>
          <w:rFonts w:ascii="Times New Roman" w:hAnsi="Times New Roman" w:cs="Times New Roman"/>
        </w:rPr>
        <w:t>2006, pp. 90-98.</w:t>
      </w:r>
    </w:p>
  </w:footnote>
  <w:footnote w:id="25">
    <w:p w:rsidR="00CE38F9" w:rsidRPr="001F1AB5" w:rsidRDefault="00CE38F9">
      <w:pPr>
        <w:pStyle w:val="Textonotapie"/>
        <w:rPr>
          <w:rFonts w:ascii="Times New Roman" w:hAnsi="Times New Roman" w:cs="Times New Roman"/>
        </w:rPr>
      </w:pPr>
      <w:r w:rsidRPr="001F1AB5">
        <w:rPr>
          <w:rStyle w:val="Refdenotaalpie"/>
          <w:rFonts w:ascii="Times New Roman" w:hAnsi="Times New Roman" w:cs="Times New Roman"/>
        </w:rPr>
        <w:footnoteRef/>
      </w:r>
      <w:r w:rsidRPr="001F1AB5">
        <w:rPr>
          <w:rFonts w:ascii="Times New Roman" w:hAnsi="Times New Roman" w:cs="Times New Roman"/>
        </w:rPr>
        <w:t xml:space="preserve"> MARTÍNEZ RUS, A., </w:t>
      </w:r>
      <w:r w:rsidRPr="001F1AB5">
        <w:rPr>
          <w:rFonts w:ascii="Times New Roman" w:hAnsi="Times New Roman" w:cs="Times New Roman"/>
          <w:i/>
        </w:rPr>
        <w:t xml:space="preserve">Milicianas. Mujeres republicanas combatientes, </w:t>
      </w:r>
      <w:r w:rsidRPr="001F1AB5">
        <w:rPr>
          <w:rFonts w:ascii="Times New Roman" w:hAnsi="Times New Roman" w:cs="Times New Roman"/>
        </w:rPr>
        <w:t>Catarata, Madrid, 2018.</w:t>
      </w:r>
    </w:p>
  </w:footnote>
  <w:footnote w:id="26">
    <w:p w:rsidR="00CE38F9" w:rsidRPr="001F1AB5" w:rsidRDefault="00CE38F9">
      <w:pPr>
        <w:pStyle w:val="Textonotapie"/>
        <w:rPr>
          <w:rFonts w:ascii="Times New Roman" w:hAnsi="Times New Roman" w:cs="Times New Roman"/>
        </w:rPr>
      </w:pPr>
      <w:r w:rsidRPr="001F1AB5">
        <w:rPr>
          <w:rStyle w:val="Refdenotaalpie"/>
          <w:rFonts w:ascii="Times New Roman" w:hAnsi="Times New Roman" w:cs="Times New Roman"/>
        </w:rPr>
        <w:footnoteRef/>
      </w:r>
      <w:r w:rsidRPr="001F1AB5">
        <w:rPr>
          <w:rFonts w:ascii="Times New Roman" w:hAnsi="Times New Roman" w:cs="Times New Roman"/>
        </w:rPr>
        <w:t xml:space="preserve"> BLANCO RODRÍGUEZ, J.A., </w:t>
      </w:r>
      <w:r w:rsidRPr="001F1AB5">
        <w:rPr>
          <w:rFonts w:ascii="Times New Roman" w:hAnsi="Times New Roman" w:cs="Times New Roman"/>
          <w:i/>
        </w:rPr>
        <w:t xml:space="preserve">El quinto regimiento en la política militar del PCE en la guerra civil, </w:t>
      </w:r>
      <w:r w:rsidRPr="001F1AB5">
        <w:rPr>
          <w:rFonts w:ascii="Times New Roman" w:hAnsi="Times New Roman" w:cs="Times New Roman"/>
        </w:rPr>
        <w:t>UNED, 1993</w:t>
      </w:r>
      <w:r>
        <w:rPr>
          <w:rFonts w:ascii="Times New Roman" w:hAnsi="Times New Roman" w:cs="Times New Roman"/>
        </w:rPr>
        <w:t>, PP. 330-333</w:t>
      </w:r>
      <w:r w:rsidRPr="001F1AB5">
        <w:rPr>
          <w:rFonts w:ascii="Times New Roman" w:hAnsi="Times New Roman" w:cs="Times New Roman"/>
        </w:rPr>
        <w:t>.</w:t>
      </w:r>
    </w:p>
  </w:footnote>
  <w:footnote w:id="27">
    <w:p w:rsidR="00CE38F9" w:rsidRPr="006E36EE" w:rsidRDefault="00CE38F9">
      <w:pPr>
        <w:pStyle w:val="Textonotapie"/>
        <w:rPr>
          <w:rFonts w:ascii="Times New Roman" w:hAnsi="Times New Roman" w:cs="Times New Roman"/>
        </w:rPr>
      </w:pPr>
      <w:r w:rsidRPr="006E36EE">
        <w:rPr>
          <w:rStyle w:val="Refdenotaalpie"/>
          <w:rFonts w:ascii="Times New Roman" w:hAnsi="Times New Roman" w:cs="Times New Roman"/>
        </w:rPr>
        <w:footnoteRef/>
      </w:r>
      <w:r w:rsidRPr="006E36EE">
        <w:rPr>
          <w:rFonts w:ascii="Times New Roman" w:hAnsi="Times New Roman" w:cs="Times New Roman"/>
        </w:rPr>
        <w:t xml:space="preserve"> MARTÍNEZ RUS, A., </w:t>
      </w:r>
      <w:proofErr w:type="spellStart"/>
      <w:r w:rsidRPr="006E36EE">
        <w:rPr>
          <w:rFonts w:ascii="Times New Roman" w:hAnsi="Times New Roman" w:cs="Times New Roman"/>
          <w:i/>
        </w:rPr>
        <w:t>op.cit</w:t>
      </w:r>
      <w:proofErr w:type="spellEnd"/>
      <w:r w:rsidRPr="006E36EE">
        <w:rPr>
          <w:rFonts w:ascii="Times New Roman" w:hAnsi="Times New Roman" w:cs="Times New Roman"/>
          <w:i/>
        </w:rPr>
        <w:t xml:space="preserve">. </w:t>
      </w:r>
      <w:r w:rsidRPr="006E36EE">
        <w:rPr>
          <w:rFonts w:ascii="Times New Roman" w:hAnsi="Times New Roman" w:cs="Times New Roman"/>
        </w:rPr>
        <w:t>pp. 78-118.</w:t>
      </w:r>
    </w:p>
  </w:footnote>
  <w:footnote w:id="28">
    <w:p w:rsidR="00CE38F9" w:rsidRPr="007E2496" w:rsidRDefault="00CE38F9">
      <w:pPr>
        <w:pStyle w:val="Textonotapie"/>
        <w:rPr>
          <w:rFonts w:ascii="Times New Roman" w:hAnsi="Times New Roman" w:cs="Times New Roman"/>
        </w:rPr>
      </w:pPr>
      <w:r w:rsidRPr="007E2496">
        <w:rPr>
          <w:rStyle w:val="Refdenotaalpie"/>
          <w:rFonts w:ascii="Times New Roman" w:hAnsi="Times New Roman" w:cs="Times New Roman"/>
        </w:rPr>
        <w:footnoteRef/>
      </w:r>
      <w:r w:rsidRPr="007E2496">
        <w:rPr>
          <w:rFonts w:ascii="Times New Roman" w:hAnsi="Times New Roman" w:cs="Times New Roman"/>
        </w:rPr>
        <w:t xml:space="preserve"> ALMISAS ALBÉNDIZ, M., </w:t>
      </w:r>
      <w:r w:rsidRPr="007E2496">
        <w:rPr>
          <w:rFonts w:ascii="Times New Roman" w:hAnsi="Times New Roman" w:cs="Times New Roman"/>
          <w:i/>
        </w:rPr>
        <w:t xml:space="preserve">Anita Carrillo, capitana republicana de la Línea, </w:t>
      </w:r>
      <w:r w:rsidRPr="007E2496">
        <w:rPr>
          <w:rFonts w:ascii="Times New Roman" w:hAnsi="Times New Roman" w:cs="Times New Roman"/>
        </w:rPr>
        <w:t>El Boletín, Puerto de Santa María, 2017.</w:t>
      </w:r>
    </w:p>
  </w:footnote>
  <w:footnote w:id="29">
    <w:p w:rsidR="00CE38F9" w:rsidRPr="007E2496" w:rsidRDefault="00CE38F9">
      <w:pPr>
        <w:pStyle w:val="Textonotapie"/>
        <w:rPr>
          <w:rFonts w:ascii="Times New Roman" w:hAnsi="Times New Roman" w:cs="Times New Roman"/>
        </w:rPr>
      </w:pPr>
      <w:r w:rsidRPr="007E2496">
        <w:rPr>
          <w:rStyle w:val="Refdenotaalpie"/>
          <w:rFonts w:ascii="Times New Roman" w:hAnsi="Times New Roman" w:cs="Times New Roman"/>
        </w:rPr>
        <w:footnoteRef/>
      </w:r>
      <w:r w:rsidRPr="007E2496">
        <w:rPr>
          <w:rFonts w:ascii="Times New Roman" w:hAnsi="Times New Roman" w:cs="Times New Roman"/>
        </w:rPr>
        <w:t xml:space="preserve"> GARCÍA, J., </w:t>
      </w:r>
      <w:r w:rsidRPr="007E2496">
        <w:rPr>
          <w:rFonts w:ascii="Times New Roman" w:hAnsi="Times New Roman" w:cs="Times New Roman"/>
          <w:i/>
        </w:rPr>
        <w:t xml:space="preserve">Lina </w:t>
      </w:r>
      <w:proofErr w:type="spellStart"/>
      <w:r w:rsidRPr="007E2496">
        <w:rPr>
          <w:rFonts w:ascii="Times New Roman" w:hAnsi="Times New Roman" w:cs="Times New Roman"/>
          <w:i/>
        </w:rPr>
        <w:t>Odena</w:t>
      </w:r>
      <w:proofErr w:type="spellEnd"/>
      <w:r w:rsidRPr="007E2496">
        <w:rPr>
          <w:rFonts w:ascii="Times New Roman" w:hAnsi="Times New Roman" w:cs="Times New Roman"/>
          <w:i/>
        </w:rPr>
        <w:t xml:space="preserve">. Palabras (de) Mayores, </w:t>
      </w:r>
      <w:proofErr w:type="spellStart"/>
      <w:r w:rsidRPr="007E2496">
        <w:rPr>
          <w:rFonts w:ascii="Times New Roman" w:hAnsi="Times New Roman" w:cs="Times New Roman"/>
        </w:rPr>
        <w:t>DeBarris</w:t>
      </w:r>
      <w:proofErr w:type="spellEnd"/>
      <w:r w:rsidRPr="007E2496">
        <w:rPr>
          <w:rFonts w:ascii="Times New Roman" w:hAnsi="Times New Roman" w:cs="Times New Roman"/>
        </w:rPr>
        <w:t>, Barcelona, 2008.</w:t>
      </w:r>
    </w:p>
  </w:footnote>
  <w:footnote w:id="30">
    <w:p w:rsidR="00CE38F9" w:rsidRPr="007E2496" w:rsidRDefault="00CE38F9" w:rsidP="00B51864">
      <w:pPr>
        <w:pStyle w:val="Textonotapie"/>
        <w:rPr>
          <w:rFonts w:ascii="Times New Roman" w:hAnsi="Times New Roman" w:cs="Times New Roman"/>
        </w:rPr>
      </w:pPr>
      <w:r w:rsidRPr="007E2496">
        <w:rPr>
          <w:rStyle w:val="Refdenotaalpie"/>
          <w:rFonts w:ascii="Times New Roman" w:hAnsi="Times New Roman" w:cs="Times New Roman"/>
        </w:rPr>
        <w:footnoteRef/>
      </w:r>
      <w:r w:rsidRPr="007E2496">
        <w:rPr>
          <w:rFonts w:ascii="Times New Roman" w:hAnsi="Times New Roman" w:cs="Times New Roman"/>
        </w:rPr>
        <w:t xml:space="preserve"> ETCHEBÉHÈRE, M., </w:t>
      </w:r>
      <w:r w:rsidRPr="007E2496">
        <w:rPr>
          <w:rFonts w:ascii="Times New Roman" w:hAnsi="Times New Roman" w:cs="Times New Roman"/>
          <w:i/>
        </w:rPr>
        <w:t xml:space="preserve">Mi guerra en España, </w:t>
      </w:r>
      <w:r w:rsidRPr="007E2496">
        <w:rPr>
          <w:rFonts w:ascii="Times New Roman" w:hAnsi="Times New Roman" w:cs="Times New Roman"/>
        </w:rPr>
        <w:t xml:space="preserve">Alcaná Libros, Barcelona, 1987.  </w:t>
      </w:r>
    </w:p>
  </w:footnote>
  <w:footnote w:id="31">
    <w:p w:rsidR="00CE38F9" w:rsidRPr="007E2496" w:rsidRDefault="00CE38F9" w:rsidP="007E2496">
      <w:pPr>
        <w:pStyle w:val="Textonotapie"/>
        <w:rPr>
          <w:rFonts w:ascii="Times New Roman" w:hAnsi="Times New Roman" w:cs="Times New Roman"/>
        </w:rPr>
      </w:pPr>
      <w:r w:rsidRPr="007E2496">
        <w:rPr>
          <w:rStyle w:val="Refdenotaalpie"/>
          <w:rFonts w:ascii="Times New Roman" w:hAnsi="Times New Roman" w:cs="Times New Roman"/>
        </w:rPr>
        <w:footnoteRef/>
      </w:r>
      <w:r w:rsidRPr="007E2496">
        <w:rPr>
          <w:rFonts w:ascii="Times New Roman" w:hAnsi="Times New Roman" w:cs="Times New Roman"/>
        </w:rPr>
        <w:t xml:space="preserve"> EGIDO LEÓN, A., “Milicianas condenadas a muerte”, </w:t>
      </w:r>
      <w:r w:rsidRPr="007E2496">
        <w:rPr>
          <w:rFonts w:ascii="Times New Roman" w:hAnsi="Times New Roman" w:cs="Times New Roman"/>
          <w:i/>
        </w:rPr>
        <w:t xml:space="preserve">Historia del Presente, </w:t>
      </w:r>
      <w:r w:rsidRPr="007E2496">
        <w:rPr>
          <w:rFonts w:ascii="Times New Roman" w:hAnsi="Times New Roman" w:cs="Times New Roman"/>
        </w:rPr>
        <w:t>núm. 32-2, pp. 112-126.</w:t>
      </w:r>
    </w:p>
  </w:footnote>
  <w:footnote w:id="32">
    <w:p w:rsidR="00CE38F9" w:rsidRPr="00007424" w:rsidRDefault="00CE38F9">
      <w:pPr>
        <w:pStyle w:val="Textonotapie"/>
        <w:rPr>
          <w:rFonts w:ascii="Times New Roman" w:hAnsi="Times New Roman" w:cs="Times New Roman"/>
        </w:rPr>
      </w:pPr>
      <w:r w:rsidRPr="00007424">
        <w:rPr>
          <w:rStyle w:val="Refdenotaalpie"/>
          <w:rFonts w:ascii="Times New Roman" w:hAnsi="Times New Roman" w:cs="Times New Roman"/>
        </w:rPr>
        <w:footnoteRef/>
      </w:r>
      <w:r w:rsidRPr="00007424">
        <w:rPr>
          <w:rFonts w:ascii="Times New Roman" w:hAnsi="Times New Roman" w:cs="Times New Roman"/>
        </w:rPr>
        <w:t xml:space="preserve"> LINES. L.M., </w:t>
      </w:r>
      <w:r w:rsidRPr="00007424">
        <w:rPr>
          <w:rFonts w:ascii="Times New Roman" w:hAnsi="Times New Roman" w:cs="Times New Roman"/>
          <w:i/>
        </w:rPr>
        <w:t xml:space="preserve">Milicianas: </w:t>
      </w:r>
      <w:proofErr w:type="spellStart"/>
      <w:r w:rsidRPr="00007424">
        <w:rPr>
          <w:rFonts w:ascii="Times New Roman" w:hAnsi="Times New Roman" w:cs="Times New Roman"/>
          <w:i/>
        </w:rPr>
        <w:t>women</w:t>
      </w:r>
      <w:proofErr w:type="spellEnd"/>
      <w:r w:rsidRPr="00007424">
        <w:rPr>
          <w:rFonts w:ascii="Times New Roman" w:hAnsi="Times New Roman" w:cs="Times New Roman"/>
          <w:i/>
        </w:rPr>
        <w:t xml:space="preserve"> in </w:t>
      </w:r>
      <w:proofErr w:type="spellStart"/>
      <w:r w:rsidRPr="00007424">
        <w:rPr>
          <w:rFonts w:ascii="Times New Roman" w:hAnsi="Times New Roman" w:cs="Times New Roman"/>
          <w:i/>
        </w:rPr>
        <w:t>combating</w:t>
      </w:r>
      <w:proofErr w:type="spellEnd"/>
      <w:r w:rsidRPr="00007424">
        <w:rPr>
          <w:rFonts w:ascii="Times New Roman" w:hAnsi="Times New Roman" w:cs="Times New Roman"/>
          <w:i/>
        </w:rPr>
        <w:t xml:space="preserve"> </w:t>
      </w:r>
      <w:proofErr w:type="spellStart"/>
      <w:r w:rsidRPr="00007424">
        <w:rPr>
          <w:rFonts w:ascii="Times New Roman" w:hAnsi="Times New Roman" w:cs="Times New Roman"/>
          <w:i/>
        </w:rPr>
        <w:t>the</w:t>
      </w:r>
      <w:proofErr w:type="spellEnd"/>
      <w:r w:rsidRPr="00007424">
        <w:rPr>
          <w:rFonts w:ascii="Times New Roman" w:hAnsi="Times New Roman" w:cs="Times New Roman"/>
          <w:i/>
        </w:rPr>
        <w:t xml:space="preserve"> </w:t>
      </w:r>
      <w:proofErr w:type="spellStart"/>
      <w:r w:rsidRPr="00007424">
        <w:rPr>
          <w:rFonts w:ascii="Times New Roman" w:hAnsi="Times New Roman" w:cs="Times New Roman"/>
          <w:i/>
        </w:rPr>
        <w:t>Spanish</w:t>
      </w:r>
      <w:proofErr w:type="spellEnd"/>
      <w:r w:rsidRPr="00007424">
        <w:rPr>
          <w:rFonts w:ascii="Times New Roman" w:hAnsi="Times New Roman" w:cs="Times New Roman"/>
          <w:i/>
        </w:rPr>
        <w:t xml:space="preserve"> Civil </w:t>
      </w:r>
      <w:proofErr w:type="spellStart"/>
      <w:r w:rsidRPr="00007424">
        <w:rPr>
          <w:rFonts w:ascii="Times New Roman" w:hAnsi="Times New Roman" w:cs="Times New Roman"/>
          <w:i/>
        </w:rPr>
        <w:t>War</w:t>
      </w:r>
      <w:proofErr w:type="spellEnd"/>
      <w:r w:rsidRPr="00007424">
        <w:rPr>
          <w:rFonts w:ascii="Times New Roman" w:hAnsi="Times New Roman" w:cs="Times New Roman"/>
          <w:i/>
        </w:rPr>
        <w:t xml:space="preserve">, </w:t>
      </w:r>
      <w:r w:rsidRPr="00007424">
        <w:rPr>
          <w:rFonts w:ascii="Times New Roman" w:hAnsi="Times New Roman" w:cs="Times New Roman"/>
        </w:rPr>
        <w:t xml:space="preserve">Lexington </w:t>
      </w:r>
      <w:proofErr w:type="spellStart"/>
      <w:r w:rsidRPr="00007424">
        <w:rPr>
          <w:rFonts w:ascii="Times New Roman" w:hAnsi="Times New Roman" w:cs="Times New Roman"/>
        </w:rPr>
        <w:t>Books</w:t>
      </w:r>
      <w:proofErr w:type="spellEnd"/>
      <w:r w:rsidRPr="00007424">
        <w:rPr>
          <w:rFonts w:ascii="Times New Roman" w:hAnsi="Times New Roman" w:cs="Times New Roman"/>
        </w:rPr>
        <w:t xml:space="preserve">, </w:t>
      </w:r>
      <w:proofErr w:type="spellStart"/>
      <w:r w:rsidRPr="00007424">
        <w:rPr>
          <w:rFonts w:ascii="Times New Roman" w:hAnsi="Times New Roman" w:cs="Times New Roman"/>
        </w:rPr>
        <w:t>Lanhan</w:t>
      </w:r>
      <w:proofErr w:type="spellEnd"/>
      <w:r w:rsidRPr="00007424">
        <w:rPr>
          <w:rFonts w:ascii="Times New Roman" w:hAnsi="Times New Roman" w:cs="Times New Roman"/>
        </w:rPr>
        <w:t>, 2012.</w:t>
      </w:r>
    </w:p>
  </w:footnote>
  <w:footnote w:id="33">
    <w:p w:rsidR="00CE38F9" w:rsidRPr="005857D2" w:rsidRDefault="00CE38F9">
      <w:pPr>
        <w:pStyle w:val="Textonotapie"/>
        <w:rPr>
          <w:rFonts w:ascii="Times New Roman" w:hAnsi="Times New Roman" w:cs="Times New Roman"/>
        </w:rPr>
      </w:pPr>
      <w:r w:rsidRPr="005857D2">
        <w:rPr>
          <w:rStyle w:val="Refdenotaalpie"/>
          <w:rFonts w:ascii="Times New Roman" w:hAnsi="Times New Roman" w:cs="Times New Roman"/>
        </w:rPr>
        <w:footnoteRef/>
      </w:r>
      <w:r w:rsidRPr="005857D2">
        <w:rPr>
          <w:rFonts w:ascii="Times New Roman" w:hAnsi="Times New Roman" w:cs="Times New Roman"/>
        </w:rPr>
        <w:t xml:space="preserve"> JACKSON, A., </w:t>
      </w:r>
      <w:r w:rsidRPr="005857D2">
        <w:rPr>
          <w:rFonts w:ascii="Times New Roman" w:hAnsi="Times New Roman" w:cs="Times New Roman"/>
          <w:i/>
        </w:rPr>
        <w:t xml:space="preserve">Las mujeres británicas y la Guerra Civil española, </w:t>
      </w:r>
      <w:r w:rsidRPr="005857D2">
        <w:rPr>
          <w:rFonts w:ascii="Times New Roman" w:hAnsi="Times New Roman" w:cs="Times New Roman"/>
        </w:rPr>
        <w:t>Universidad de Valencia, Valencia, 2010.</w:t>
      </w:r>
    </w:p>
  </w:footnote>
  <w:footnote w:id="34">
    <w:p w:rsidR="00CE38F9" w:rsidRPr="008F59D1" w:rsidRDefault="00CE38F9">
      <w:pPr>
        <w:pStyle w:val="Textonotapie"/>
        <w:rPr>
          <w:rFonts w:ascii="Times New Roman" w:hAnsi="Times New Roman" w:cs="Times New Roman"/>
        </w:rPr>
      </w:pPr>
      <w:r w:rsidRPr="008F59D1">
        <w:rPr>
          <w:rStyle w:val="Refdenotaalpie"/>
          <w:rFonts w:ascii="Times New Roman" w:hAnsi="Times New Roman" w:cs="Times New Roman"/>
        </w:rPr>
        <w:footnoteRef/>
      </w:r>
      <w:r w:rsidRPr="008F59D1">
        <w:rPr>
          <w:rFonts w:ascii="Times New Roman" w:hAnsi="Times New Roman" w:cs="Times New Roman"/>
        </w:rPr>
        <w:t xml:space="preserve"> NASH, M., </w:t>
      </w:r>
      <w:proofErr w:type="spellStart"/>
      <w:r w:rsidRPr="008F59D1">
        <w:rPr>
          <w:rFonts w:ascii="Times New Roman" w:hAnsi="Times New Roman" w:cs="Times New Roman"/>
          <w:i/>
        </w:rPr>
        <w:t>op</w:t>
      </w:r>
      <w:proofErr w:type="spellEnd"/>
      <w:r w:rsidRPr="008F59D1">
        <w:rPr>
          <w:rFonts w:ascii="Times New Roman" w:hAnsi="Times New Roman" w:cs="Times New Roman"/>
          <w:i/>
        </w:rPr>
        <w:t xml:space="preserve">. cit., </w:t>
      </w:r>
      <w:r w:rsidRPr="008F59D1">
        <w:rPr>
          <w:rFonts w:ascii="Times New Roman" w:hAnsi="Times New Roman" w:cs="Times New Roman"/>
        </w:rPr>
        <w:t>2006, pp. 233-247.</w:t>
      </w:r>
    </w:p>
  </w:footnote>
  <w:footnote w:id="35">
    <w:p w:rsidR="00CE38F9" w:rsidRPr="008F59D1" w:rsidRDefault="00CE38F9" w:rsidP="008F59D1">
      <w:pPr>
        <w:pStyle w:val="Textonotapie"/>
        <w:jc w:val="both"/>
      </w:pPr>
      <w:r w:rsidRPr="008F59D1">
        <w:rPr>
          <w:rStyle w:val="Refdenotaalpie"/>
          <w:rFonts w:ascii="Times New Roman" w:hAnsi="Times New Roman" w:cs="Times New Roman"/>
        </w:rPr>
        <w:footnoteRef/>
      </w:r>
      <w:r w:rsidRPr="008F59D1">
        <w:rPr>
          <w:rFonts w:ascii="Times New Roman" w:hAnsi="Times New Roman" w:cs="Times New Roman"/>
        </w:rPr>
        <w:t xml:space="preserve"> NASH, M., “</w:t>
      </w:r>
      <w:proofErr w:type="spellStart"/>
      <w:r w:rsidRPr="008F59D1">
        <w:rPr>
          <w:rFonts w:ascii="Times New Roman" w:hAnsi="Times New Roman" w:cs="Times New Roman"/>
        </w:rPr>
        <w:t>Pronatalismo</w:t>
      </w:r>
      <w:proofErr w:type="spellEnd"/>
      <w:r w:rsidRPr="008F59D1">
        <w:rPr>
          <w:rFonts w:ascii="Times New Roman" w:hAnsi="Times New Roman" w:cs="Times New Roman"/>
        </w:rPr>
        <w:t xml:space="preserve"> y maternidad en la España franquista”, en BLOCK, G. y THANE, P., </w:t>
      </w:r>
      <w:r w:rsidRPr="008F59D1">
        <w:rPr>
          <w:rFonts w:ascii="Times New Roman" w:hAnsi="Times New Roman" w:cs="Times New Roman"/>
          <w:i/>
        </w:rPr>
        <w:t xml:space="preserve">Maternidad y políticas de género, </w:t>
      </w:r>
      <w:r w:rsidRPr="008F59D1">
        <w:rPr>
          <w:rFonts w:ascii="Times New Roman" w:hAnsi="Times New Roman" w:cs="Times New Roman"/>
        </w:rPr>
        <w:t>Cátedra-Universidad de Valencia-Instituto de la Mujer, Madrid, 1996, pp. 279-308.</w:t>
      </w:r>
    </w:p>
  </w:footnote>
  <w:footnote w:id="36">
    <w:p w:rsidR="00CE38F9" w:rsidRPr="008F59D1" w:rsidRDefault="00CE38F9">
      <w:pPr>
        <w:pStyle w:val="Textonotapie"/>
        <w:rPr>
          <w:rFonts w:ascii="Times New Roman" w:hAnsi="Times New Roman" w:cs="Times New Roman"/>
        </w:rPr>
      </w:pPr>
      <w:r w:rsidRPr="008F59D1">
        <w:rPr>
          <w:rStyle w:val="Refdenotaalpie"/>
          <w:rFonts w:ascii="Times New Roman" w:hAnsi="Times New Roman" w:cs="Times New Roman"/>
        </w:rPr>
        <w:footnoteRef/>
      </w:r>
      <w:r w:rsidRPr="008F59D1">
        <w:rPr>
          <w:rFonts w:ascii="Times New Roman" w:hAnsi="Times New Roman" w:cs="Times New Roman"/>
        </w:rPr>
        <w:t xml:space="preserve"> NASH, M., </w:t>
      </w:r>
      <w:proofErr w:type="spellStart"/>
      <w:r w:rsidRPr="008F59D1">
        <w:rPr>
          <w:rFonts w:ascii="Times New Roman" w:hAnsi="Times New Roman" w:cs="Times New Roman"/>
          <w:i/>
        </w:rPr>
        <w:t>op</w:t>
      </w:r>
      <w:proofErr w:type="spellEnd"/>
      <w:r w:rsidRPr="008F59D1">
        <w:rPr>
          <w:rFonts w:ascii="Times New Roman" w:hAnsi="Times New Roman" w:cs="Times New Roman"/>
          <w:i/>
        </w:rPr>
        <w:t xml:space="preserve">. cit. </w:t>
      </w:r>
      <w:r w:rsidRPr="008F59D1">
        <w:rPr>
          <w:rFonts w:ascii="Times New Roman" w:hAnsi="Times New Roman" w:cs="Times New Roman"/>
        </w:rPr>
        <w:t>2006, p. 242.</w:t>
      </w:r>
    </w:p>
  </w:footnote>
  <w:footnote w:id="37">
    <w:p w:rsidR="00CE38F9" w:rsidRPr="003470DF" w:rsidRDefault="00CE38F9" w:rsidP="003470DF">
      <w:pPr>
        <w:pStyle w:val="Textonotapie"/>
        <w:jc w:val="both"/>
        <w:rPr>
          <w:rFonts w:ascii="Times New Roman" w:hAnsi="Times New Roman" w:cs="Times New Roman"/>
        </w:rPr>
      </w:pPr>
      <w:r w:rsidRPr="003470DF">
        <w:rPr>
          <w:rStyle w:val="Refdenotaalpie"/>
          <w:rFonts w:ascii="Times New Roman" w:hAnsi="Times New Roman" w:cs="Times New Roman"/>
        </w:rPr>
        <w:footnoteRef/>
      </w:r>
      <w:r w:rsidRPr="003470DF">
        <w:rPr>
          <w:rFonts w:ascii="Times New Roman" w:hAnsi="Times New Roman" w:cs="Times New Roman"/>
        </w:rPr>
        <w:t xml:space="preserve"> BARRANQUERO TEXEIRA, E. y PRIETO BORREGO, L., </w:t>
      </w:r>
      <w:r w:rsidRPr="003470DF">
        <w:rPr>
          <w:rFonts w:ascii="Times New Roman" w:hAnsi="Times New Roman" w:cs="Times New Roman"/>
          <w:i/>
        </w:rPr>
        <w:t xml:space="preserve">Así sobrevivimos al hambre. Estrategias de supervivencia de las mujeres en la posguerra española, </w:t>
      </w:r>
      <w:r w:rsidRPr="003470DF">
        <w:rPr>
          <w:rFonts w:ascii="Times New Roman" w:hAnsi="Times New Roman" w:cs="Times New Roman"/>
        </w:rPr>
        <w:t>Diputación Provincial, Málaga, 2003.</w:t>
      </w:r>
    </w:p>
  </w:footnote>
  <w:footnote w:id="38">
    <w:p w:rsidR="00CE38F9" w:rsidRPr="00957E25" w:rsidRDefault="00CE38F9">
      <w:pPr>
        <w:pStyle w:val="Textonotapie"/>
        <w:rPr>
          <w:rFonts w:ascii="Times New Roman" w:hAnsi="Times New Roman" w:cs="Times New Roman"/>
        </w:rPr>
      </w:pPr>
      <w:r w:rsidRPr="00957E25">
        <w:rPr>
          <w:rStyle w:val="Refdenotaalpie"/>
          <w:rFonts w:ascii="Times New Roman" w:hAnsi="Times New Roman" w:cs="Times New Roman"/>
        </w:rPr>
        <w:footnoteRef/>
      </w:r>
      <w:r w:rsidRPr="00957E25">
        <w:rPr>
          <w:rFonts w:ascii="Times New Roman" w:hAnsi="Times New Roman" w:cs="Times New Roman"/>
        </w:rPr>
        <w:t xml:space="preserve"> RODRÍGUEZ, S. y FERNÁNDEZ, E., “Rebeldes, sumisa, víctimas o verdugos”, </w:t>
      </w:r>
      <w:r w:rsidRPr="00957E25">
        <w:rPr>
          <w:rFonts w:ascii="Times New Roman" w:hAnsi="Times New Roman" w:cs="Times New Roman"/>
          <w:i/>
        </w:rPr>
        <w:t xml:space="preserve">Historia del Presente, </w:t>
      </w:r>
      <w:r w:rsidRPr="00957E25">
        <w:rPr>
          <w:rFonts w:ascii="Times New Roman" w:hAnsi="Times New Roman" w:cs="Times New Roman"/>
        </w:rPr>
        <w:t>núm. 32, 2018, pp.5-10.</w:t>
      </w:r>
    </w:p>
  </w:footnote>
  <w:footnote w:id="39">
    <w:p w:rsidR="00CE38F9" w:rsidRPr="00957E25" w:rsidRDefault="00CE38F9" w:rsidP="00957E25">
      <w:pPr>
        <w:pStyle w:val="Textonotapie"/>
        <w:jc w:val="both"/>
        <w:rPr>
          <w:rFonts w:ascii="Times New Roman" w:hAnsi="Times New Roman" w:cs="Times New Roman"/>
        </w:rPr>
      </w:pPr>
      <w:r w:rsidRPr="00957E25">
        <w:rPr>
          <w:rStyle w:val="Refdenotaalpie"/>
          <w:rFonts w:ascii="Times New Roman" w:hAnsi="Times New Roman" w:cs="Times New Roman"/>
        </w:rPr>
        <w:footnoteRef/>
      </w:r>
      <w:r w:rsidRPr="00957E25">
        <w:rPr>
          <w:rFonts w:ascii="Times New Roman" w:hAnsi="Times New Roman" w:cs="Times New Roman"/>
        </w:rPr>
        <w:t xml:space="preserve"> RODRÍGUEZ, S., </w:t>
      </w:r>
      <w:r>
        <w:rPr>
          <w:rFonts w:ascii="Times New Roman" w:hAnsi="Times New Roman" w:cs="Times New Roman"/>
        </w:rPr>
        <w:t xml:space="preserve">“La violencia como arma de guerra”, en </w:t>
      </w:r>
      <w:r w:rsidRPr="00AC1539">
        <w:rPr>
          <w:rFonts w:ascii="Times New Roman" w:hAnsi="Times New Roman" w:cs="Times New Roman"/>
        </w:rPr>
        <w:t xml:space="preserve">BARRANQUERO TEXEIRA, E. (Ed.), </w:t>
      </w:r>
      <w:r w:rsidRPr="00AC1539">
        <w:rPr>
          <w:rFonts w:ascii="Times New Roman" w:hAnsi="Times New Roman" w:cs="Times New Roman"/>
          <w:i/>
        </w:rPr>
        <w:t xml:space="preserve">Mujeres en la Guerra Civil y el Franquismo: violencia, silencio y memoria de los tiempos difíciles, </w:t>
      </w:r>
      <w:r w:rsidRPr="00AC1539">
        <w:rPr>
          <w:rFonts w:ascii="Times New Roman" w:hAnsi="Times New Roman" w:cs="Times New Roman"/>
        </w:rPr>
        <w:t>Diputación de Málaga, Málaga, 2010</w:t>
      </w:r>
      <w:r>
        <w:rPr>
          <w:rFonts w:ascii="Times New Roman" w:hAnsi="Times New Roman" w:cs="Times New Roman"/>
        </w:rPr>
        <w:t>, pp. 29-30.</w:t>
      </w:r>
    </w:p>
  </w:footnote>
  <w:footnote w:id="40">
    <w:p w:rsidR="00CE38F9" w:rsidRPr="008E3A89" w:rsidRDefault="00CE38F9" w:rsidP="008E3A89">
      <w:pPr>
        <w:pStyle w:val="Textonotapie"/>
        <w:jc w:val="both"/>
        <w:rPr>
          <w:rFonts w:ascii="Times New Roman" w:hAnsi="Times New Roman" w:cs="Times New Roman"/>
        </w:rPr>
      </w:pPr>
      <w:r w:rsidRPr="00A82D5D">
        <w:rPr>
          <w:rStyle w:val="Refdenotaalpie"/>
          <w:rFonts w:ascii="Times New Roman" w:hAnsi="Times New Roman" w:cs="Times New Roman"/>
        </w:rPr>
        <w:footnoteRef/>
      </w:r>
      <w:r w:rsidRPr="00A82D5D">
        <w:rPr>
          <w:rFonts w:ascii="Times New Roman" w:hAnsi="Times New Roman" w:cs="Times New Roman"/>
        </w:rPr>
        <w:t xml:space="preserve"> CASES SOLA, A., “</w:t>
      </w:r>
      <w:r w:rsidRPr="008E3A89">
        <w:rPr>
          <w:rFonts w:ascii="Times New Roman" w:hAnsi="Times New Roman" w:cs="Times New Roman"/>
        </w:rPr>
        <w:t xml:space="preserve">La violencia sexual en la retaguardia republicana durante la Guerra Civil Española”, </w:t>
      </w:r>
      <w:r w:rsidRPr="008E3A89">
        <w:rPr>
          <w:rFonts w:ascii="Times New Roman" w:hAnsi="Times New Roman" w:cs="Times New Roman"/>
          <w:i/>
        </w:rPr>
        <w:t xml:space="preserve">Historia Actual Online, </w:t>
      </w:r>
      <w:r w:rsidRPr="008E3A89">
        <w:rPr>
          <w:rFonts w:ascii="Times New Roman" w:hAnsi="Times New Roman" w:cs="Times New Roman"/>
        </w:rPr>
        <w:t>núm. 34, 2014, p. 69.</w:t>
      </w:r>
    </w:p>
  </w:footnote>
  <w:footnote w:id="41">
    <w:p w:rsidR="00CE38F9" w:rsidRPr="008E3A89" w:rsidRDefault="00CE38F9" w:rsidP="008E3A89">
      <w:pPr>
        <w:pStyle w:val="Textonotapie"/>
        <w:jc w:val="both"/>
        <w:rPr>
          <w:rFonts w:ascii="Times New Roman" w:hAnsi="Times New Roman" w:cs="Times New Roman"/>
        </w:rPr>
      </w:pPr>
      <w:r w:rsidRPr="008E3A89">
        <w:rPr>
          <w:rStyle w:val="Refdenotaalpie"/>
          <w:rFonts w:ascii="Times New Roman" w:hAnsi="Times New Roman" w:cs="Times New Roman"/>
        </w:rPr>
        <w:footnoteRef/>
      </w:r>
      <w:r w:rsidRPr="008E3A89">
        <w:rPr>
          <w:rFonts w:ascii="Times New Roman" w:hAnsi="Times New Roman" w:cs="Times New Roman"/>
        </w:rPr>
        <w:t xml:space="preserve"> SÁNCHEZ BLANCO, L., </w:t>
      </w:r>
      <w:r w:rsidRPr="008E3A89">
        <w:rPr>
          <w:rFonts w:ascii="Times New Roman" w:hAnsi="Times New Roman" w:cs="Times New Roman"/>
          <w:i/>
        </w:rPr>
        <w:t xml:space="preserve">Mujeres falangistas, tradicionalistas y de Acción Católica asesinadas en la Guerra Civil, </w:t>
      </w:r>
      <w:r w:rsidRPr="008E3A89">
        <w:rPr>
          <w:rFonts w:ascii="Times New Roman" w:hAnsi="Times New Roman" w:cs="Times New Roman"/>
        </w:rPr>
        <w:t>Actas, Madrid, 2016</w:t>
      </w:r>
      <w:r>
        <w:rPr>
          <w:rFonts w:ascii="Times New Roman" w:hAnsi="Times New Roman" w:cs="Times New Roman"/>
        </w:rPr>
        <w:t>.</w:t>
      </w:r>
    </w:p>
  </w:footnote>
  <w:footnote w:id="42">
    <w:p w:rsidR="00CE38F9" w:rsidRPr="008E3A89" w:rsidRDefault="00CE38F9" w:rsidP="008E3A89">
      <w:pPr>
        <w:pStyle w:val="Textonotapie"/>
        <w:jc w:val="both"/>
        <w:rPr>
          <w:rFonts w:ascii="Times New Roman" w:hAnsi="Times New Roman" w:cs="Times New Roman"/>
          <w:i/>
        </w:rPr>
      </w:pPr>
      <w:r w:rsidRPr="008E3A89">
        <w:rPr>
          <w:rStyle w:val="Refdenotaalpie"/>
          <w:rFonts w:ascii="Times New Roman" w:hAnsi="Times New Roman" w:cs="Times New Roman"/>
        </w:rPr>
        <w:footnoteRef/>
      </w:r>
      <w:r w:rsidRPr="008E3A89">
        <w:rPr>
          <w:rFonts w:ascii="Times New Roman" w:hAnsi="Times New Roman" w:cs="Times New Roman"/>
        </w:rPr>
        <w:t xml:space="preserve"> RODRÍGUEZ LÓPEZ, S.: </w:t>
      </w:r>
      <w:r w:rsidR="00B146C9">
        <w:rPr>
          <w:rFonts w:ascii="Times New Roman" w:hAnsi="Times New Roman" w:cs="Times New Roman"/>
        </w:rPr>
        <w:t>“</w:t>
      </w:r>
      <w:r w:rsidRPr="008E3A89">
        <w:rPr>
          <w:rFonts w:ascii="Times New Roman" w:hAnsi="Times New Roman" w:cs="Times New Roman"/>
        </w:rPr>
        <w:t>Reseña de Rosas y margaritas. Mujeres falangistas, tradicionalistas y de Acción Católica asesinadas en la guerra civil”</w:t>
      </w:r>
      <w:r>
        <w:rPr>
          <w:rFonts w:ascii="Times New Roman" w:hAnsi="Times New Roman" w:cs="Times New Roman"/>
        </w:rPr>
        <w:t xml:space="preserve">, </w:t>
      </w:r>
      <w:proofErr w:type="spellStart"/>
      <w:r>
        <w:rPr>
          <w:rFonts w:ascii="Times New Roman" w:hAnsi="Times New Roman" w:cs="Times New Roman"/>
          <w:i/>
        </w:rPr>
        <w:t>Stvdia</w:t>
      </w:r>
      <w:proofErr w:type="spellEnd"/>
      <w:r>
        <w:rPr>
          <w:rFonts w:ascii="Times New Roman" w:hAnsi="Times New Roman" w:cs="Times New Roman"/>
          <w:i/>
        </w:rPr>
        <w:t xml:space="preserve"> Histórica. Historia Contemporánea, núm. 34, </w:t>
      </w:r>
      <w:r>
        <w:rPr>
          <w:rFonts w:ascii="Times New Roman" w:hAnsi="Times New Roman" w:cs="Times New Roman"/>
        </w:rPr>
        <w:t>pp. 504-508.</w:t>
      </w:r>
      <w:r>
        <w:rPr>
          <w:rFonts w:ascii="Times New Roman" w:hAnsi="Times New Roman" w:cs="Times New Roman"/>
          <w:i/>
        </w:rPr>
        <w:t xml:space="preserve"> </w:t>
      </w:r>
    </w:p>
  </w:footnote>
  <w:footnote w:id="43">
    <w:p w:rsidR="00CE38F9" w:rsidRPr="00A82D5D" w:rsidRDefault="00CE38F9" w:rsidP="00A82D5D">
      <w:pPr>
        <w:pStyle w:val="Textonotapie"/>
        <w:jc w:val="both"/>
        <w:rPr>
          <w:rFonts w:ascii="Times New Roman" w:hAnsi="Times New Roman" w:cs="Times New Roman"/>
        </w:rPr>
      </w:pPr>
      <w:r w:rsidRPr="00A82D5D">
        <w:rPr>
          <w:rStyle w:val="Refdenotaalpie"/>
          <w:rFonts w:ascii="Times New Roman" w:hAnsi="Times New Roman" w:cs="Times New Roman"/>
        </w:rPr>
        <w:footnoteRef/>
      </w:r>
      <w:r w:rsidRPr="00A82D5D">
        <w:rPr>
          <w:rFonts w:ascii="Times New Roman" w:hAnsi="Times New Roman" w:cs="Times New Roman"/>
        </w:rPr>
        <w:t xml:space="preserve"> GARCÍA MÁRQUEZ, J.M., </w:t>
      </w:r>
      <w:r w:rsidRPr="00A82D5D">
        <w:rPr>
          <w:rFonts w:ascii="Times New Roman" w:hAnsi="Times New Roman" w:cs="Times New Roman"/>
          <w:i/>
        </w:rPr>
        <w:t xml:space="preserve">Las víctimas de la represión militar en la provincia de Sevilla (1936-1963), </w:t>
      </w:r>
      <w:r w:rsidRPr="00A82D5D">
        <w:rPr>
          <w:rFonts w:ascii="Times New Roman" w:hAnsi="Times New Roman" w:cs="Times New Roman"/>
        </w:rPr>
        <w:t>Aconcagua, Sevilla, 2012.</w:t>
      </w:r>
    </w:p>
  </w:footnote>
  <w:footnote w:id="44">
    <w:p w:rsidR="00CE38F9" w:rsidRPr="008E3A89" w:rsidRDefault="00CE38F9" w:rsidP="008E3A89">
      <w:pPr>
        <w:pStyle w:val="Textonotapie"/>
        <w:jc w:val="both"/>
        <w:rPr>
          <w:rFonts w:ascii="Times New Roman" w:hAnsi="Times New Roman" w:cs="Times New Roman"/>
        </w:rPr>
      </w:pPr>
      <w:r w:rsidRPr="008E3A89">
        <w:rPr>
          <w:rStyle w:val="Refdenotaalpie"/>
          <w:rFonts w:ascii="Times New Roman" w:hAnsi="Times New Roman" w:cs="Times New Roman"/>
        </w:rPr>
        <w:footnoteRef/>
      </w:r>
      <w:r w:rsidRPr="008E3A89">
        <w:rPr>
          <w:rFonts w:ascii="Times New Roman" w:hAnsi="Times New Roman" w:cs="Times New Roman"/>
        </w:rPr>
        <w:t xml:space="preserve"> BARRANQUERO TEXEIRA, E., Málaga entre la guerra y la posguerra. El franquismo, </w:t>
      </w:r>
      <w:proofErr w:type="spellStart"/>
      <w:r w:rsidRPr="008E3A89">
        <w:rPr>
          <w:rFonts w:ascii="Times New Roman" w:hAnsi="Times New Roman" w:cs="Times New Roman"/>
        </w:rPr>
        <w:t>Arguval</w:t>
      </w:r>
      <w:proofErr w:type="spellEnd"/>
      <w:r w:rsidRPr="008E3A89">
        <w:rPr>
          <w:rFonts w:ascii="Times New Roman" w:hAnsi="Times New Roman" w:cs="Times New Roman"/>
        </w:rPr>
        <w:t>, Málaga, 1994, pp. 265-296.</w:t>
      </w:r>
    </w:p>
  </w:footnote>
  <w:footnote w:id="45">
    <w:p w:rsidR="00CE38F9" w:rsidRPr="00A82D5D" w:rsidRDefault="00CE38F9">
      <w:pPr>
        <w:pStyle w:val="Textonotapie"/>
        <w:rPr>
          <w:rFonts w:ascii="Times New Roman" w:hAnsi="Times New Roman" w:cs="Times New Roman"/>
        </w:rPr>
      </w:pPr>
      <w:r w:rsidRPr="00A82D5D">
        <w:rPr>
          <w:rStyle w:val="Refdenotaalpie"/>
          <w:rFonts w:ascii="Times New Roman" w:hAnsi="Times New Roman" w:cs="Times New Roman"/>
        </w:rPr>
        <w:footnoteRef/>
      </w:r>
      <w:r w:rsidRPr="00A82D5D">
        <w:rPr>
          <w:rFonts w:ascii="Times New Roman" w:hAnsi="Times New Roman" w:cs="Times New Roman"/>
        </w:rPr>
        <w:t xml:space="preserve"> PRADA, J., </w:t>
      </w:r>
      <w:proofErr w:type="spellStart"/>
      <w:r w:rsidRPr="00A82D5D">
        <w:rPr>
          <w:rFonts w:ascii="Times New Roman" w:hAnsi="Times New Roman" w:cs="Times New Roman"/>
          <w:i/>
        </w:rPr>
        <w:t>op</w:t>
      </w:r>
      <w:proofErr w:type="spellEnd"/>
      <w:r w:rsidRPr="00A82D5D">
        <w:rPr>
          <w:rFonts w:ascii="Times New Roman" w:hAnsi="Times New Roman" w:cs="Times New Roman"/>
          <w:i/>
        </w:rPr>
        <w:t xml:space="preserve">. cit. </w:t>
      </w:r>
      <w:r w:rsidRPr="00A82D5D">
        <w:rPr>
          <w:rFonts w:ascii="Times New Roman" w:hAnsi="Times New Roman" w:cs="Times New Roman"/>
        </w:rPr>
        <w:t>pp. 155-192.</w:t>
      </w:r>
    </w:p>
  </w:footnote>
  <w:footnote w:id="46">
    <w:p w:rsidR="00CE38F9" w:rsidRPr="00A82D5D" w:rsidRDefault="00CE38F9">
      <w:pPr>
        <w:pStyle w:val="Textonotapie"/>
        <w:rPr>
          <w:rFonts w:ascii="Times New Roman" w:hAnsi="Times New Roman" w:cs="Times New Roman"/>
        </w:rPr>
      </w:pPr>
      <w:r w:rsidRPr="00A82D5D">
        <w:rPr>
          <w:rStyle w:val="Refdenotaalpie"/>
          <w:rFonts w:ascii="Times New Roman" w:hAnsi="Times New Roman" w:cs="Times New Roman"/>
        </w:rPr>
        <w:footnoteRef/>
      </w:r>
      <w:r w:rsidRPr="00A82D5D">
        <w:rPr>
          <w:rFonts w:ascii="Times New Roman" w:hAnsi="Times New Roman" w:cs="Times New Roman"/>
        </w:rPr>
        <w:t xml:space="preserve"> CUEVAS, T. </w:t>
      </w:r>
      <w:proofErr w:type="spellStart"/>
      <w:r w:rsidRPr="00A82D5D">
        <w:rPr>
          <w:rFonts w:ascii="Times New Roman" w:hAnsi="Times New Roman" w:cs="Times New Roman"/>
          <w:i/>
        </w:rPr>
        <w:t>op</w:t>
      </w:r>
      <w:proofErr w:type="spellEnd"/>
      <w:r w:rsidRPr="00A82D5D">
        <w:rPr>
          <w:rFonts w:ascii="Times New Roman" w:hAnsi="Times New Roman" w:cs="Times New Roman"/>
          <w:i/>
        </w:rPr>
        <w:t>. cit.</w:t>
      </w:r>
    </w:p>
  </w:footnote>
  <w:footnote w:id="47">
    <w:p w:rsidR="00CE38F9" w:rsidRPr="00A82D5D" w:rsidRDefault="00CE38F9">
      <w:pPr>
        <w:pStyle w:val="Textonotapie"/>
        <w:rPr>
          <w:rFonts w:ascii="Times New Roman" w:hAnsi="Times New Roman" w:cs="Times New Roman"/>
        </w:rPr>
      </w:pPr>
      <w:r w:rsidRPr="00A82D5D">
        <w:rPr>
          <w:rStyle w:val="Refdenotaalpie"/>
          <w:rFonts w:ascii="Times New Roman" w:hAnsi="Times New Roman" w:cs="Times New Roman"/>
        </w:rPr>
        <w:footnoteRef/>
      </w:r>
      <w:r w:rsidRPr="00A82D5D">
        <w:rPr>
          <w:rFonts w:ascii="Times New Roman" w:hAnsi="Times New Roman" w:cs="Times New Roman"/>
        </w:rPr>
        <w:t xml:space="preserve"> GÁLVEZ, S. y HERNÁNDEZ, F. (Ed.), </w:t>
      </w:r>
      <w:r w:rsidRPr="00A82D5D">
        <w:rPr>
          <w:rFonts w:ascii="Times New Roman" w:hAnsi="Times New Roman" w:cs="Times New Roman"/>
          <w:i/>
        </w:rPr>
        <w:t xml:space="preserve">Presas de Franco, </w:t>
      </w:r>
      <w:r w:rsidRPr="00A82D5D">
        <w:rPr>
          <w:rFonts w:ascii="Times New Roman" w:hAnsi="Times New Roman" w:cs="Times New Roman"/>
        </w:rPr>
        <w:t>Diputación Provincial, Málaga, 2007.</w:t>
      </w:r>
    </w:p>
  </w:footnote>
  <w:footnote w:id="48">
    <w:p w:rsidR="00CE38F9" w:rsidRPr="00A82D5D" w:rsidRDefault="00CE38F9">
      <w:pPr>
        <w:pStyle w:val="Textonotapie"/>
        <w:rPr>
          <w:rFonts w:ascii="Times New Roman" w:hAnsi="Times New Roman" w:cs="Times New Roman"/>
        </w:rPr>
      </w:pPr>
      <w:r w:rsidRPr="00A82D5D">
        <w:rPr>
          <w:rStyle w:val="Refdenotaalpie"/>
          <w:rFonts w:ascii="Times New Roman" w:hAnsi="Times New Roman" w:cs="Times New Roman"/>
        </w:rPr>
        <w:footnoteRef/>
      </w:r>
      <w:r w:rsidRPr="00A82D5D">
        <w:rPr>
          <w:rFonts w:ascii="Times New Roman" w:hAnsi="Times New Roman" w:cs="Times New Roman"/>
        </w:rPr>
        <w:t xml:space="preserve"> EGIDO LEÓN, A., </w:t>
      </w:r>
      <w:r w:rsidRPr="00A82D5D">
        <w:rPr>
          <w:rFonts w:ascii="Times New Roman" w:hAnsi="Times New Roman" w:cs="Times New Roman"/>
          <w:i/>
        </w:rPr>
        <w:t xml:space="preserve">Cárceles de mujeres. La prisión femenina en la posguerra, </w:t>
      </w:r>
      <w:r w:rsidRPr="00A82D5D">
        <w:rPr>
          <w:rFonts w:ascii="Times New Roman" w:hAnsi="Times New Roman" w:cs="Times New Roman"/>
        </w:rPr>
        <w:t>Sanz Torres, Madrid, 2017.</w:t>
      </w:r>
    </w:p>
  </w:footnote>
  <w:footnote w:id="49">
    <w:p w:rsidR="00CE38F9" w:rsidRPr="000F673C" w:rsidRDefault="00CE38F9" w:rsidP="000F673C">
      <w:pPr>
        <w:pStyle w:val="Textonotapie"/>
        <w:jc w:val="both"/>
        <w:rPr>
          <w:rFonts w:ascii="Times New Roman" w:hAnsi="Times New Roman" w:cs="Times New Roman"/>
        </w:rPr>
      </w:pPr>
      <w:r w:rsidRPr="000F673C">
        <w:rPr>
          <w:rStyle w:val="Refdenotaalpie"/>
          <w:rFonts w:ascii="Times New Roman" w:hAnsi="Times New Roman" w:cs="Times New Roman"/>
        </w:rPr>
        <w:footnoteRef/>
      </w:r>
      <w:r w:rsidRPr="000F673C">
        <w:rPr>
          <w:rFonts w:ascii="Times New Roman" w:hAnsi="Times New Roman" w:cs="Times New Roman"/>
        </w:rPr>
        <w:t xml:space="preserve"> ARAGÜÉS ESTRAGUÉS, R., </w:t>
      </w:r>
      <w:r w:rsidRPr="000F673C">
        <w:rPr>
          <w:rFonts w:ascii="Times New Roman" w:hAnsi="Times New Roman" w:cs="Times New Roman"/>
          <w:i/>
        </w:rPr>
        <w:t xml:space="preserve">Las rojas y sus hijos, víctimas de la legislación franquista. El caso de la cárcel de Predicadores (1939-1945), </w:t>
      </w:r>
      <w:r>
        <w:rPr>
          <w:rFonts w:ascii="Times New Roman" w:hAnsi="Times New Roman" w:cs="Times New Roman"/>
        </w:rPr>
        <w:t>Sanz</w:t>
      </w:r>
      <w:r w:rsidRPr="000F673C">
        <w:rPr>
          <w:rFonts w:ascii="Times New Roman" w:hAnsi="Times New Roman" w:cs="Times New Roman"/>
        </w:rPr>
        <w:t xml:space="preserve"> y Torres, Madrid, 2014.</w:t>
      </w:r>
    </w:p>
  </w:footnote>
  <w:footnote w:id="50">
    <w:p w:rsidR="00CE38F9" w:rsidRPr="000F673C" w:rsidRDefault="00CE38F9" w:rsidP="000F673C">
      <w:pPr>
        <w:pStyle w:val="Textonotapie"/>
        <w:jc w:val="both"/>
        <w:rPr>
          <w:rFonts w:ascii="Times New Roman" w:hAnsi="Times New Roman" w:cs="Times New Roman"/>
        </w:rPr>
      </w:pPr>
      <w:r w:rsidRPr="000F673C">
        <w:rPr>
          <w:rStyle w:val="Refdenotaalpie"/>
          <w:rFonts w:ascii="Times New Roman" w:hAnsi="Times New Roman" w:cs="Times New Roman"/>
        </w:rPr>
        <w:footnoteRef/>
      </w:r>
      <w:r w:rsidRPr="000F673C">
        <w:rPr>
          <w:rFonts w:ascii="Times New Roman" w:hAnsi="Times New Roman" w:cs="Times New Roman"/>
        </w:rPr>
        <w:t xml:space="preserve"> BARRANQUERO TEXEIRA, E. y EIROA SAN FRANCISCO, M.: “La cárcel de mujeres de Málaga en la paz de Franco”, </w:t>
      </w:r>
      <w:proofErr w:type="spellStart"/>
      <w:r w:rsidRPr="000F673C">
        <w:rPr>
          <w:rFonts w:ascii="Times New Roman" w:hAnsi="Times New Roman" w:cs="Times New Roman"/>
          <w:i/>
        </w:rPr>
        <w:t>Stvdia</w:t>
      </w:r>
      <w:proofErr w:type="spellEnd"/>
      <w:r w:rsidRPr="000F673C">
        <w:rPr>
          <w:rFonts w:ascii="Times New Roman" w:hAnsi="Times New Roman" w:cs="Times New Roman"/>
          <w:i/>
        </w:rPr>
        <w:t xml:space="preserve"> Histórica. Historia Contemporánea, </w:t>
      </w:r>
      <w:r w:rsidRPr="000F673C">
        <w:rPr>
          <w:rFonts w:ascii="Times New Roman" w:hAnsi="Times New Roman" w:cs="Times New Roman"/>
        </w:rPr>
        <w:t>núm. 29, 2011, pp. 119-137.</w:t>
      </w:r>
    </w:p>
  </w:footnote>
  <w:footnote w:id="51">
    <w:p w:rsidR="00CE38F9" w:rsidRPr="008C3267" w:rsidRDefault="00CE38F9" w:rsidP="008C3267">
      <w:pPr>
        <w:pStyle w:val="Textonotapie"/>
        <w:jc w:val="both"/>
        <w:rPr>
          <w:rFonts w:ascii="Times New Roman" w:hAnsi="Times New Roman" w:cs="Times New Roman"/>
        </w:rPr>
      </w:pPr>
      <w:r w:rsidRPr="008C3267">
        <w:rPr>
          <w:rStyle w:val="Refdenotaalpie"/>
          <w:rFonts w:ascii="Times New Roman" w:hAnsi="Times New Roman" w:cs="Times New Roman"/>
        </w:rPr>
        <w:footnoteRef/>
      </w:r>
      <w:r w:rsidRPr="008C3267">
        <w:rPr>
          <w:rFonts w:ascii="Times New Roman" w:hAnsi="Times New Roman" w:cs="Times New Roman"/>
        </w:rPr>
        <w:t xml:space="preserve"> MARTÍNEZ, F., </w:t>
      </w:r>
      <w:r w:rsidRPr="008C3267">
        <w:rPr>
          <w:rFonts w:ascii="Times New Roman" w:hAnsi="Times New Roman" w:cs="Times New Roman"/>
          <w:i/>
        </w:rPr>
        <w:t xml:space="preserve">Las Responsabilidades Políticas en Andalucía, 1936-1945, </w:t>
      </w:r>
      <w:r w:rsidRPr="008C3267">
        <w:rPr>
          <w:rFonts w:ascii="Times New Roman" w:hAnsi="Times New Roman" w:cs="Times New Roman"/>
        </w:rPr>
        <w:t>Centro de Estudios Andaluces, Sevilla, 2014.</w:t>
      </w:r>
    </w:p>
  </w:footnote>
  <w:footnote w:id="52">
    <w:p w:rsidR="00CE38F9" w:rsidRPr="00AA66A9" w:rsidRDefault="00CE38F9" w:rsidP="008C3267">
      <w:pPr>
        <w:pStyle w:val="Textonotapie"/>
        <w:jc w:val="both"/>
        <w:rPr>
          <w:rFonts w:ascii="Times New Roman" w:hAnsi="Times New Roman" w:cs="Times New Roman"/>
        </w:rPr>
      </w:pPr>
      <w:r w:rsidRPr="008C3267">
        <w:rPr>
          <w:rStyle w:val="Refdenotaalpie"/>
          <w:rFonts w:ascii="Times New Roman" w:hAnsi="Times New Roman" w:cs="Times New Roman"/>
        </w:rPr>
        <w:footnoteRef/>
      </w:r>
      <w:r w:rsidRPr="008C3267">
        <w:rPr>
          <w:rFonts w:ascii="Times New Roman" w:hAnsi="Times New Roman" w:cs="Times New Roman"/>
        </w:rPr>
        <w:t xml:space="preserve"> BLANCO RODRÍGUEZ, E., “Las vencidas. La represión de las mujeres de Ciudad Real mediante la Jurisdicción Especial de Responsabilidades Políticas (1939-1945),</w:t>
      </w:r>
      <w:r w:rsidRPr="008C3267">
        <w:rPr>
          <w:rFonts w:ascii="Times New Roman" w:hAnsi="Times New Roman" w:cs="Times New Roman"/>
          <w:i/>
        </w:rPr>
        <w:t xml:space="preserve"> Arenal, </w:t>
      </w:r>
      <w:r>
        <w:rPr>
          <w:rFonts w:ascii="Times New Roman" w:hAnsi="Times New Roman" w:cs="Times New Roman"/>
        </w:rPr>
        <w:t>núm. 27, pp.</w:t>
      </w:r>
      <w:r w:rsidR="00BF4EBB">
        <w:rPr>
          <w:rFonts w:ascii="Times New Roman" w:hAnsi="Times New Roman" w:cs="Times New Roman"/>
        </w:rPr>
        <w:t xml:space="preserve"> 225-280</w:t>
      </w:r>
      <w:r w:rsidR="00AA66A9">
        <w:rPr>
          <w:rFonts w:ascii="Times New Roman" w:hAnsi="Times New Roman" w:cs="Times New Roman"/>
        </w:rPr>
        <w:t>,</w:t>
      </w:r>
      <w:r w:rsidR="00BF4EBB">
        <w:rPr>
          <w:rFonts w:ascii="Times New Roman" w:hAnsi="Times New Roman" w:cs="Times New Roman"/>
        </w:rPr>
        <w:t xml:space="preserve"> o BARRAGÁN MORIANA, M., </w:t>
      </w:r>
      <w:r w:rsidR="00AA66A9">
        <w:rPr>
          <w:rFonts w:ascii="Times New Roman" w:hAnsi="Times New Roman" w:cs="Times New Roman"/>
          <w:i/>
        </w:rPr>
        <w:t>Control social y responsabilidades políticas. Córdoba (1936-1945)</w:t>
      </w:r>
      <w:proofErr w:type="gramStart"/>
      <w:r w:rsidR="00AA66A9">
        <w:rPr>
          <w:rFonts w:ascii="Times New Roman" w:hAnsi="Times New Roman" w:cs="Times New Roman"/>
          <w:i/>
        </w:rPr>
        <w:t>,</w:t>
      </w:r>
      <w:r w:rsidR="00AA66A9">
        <w:rPr>
          <w:rFonts w:ascii="Times New Roman" w:hAnsi="Times New Roman" w:cs="Times New Roman"/>
        </w:rPr>
        <w:t>El</w:t>
      </w:r>
      <w:proofErr w:type="gramEnd"/>
      <w:r w:rsidR="00AA66A9">
        <w:rPr>
          <w:rFonts w:ascii="Times New Roman" w:hAnsi="Times New Roman" w:cs="Times New Roman"/>
        </w:rPr>
        <w:t xml:space="preserve"> Páramo, Córdoba, 2009.</w:t>
      </w:r>
    </w:p>
  </w:footnote>
  <w:footnote w:id="53">
    <w:p w:rsidR="00CE38F9" w:rsidRPr="00D210D2" w:rsidRDefault="00CE38F9">
      <w:pPr>
        <w:pStyle w:val="Textonotapie"/>
        <w:rPr>
          <w:rFonts w:ascii="Times New Roman" w:hAnsi="Times New Roman" w:cs="Times New Roman"/>
          <w:i/>
        </w:rPr>
      </w:pPr>
      <w:r w:rsidRPr="00D210D2">
        <w:rPr>
          <w:rStyle w:val="Refdenotaalpie"/>
          <w:rFonts w:ascii="Times New Roman" w:hAnsi="Times New Roman" w:cs="Times New Roman"/>
        </w:rPr>
        <w:footnoteRef/>
      </w:r>
      <w:r w:rsidRPr="00D210D2">
        <w:rPr>
          <w:rFonts w:ascii="Times New Roman" w:hAnsi="Times New Roman" w:cs="Times New Roman"/>
        </w:rPr>
        <w:t xml:space="preserve"> SÁNCHEZ, P., </w:t>
      </w:r>
      <w:proofErr w:type="spellStart"/>
      <w:r w:rsidRPr="00D210D2">
        <w:rPr>
          <w:rFonts w:ascii="Times New Roman" w:hAnsi="Times New Roman" w:cs="Times New Roman"/>
          <w:i/>
        </w:rPr>
        <w:t>op</w:t>
      </w:r>
      <w:proofErr w:type="spellEnd"/>
      <w:r w:rsidRPr="00D210D2">
        <w:rPr>
          <w:rFonts w:ascii="Times New Roman" w:hAnsi="Times New Roman" w:cs="Times New Roman"/>
          <w:i/>
        </w:rPr>
        <w:t xml:space="preserve">. cit. </w:t>
      </w:r>
    </w:p>
  </w:footnote>
  <w:footnote w:id="54">
    <w:p w:rsidR="00CE38F9" w:rsidRPr="00D210D2" w:rsidRDefault="00CE38F9">
      <w:pPr>
        <w:pStyle w:val="Textonotapie"/>
        <w:rPr>
          <w:rFonts w:ascii="Times New Roman" w:hAnsi="Times New Roman" w:cs="Times New Roman"/>
        </w:rPr>
      </w:pPr>
      <w:r w:rsidRPr="00D210D2">
        <w:rPr>
          <w:rStyle w:val="Refdenotaalpie"/>
          <w:rFonts w:ascii="Times New Roman" w:hAnsi="Times New Roman" w:cs="Times New Roman"/>
        </w:rPr>
        <w:footnoteRef/>
      </w:r>
      <w:r w:rsidRPr="00D210D2">
        <w:rPr>
          <w:rFonts w:ascii="Times New Roman" w:hAnsi="Times New Roman" w:cs="Times New Roman"/>
        </w:rPr>
        <w:t xml:space="preserve"> VIRGILI, F., </w:t>
      </w:r>
      <w:proofErr w:type="spellStart"/>
      <w:r w:rsidRPr="00D210D2">
        <w:rPr>
          <w:rFonts w:ascii="Times New Roman" w:hAnsi="Times New Roman" w:cs="Times New Roman"/>
          <w:i/>
        </w:rPr>
        <w:t>op</w:t>
      </w:r>
      <w:proofErr w:type="spellEnd"/>
      <w:r w:rsidRPr="00D210D2">
        <w:rPr>
          <w:rFonts w:ascii="Times New Roman" w:hAnsi="Times New Roman" w:cs="Times New Roman"/>
          <w:i/>
        </w:rPr>
        <w:t xml:space="preserve">. cit. </w:t>
      </w:r>
      <w:r>
        <w:rPr>
          <w:rFonts w:ascii="Times New Roman" w:hAnsi="Times New Roman" w:cs="Times New Roman"/>
        </w:rPr>
        <w:t>pp. 361-372</w:t>
      </w:r>
      <w:r w:rsidR="00E72D3E">
        <w:rPr>
          <w:rFonts w:ascii="Times New Roman" w:hAnsi="Times New Roman" w:cs="Times New Roman"/>
        </w:rPr>
        <w:t>.</w:t>
      </w:r>
    </w:p>
  </w:footnote>
  <w:footnote w:id="55">
    <w:p w:rsidR="00CE38F9" w:rsidRPr="00D210D2" w:rsidRDefault="00CE38F9">
      <w:pPr>
        <w:pStyle w:val="Textonotapie"/>
        <w:rPr>
          <w:rFonts w:ascii="Times New Roman" w:hAnsi="Times New Roman" w:cs="Times New Roman"/>
        </w:rPr>
      </w:pPr>
      <w:r w:rsidRPr="00D210D2">
        <w:rPr>
          <w:rStyle w:val="Refdenotaalpie"/>
          <w:rFonts w:ascii="Times New Roman" w:hAnsi="Times New Roman" w:cs="Times New Roman"/>
        </w:rPr>
        <w:footnoteRef/>
      </w:r>
      <w:r w:rsidRPr="00D210D2">
        <w:rPr>
          <w:rFonts w:ascii="Times New Roman" w:hAnsi="Times New Roman" w:cs="Times New Roman"/>
        </w:rPr>
        <w:t xml:space="preserve"> GONZÁLEZ DURO, E.</w:t>
      </w:r>
      <w:r>
        <w:rPr>
          <w:rFonts w:ascii="Times New Roman" w:hAnsi="Times New Roman" w:cs="Times New Roman"/>
        </w:rPr>
        <w:t xml:space="preserve">, </w:t>
      </w:r>
      <w:proofErr w:type="spellStart"/>
      <w:r>
        <w:rPr>
          <w:rFonts w:ascii="Times New Roman" w:hAnsi="Times New Roman" w:cs="Times New Roman"/>
          <w:i/>
        </w:rPr>
        <w:t>op</w:t>
      </w:r>
      <w:proofErr w:type="spellEnd"/>
      <w:r>
        <w:rPr>
          <w:rFonts w:ascii="Times New Roman" w:hAnsi="Times New Roman" w:cs="Times New Roman"/>
          <w:i/>
        </w:rPr>
        <w:t xml:space="preserve">. cit. </w:t>
      </w:r>
      <w:r w:rsidRPr="00D210D2">
        <w:rPr>
          <w:rFonts w:ascii="Times New Roman" w:hAnsi="Times New Roman" w:cs="Times New Roman"/>
        </w:rPr>
        <w:t xml:space="preserve"> </w:t>
      </w:r>
    </w:p>
  </w:footnote>
  <w:footnote w:id="56">
    <w:p w:rsidR="00CE38F9" w:rsidRPr="008C3267" w:rsidRDefault="00CE38F9" w:rsidP="008C3267">
      <w:pPr>
        <w:pStyle w:val="Textonotapie"/>
        <w:jc w:val="both"/>
        <w:rPr>
          <w:rFonts w:ascii="Times New Roman" w:hAnsi="Times New Roman" w:cs="Times New Roman"/>
        </w:rPr>
      </w:pPr>
      <w:r w:rsidRPr="008C3267">
        <w:rPr>
          <w:rStyle w:val="Refdenotaalpie"/>
          <w:rFonts w:ascii="Times New Roman" w:hAnsi="Times New Roman" w:cs="Times New Roman"/>
        </w:rPr>
        <w:footnoteRef/>
      </w:r>
      <w:r w:rsidRPr="008C3267">
        <w:rPr>
          <w:rFonts w:ascii="Times New Roman" w:hAnsi="Times New Roman" w:cs="Times New Roman"/>
        </w:rPr>
        <w:t xml:space="preserve"> BARRANQUERO TEXEIRA, E. y PRIETO BORREGO, L., </w:t>
      </w:r>
      <w:r w:rsidRPr="008C3267">
        <w:rPr>
          <w:rFonts w:ascii="Times New Roman" w:hAnsi="Times New Roman" w:cs="Times New Roman"/>
          <w:i/>
        </w:rPr>
        <w:t xml:space="preserve">La derrota bajo tierra. Las fosas comunes del franquismo, </w:t>
      </w:r>
      <w:proofErr w:type="spellStart"/>
      <w:r>
        <w:rPr>
          <w:rFonts w:ascii="Times New Roman" w:hAnsi="Times New Roman" w:cs="Times New Roman"/>
        </w:rPr>
        <w:t>Comares</w:t>
      </w:r>
      <w:proofErr w:type="spellEnd"/>
      <w:r>
        <w:rPr>
          <w:rFonts w:ascii="Times New Roman" w:hAnsi="Times New Roman" w:cs="Times New Roman"/>
        </w:rPr>
        <w:t>, Granada, 2018, pp. 59-82.</w:t>
      </w:r>
    </w:p>
  </w:footnote>
  <w:footnote w:id="57">
    <w:p w:rsidR="00CE38F9" w:rsidRPr="00670FB8" w:rsidRDefault="00CE38F9">
      <w:pPr>
        <w:pStyle w:val="Textonotapie"/>
        <w:rPr>
          <w:rFonts w:ascii="Times New Roman" w:hAnsi="Times New Roman" w:cs="Times New Roman"/>
        </w:rPr>
      </w:pPr>
      <w:r w:rsidRPr="00670FB8">
        <w:rPr>
          <w:rStyle w:val="Refdenotaalpie"/>
          <w:rFonts w:ascii="Times New Roman" w:hAnsi="Times New Roman" w:cs="Times New Roman"/>
        </w:rPr>
        <w:footnoteRef/>
      </w:r>
      <w:r w:rsidRPr="00670FB8">
        <w:rPr>
          <w:rFonts w:ascii="Times New Roman" w:hAnsi="Times New Roman" w:cs="Times New Roman"/>
        </w:rPr>
        <w:t xml:space="preserve"> NADAL SÁNCHEZ, A., “Experiencia psíquicas sobre mujeres marxistas malagueñas. Málaga, 1939”, </w:t>
      </w:r>
      <w:r w:rsidRPr="00670FB8">
        <w:rPr>
          <w:rFonts w:ascii="Times New Roman" w:hAnsi="Times New Roman" w:cs="Times New Roman"/>
          <w:i/>
        </w:rPr>
        <w:t xml:space="preserve">BAETICA, </w:t>
      </w:r>
      <w:r w:rsidRPr="00670FB8">
        <w:rPr>
          <w:rFonts w:ascii="Times New Roman" w:hAnsi="Times New Roman" w:cs="Times New Roman"/>
        </w:rPr>
        <w:t>núm. 10, 1987, pp. 365-383.</w:t>
      </w:r>
    </w:p>
  </w:footnote>
  <w:footnote w:id="58">
    <w:p w:rsidR="00CE38F9" w:rsidRPr="00856BBF" w:rsidRDefault="00CE38F9" w:rsidP="00AA66A9">
      <w:pPr>
        <w:pStyle w:val="Textonotapie"/>
        <w:jc w:val="both"/>
        <w:rPr>
          <w:rFonts w:ascii="Times New Roman" w:hAnsi="Times New Roman" w:cs="Times New Roman"/>
        </w:rPr>
      </w:pPr>
      <w:r w:rsidRPr="00856BBF">
        <w:rPr>
          <w:rStyle w:val="Refdenotaalpie"/>
          <w:rFonts w:ascii="Times New Roman" w:hAnsi="Times New Roman" w:cs="Times New Roman"/>
        </w:rPr>
        <w:footnoteRef/>
      </w:r>
      <w:r w:rsidRPr="00856BBF">
        <w:rPr>
          <w:rFonts w:ascii="Times New Roman" w:hAnsi="Times New Roman" w:cs="Times New Roman"/>
        </w:rPr>
        <w:t xml:space="preserve"> PRIETO BORREGO, L., </w:t>
      </w:r>
      <w:r w:rsidRPr="00856BBF">
        <w:rPr>
          <w:rFonts w:ascii="Times New Roman" w:hAnsi="Times New Roman" w:cs="Times New Roman"/>
          <w:i/>
        </w:rPr>
        <w:t xml:space="preserve">Mujer, moral y Franquismo. Del velo al bikini, </w:t>
      </w:r>
      <w:r w:rsidRPr="00856BBF">
        <w:rPr>
          <w:rFonts w:ascii="Times New Roman" w:hAnsi="Times New Roman" w:cs="Times New Roman"/>
        </w:rPr>
        <w:t>Universidad de Málaga, Málaga, 2018.</w:t>
      </w:r>
    </w:p>
  </w:footnote>
  <w:footnote w:id="59">
    <w:p w:rsidR="00CE38F9" w:rsidRPr="00D210D2" w:rsidRDefault="00CE38F9" w:rsidP="00AA66A9">
      <w:pPr>
        <w:pStyle w:val="Textonotapie"/>
        <w:jc w:val="both"/>
        <w:rPr>
          <w:rFonts w:ascii="Times New Roman" w:hAnsi="Times New Roman" w:cs="Times New Roman"/>
        </w:rPr>
      </w:pPr>
      <w:r w:rsidRPr="00D210D2">
        <w:rPr>
          <w:rStyle w:val="Refdenotaalpie"/>
          <w:rFonts w:ascii="Times New Roman" w:hAnsi="Times New Roman" w:cs="Times New Roman"/>
        </w:rPr>
        <w:footnoteRef/>
      </w:r>
      <w:r w:rsidRPr="00D210D2">
        <w:rPr>
          <w:rFonts w:ascii="Times New Roman" w:hAnsi="Times New Roman" w:cs="Times New Roman"/>
        </w:rPr>
        <w:t xml:space="preserve"> NADAL, A., </w:t>
      </w:r>
      <w:proofErr w:type="spellStart"/>
      <w:r w:rsidRPr="00D210D2">
        <w:rPr>
          <w:rFonts w:ascii="Times New Roman" w:hAnsi="Times New Roman" w:cs="Times New Roman"/>
          <w:i/>
        </w:rPr>
        <w:t>op</w:t>
      </w:r>
      <w:proofErr w:type="spellEnd"/>
      <w:r w:rsidRPr="00D210D2">
        <w:rPr>
          <w:rFonts w:ascii="Times New Roman" w:hAnsi="Times New Roman" w:cs="Times New Roman"/>
          <w:i/>
        </w:rPr>
        <w:t xml:space="preserve">. cit., </w:t>
      </w:r>
      <w:r w:rsidRPr="00D210D2">
        <w:rPr>
          <w:rFonts w:ascii="Times New Roman" w:hAnsi="Times New Roman" w:cs="Times New Roman"/>
        </w:rPr>
        <w:t>pp. 365-383.</w:t>
      </w:r>
    </w:p>
  </w:footnote>
  <w:footnote w:id="60">
    <w:p w:rsidR="00CE38F9" w:rsidRPr="00435C8D" w:rsidRDefault="00CE38F9">
      <w:pPr>
        <w:pStyle w:val="Textonotapie"/>
        <w:rPr>
          <w:rFonts w:ascii="Times New Roman" w:hAnsi="Times New Roman" w:cs="Times New Roman"/>
        </w:rPr>
      </w:pPr>
      <w:r w:rsidRPr="00435C8D">
        <w:rPr>
          <w:rStyle w:val="Refdenotaalpie"/>
          <w:rFonts w:ascii="Times New Roman" w:hAnsi="Times New Roman" w:cs="Times New Roman"/>
        </w:rPr>
        <w:footnoteRef/>
      </w:r>
      <w:r w:rsidRPr="00435C8D">
        <w:rPr>
          <w:rFonts w:ascii="Times New Roman" w:hAnsi="Times New Roman" w:cs="Times New Roman"/>
        </w:rPr>
        <w:t xml:space="preserve"> NASH, M., </w:t>
      </w:r>
      <w:proofErr w:type="spellStart"/>
      <w:r w:rsidRPr="00435C8D">
        <w:rPr>
          <w:rFonts w:ascii="Times New Roman" w:hAnsi="Times New Roman" w:cs="Times New Roman"/>
          <w:i/>
        </w:rPr>
        <w:t>op</w:t>
      </w:r>
      <w:proofErr w:type="spellEnd"/>
      <w:r w:rsidRPr="00435C8D">
        <w:rPr>
          <w:rFonts w:ascii="Times New Roman" w:hAnsi="Times New Roman" w:cs="Times New Roman"/>
          <w:i/>
        </w:rPr>
        <w:t xml:space="preserve">. cit. </w:t>
      </w:r>
      <w:r w:rsidRPr="00435C8D">
        <w:rPr>
          <w:rFonts w:ascii="Times New Roman" w:hAnsi="Times New Roman" w:cs="Times New Roman"/>
        </w:rPr>
        <w:t>pp. 279-308.</w:t>
      </w:r>
    </w:p>
  </w:footnote>
  <w:footnote w:id="61">
    <w:p w:rsidR="00CE38F9" w:rsidRPr="00435C8D" w:rsidRDefault="00CE38F9">
      <w:pPr>
        <w:pStyle w:val="Textonotapie"/>
        <w:rPr>
          <w:rFonts w:ascii="Times New Roman" w:hAnsi="Times New Roman" w:cs="Times New Roman"/>
        </w:rPr>
      </w:pPr>
      <w:r w:rsidRPr="00435C8D">
        <w:rPr>
          <w:rStyle w:val="Refdenotaalpie"/>
          <w:rFonts w:ascii="Times New Roman" w:hAnsi="Times New Roman" w:cs="Times New Roman"/>
        </w:rPr>
        <w:footnoteRef/>
      </w:r>
      <w:r w:rsidRPr="00435C8D">
        <w:rPr>
          <w:rFonts w:ascii="Times New Roman" w:hAnsi="Times New Roman" w:cs="Times New Roman"/>
        </w:rPr>
        <w:t xml:space="preserve"> BARRANQUERO TEXEIRA, E. y PRIETO BORREGO, L., </w:t>
      </w:r>
      <w:proofErr w:type="spellStart"/>
      <w:r w:rsidRPr="00435C8D">
        <w:rPr>
          <w:rFonts w:ascii="Times New Roman" w:hAnsi="Times New Roman" w:cs="Times New Roman"/>
          <w:i/>
        </w:rPr>
        <w:t>op</w:t>
      </w:r>
      <w:proofErr w:type="spellEnd"/>
      <w:r w:rsidRPr="00435C8D">
        <w:rPr>
          <w:rFonts w:ascii="Times New Roman" w:hAnsi="Times New Roman" w:cs="Times New Roman"/>
          <w:i/>
        </w:rPr>
        <w:t>. cit</w:t>
      </w:r>
      <w:r w:rsidRPr="00435C8D">
        <w:rPr>
          <w:rFonts w:ascii="Times New Roman" w:hAnsi="Times New Roman" w:cs="Times New Roman"/>
        </w:rPr>
        <w:t xml:space="preserve">. </w:t>
      </w:r>
    </w:p>
  </w:footnote>
  <w:footnote w:id="62">
    <w:p w:rsidR="00CE38F9" w:rsidRPr="000D5FE9" w:rsidRDefault="00CE38F9" w:rsidP="000D5FE9">
      <w:pPr>
        <w:pStyle w:val="Textonotapie"/>
        <w:jc w:val="both"/>
        <w:rPr>
          <w:rFonts w:ascii="Times New Roman" w:hAnsi="Times New Roman" w:cs="Times New Roman"/>
        </w:rPr>
      </w:pPr>
      <w:r w:rsidRPr="000D5FE9">
        <w:rPr>
          <w:rStyle w:val="Refdenotaalpie"/>
          <w:rFonts w:ascii="Times New Roman" w:hAnsi="Times New Roman" w:cs="Times New Roman"/>
        </w:rPr>
        <w:footnoteRef/>
      </w:r>
      <w:r w:rsidRPr="000D5FE9">
        <w:rPr>
          <w:rFonts w:ascii="Times New Roman" w:hAnsi="Times New Roman" w:cs="Times New Roman"/>
        </w:rPr>
        <w:t xml:space="preserve"> BABIANO, J. (Ed.), </w:t>
      </w:r>
      <w:r w:rsidRPr="000D5FE9">
        <w:rPr>
          <w:rFonts w:ascii="Times New Roman" w:hAnsi="Times New Roman" w:cs="Times New Roman"/>
          <w:i/>
        </w:rPr>
        <w:t xml:space="preserve">Del hogar a la huelga. Trabajo, género y movimiento obrero durante el franquismo, </w:t>
      </w:r>
      <w:r w:rsidRPr="000D5FE9">
        <w:rPr>
          <w:rFonts w:ascii="Times New Roman" w:hAnsi="Times New Roman" w:cs="Times New Roman"/>
        </w:rPr>
        <w:t>Catarata, Madrid, 2007</w:t>
      </w:r>
      <w:r>
        <w:rPr>
          <w:rFonts w:ascii="Times New Roman" w:hAnsi="Times New Roman" w:cs="Times New Roman"/>
        </w:rPr>
        <w:t>, pp. 17-23</w:t>
      </w:r>
      <w:r w:rsidRPr="000D5FE9">
        <w:rPr>
          <w:rFonts w:ascii="Times New Roman" w:hAnsi="Times New Roman" w:cs="Times New Roman"/>
        </w:rPr>
        <w:t>.</w:t>
      </w:r>
    </w:p>
  </w:footnote>
  <w:footnote w:id="63">
    <w:p w:rsidR="00CE38F9" w:rsidRPr="000D5FE9" w:rsidRDefault="00CE38F9" w:rsidP="000D5FE9">
      <w:pPr>
        <w:pStyle w:val="Textonotapie"/>
        <w:jc w:val="both"/>
        <w:rPr>
          <w:rFonts w:ascii="Times New Roman" w:hAnsi="Times New Roman" w:cs="Times New Roman"/>
        </w:rPr>
      </w:pPr>
      <w:r w:rsidRPr="000D5FE9">
        <w:rPr>
          <w:rStyle w:val="Refdenotaalpie"/>
          <w:rFonts w:ascii="Times New Roman" w:hAnsi="Times New Roman" w:cs="Times New Roman"/>
        </w:rPr>
        <w:footnoteRef/>
      </w:r>
      <w:r w:rsidRPr="000D5FE9">
        <w:rPr>
          <w:rFonts w:ascii="Times New Roman" w:hAnsi="Times New Roman" w:cs="Times New Roman"/>
        </w:rPr>
        <w:t xml:space="preserve"> BARRANQ</w:t>
      </w:r>
      <w:r w:rsidR="00B146C9">
        <w:rPr>
          <w:rFonts w:ascii="Times New Roman" w:hAnsi="Times New Roman" w:cs="Times New Roman"/>
        </w:rPr>
        <w:t>U</w:t>
      </w:r>
      <w:r w:rsidRPr="000D5FE9">
        <w:rPr>
          <w:rFonts w:ascii="Times New Roman" w:hAnsi="Times New Roman" w:cs="Times New Roman"/>
        </w:rPr>
        <w:t>ERO, E., “Mujeres y guerrilla en Andalucía”, en CHAPUT, M.C.; LLECHA, C. y MARTÍNEZ, O. (</w:t>
      </w:r>
      <w:proofErr w:type="spellStart"/>
      <w:r w:rsidRPr="000D5FE9">
        <w:rPr>
          <w:rFonts w:ascii="Times New Roman" w:hAnsi="Times New Roman" w:cs="Times New Roman"/>
        </w:rPr>
        <w:t>Dirs</w:t>
      </w:r>
      <w:proofErr w:type="spellEnd"/>
      <w:r w:rsidRPr="000D5FE9">
        <w:rPr>
          <w:rFonts w:ascii="Times New Roman" w:hAnsi="Times New Roman" w:cs="Times New Roman"/>
        </w:rPr>
        <w:t xml:space="preserve">.), </w:t>
      </w:r>
      <w:r w:rsidRPr="000D5FE9">
        <w:rPr>
          <w:rFonts w:ascii="Times New Roman" w:hAnsi="Times New Roman" w:cs="Times New Roman"/>
          <w:i/>
        </w:rPr>
        <w:t xml:space="preserve">Escrituras de la resistencia armada al franquismo, </w:t>
      </w:r>
      <w:proofErr w:type="spellStart"/>
      <w:r>
        <w:rPr>
          <w:rFonts w:ascii="Times New Roman" w:hAnsi="Times New Roman" w:cs="Times New Roman"/>
        </w:rPr>
        <w:t>Presses</w:t>
      </w:r>
      <w:proofErr w:type="spellEnd"/>
      <w:r>
        <w:rPr>
          <w:rFonts w:ascii="Times New Roman" w:hAnsi="Times New Roman" w:cs="Times New Roman"/>
        </w:rPr>
        <w:t xml:space="preserve"> </w:t>
      </w:r>
      <w:proofErr w:type="spellStart"/>
      <w:r>
        <w:rPr>
          <w:rFonts w:ascii="Times New Roman" w:hAnsi="Times New Roman" w:cs="Times New Roman"/>
        </w:rPr>
        <w:t>Universitaires</w:t>
      </w:r>
      <w:proofErr w:type="spellEnd"/>
      <w:r>
        <w:rPr>
          <w:rFonts w:ascii="Times New Roman" w:hAnsi="Times New Roman" w:cs="Times New Roman"/>
        </w:rPr>
        <w:t xml:space="preserve"> de Paris </w:t>
      </w:r>
      <w:proofErr w:type="spellStart"/>
      <w:r>
        <w:rPr>
          <w:rFonts w:ascii="Times New Roman" w:hAnsi="Times New Roman" w:cs="Times New Roman"/>
        </w:rPr>
        <w:t>N</w:t>
      </w:r>
      <w:r w:rsidR="00AA66A9">
        <w:rPr>
          <w:rFonts w:ascii="Times New Roman" w:hAnsi="Times New Roman" w:cs="Times New Roman"/>
        </w:rPr>
        <w:t>anterre</w:t>
      </w:r>
      <w:proofErr w:type="spellEnd"/>
      <w:r w:rsidR="00AA66A9">
        <w:rPr>
          <w:rFonts w:ascii="Times New Roman" w:hAnsi="Times New Roman" w:cs="Times New Roman"/>
        </w:rPr>
        <w:t>, París, 2017, pp. 71-86.</w:t>
      </w:r>
    </w:p>
  </w:footnote>
  <w:footnote w:id="64">
    <w:p w:rsidR="00CE38F9" w:rsidRPr="00BC5FD4" w:rsidRDefault="00CE38F9">
      <w:pPr>
        <w:pStyle w:val="Textonotapie"/>
        <w:rPr>
          <w:rFonts w:ascii="Times New Roman" w:hAnsi="Times New Roman" w:cs="Times New Roman"/>
        </w:rPr>
      </w:pPr>
      <w:r w:rsidRPr="00BC5FD4">
        <w:rPr>
          <w:rStyle w:val="Refdenotaalpie"/>
          <w:rFonts w:ascii="Times New Roman" w:hAnsi="Times New Roman" w:cs="Times New Roman"/>
        </w:rPr>
        <w:footnoteRef/>
      </w:r>
      <w:r w:rsidRPr="00BC5FD4">
        <w:rPr>
          <w:rFonts w:ascii="Times New Roman" w:hAnsi="Times New Roman" w:cs="Times New Roman"/>
        </w:rPr>
        <w:t xml:space="preserve"> ABAD, I., </w:t>
      </w:r>
      <w:r w:rsidRPr="00BC5FD4">
        <w:rPr>
          <w:rFonts w:ascii="Times New Roman" w:hAnsi="Times New Roman" w:cs="Times New Roman"/>
          <w:i/>
        </w:rPr>
        <w:t xml:space="preserve">En las puertas de la prisión. De la solidaridad a la concienciación política de las mujeres de los presos del franquismo, </w:t>
      </w:r>
      <w:r w:rsidRPr="00BC5FD4">
        <w:rPr>
          <w:rFonts w:ascii="Times New Roman" w:hAnsi="Times New Roman" w:cs="Times New Roman"/>
        </w:rPr>
        <w:t xml:space="preserve">Icaria, Barcelona, 2012. </w:t>
      </w:r>
    </w:p>
  </w:footnote>
  <w:footnote w:id="65">
    <w:p w:rsidR="00CE38F9" w:rsidRPr="00611AEB" w:rsidRDefault="00CE38F9">
      <w:pPr>
        <w:pStyle w:val="Textonotapie"/>
        <w:rPr>
          <w:rFonts w:ascii="Times New Roman" w:hAnsi="Times New Roman" w:cs="Times New Roman"/>
        </w:rPr>
      </w:pPr>
      <w:r w:rsidRPr="00611AEB">
        <w:rPr>
          <w:rStyle w:val="Refdenotaalpie"/>
          <w:rFonts w:ascii="Times New Roman" w:hAnsi="Times New Roman" w:cs="Times New Roman"/>
        </w:rPr>
        <w:footnoteRef/>
      </w:r>
      <w:r w:rsidRPr="00611AEB">
        <w:rPr>
          <w:rFonts w:ascii="Times New Roman" w:hAnsi="Times New Roman" w:cs="Times New Roman"/>
        </w:rPr>
        <w:t xml:space="preserve"> CABANA IGLESIAS,</w:t>
      </w:r>
      <w:r>
        <w:rPr>
          <w:rFonts w:ascii="Times New Roman" w:hAnsi="Times New Roman" w:cs="Times New Roman"/>
        </w:rPr>
        <w:t xml:space="preserve"> </w:t>
      </w:r>
      <w:r w:rsidRPr="00611AEB">
        <w:rPr>
          <w:rFonts w:ascii="Times New Roman" w:hAnsi="Times New Roman" w:cs="Times New Roman"/>
        </w:rPr>
        <w:t xml:space="preserve">A., </w:t>
      </w:r>
      <w:r w:rsidRPr="00611AEB">
        <w:rPr>
          <w:rFonts w:ascii="Times New Roman" w:hAnsi="Times New Roman" w:cs="Times New Roman"/>
          <w:i/>
        </w:rPr>
        <w:t xml:space="preserve">La derrota de lo épico, </w:t>
      </w:r>
      <w:r w:rsidRPr="00611AEB">
        <w:rPr>
          <w:rFonts w:ascii="Times New Roman" w:hAnsi="Times New Roman" w:cs="Times New Roman"/>
        </w:rPr>
        <w:t>Universidad de Valencia, Valencia, 2013.</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6FE5276"/>
    <w:multiLevelType w:val="hybridMultilevel"/>
    <w:tmpl w:val="B1A237C4"/>
    <w:lvl w:ilvl="0" w:tplc="0772FA7E">
      <w:start w:val="1"/>
      <w:numFmt w:val="upperRoman"/>
      <w:lvlText w:val="%1."/>
      <w:lvlJc w:val="left"/>
      <w:pPr>
        <w:ind w:left="1080" w:hanging="72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
    <w:nsid w:val="54313249"/>
    <w:multiLevelType w:val="hybridMultilevel"/>
    <w:tmpl w:val="84EE2092"/>
    <w:lvl w:ilvl="0" w:tplc="D7CC2E52">
      <w:start w:val="5"/>
      <w:numFmt w:val="upperRoman"/>
      <w:lvlText w:val="%1."/>
      <w:lvlJc w:val="left"/>
      <w:pPr>
        <w:ind w:left="1145" w:hanging="720"/>
      </w:pPr>
      <w:rPr>
        <w:rFonts w:hint="default"/>
      </w:rPr>
    </w:lvl>
    <w:lvl w:ilvl="1" w:tplc="0C0A0019" w:tentative="1">
      <w:start w:val="1"/>
      <w:numFmt w:val="lowerLetter"/>
      <w:lvlText w:val="%2."/>
      <w:lvlJc w:val="left"/>
      <w:pPr>
        <w:ind w:left="1505" w:hanging="360"/>
      </w:pPr>
    </w:lvl>
    <w:lvl w:ilvl="2" w:tplc="0C0A001B" w:tentative="1">
      <w:start w:val="1"/>
      <w:numFmt w:val="lowerRoman"/>
      <w:lvlText w:val="%3."/>
      <w:lvlJc w:val="right"/>
      <w:pPr>
        <w:ind w:left="2225" w:hanging="180"/>
      </w:pPr>
    </w:lvl>
    <w:lvl w:ilvl="3" w:tplc="0C0A000F" w:tentative="1">
      <w:start w:val="1"/>
      <w:numFmt w:val="decimal"/>
      <w:lvlText w:val="%4."/>
      <w:lvlJc w:val="left"/>
      <w:pPr>
        <w:ind w:left="2945" w:hanging="360"/>
      </w:pPr>
    </w:lvl>
    <w:lvl w:ilvl="4" w:tplc="0C0A0019" w:tentative="1">
      <w:start w:val="1"/>
      <w:numFmt w:val="lowerLetter"/>
      <w:lvlText w:val="%5."/>
      <w:lvlJc w:val="left"/>
      <w:pPr>
        <w:ind w:left="3665" w:hanging="360"/>
      </w:pPr>
    </w:lvl>
    <w:lvl w:ilvl="5" w:tplc="0C0A001B" w:tentative="1">
      <w:start w:val="1"/>
      <w:numFmt w:val="lowerRoman"/>
      <w:lvlText w:val="%6."/>
      <w:lvlJc w:val="right"/>
      <w:pPr>
        <w:ind w:left="4385" w:hanging="180"/>
      </w:pPr>
    </w:lvl>
    <w:lvl w:ilvl="6" w:tplc="0C0A000F" w:tentative="1">
      <w:start w:val="1"/>
      <w:numFmt w:val="decimal"/>
      <w:lvlText w:val="%7."/>
      <w:lvlJc w:val="left"/>
      <w:pPr>
        <w:ind w:left="5105" w:hanging="360"/>
      </w:pPr>
    </w:lvl>
    <w:lvl w:ilvl="7" w:tplc="0C0A0019" w:tentative="1">
      <w:start w:val="1"/>
      <w:numFmt w:val="lowerLetter"/>
      <w:lvlText w:val="%8."/>
      <w:lvlJc w:val="left"/>
      <w:pPr>
        <w:ind w:left="5825" w:hanging="360"/>
      </w:pPr>
    </w:lvl>
    <w:lvl w:ilvl="8" w:tplc="0C0A001B" w:tentative="1">
      <w:start w:val="1"/>
      <w:numFmt w:val="lowerRoman"/>
      <w:lvlText w:val="%9."/>
      <w:lvlJc w:val="right"/>
      <w:pPr>
        <w:ind w:left="6545" w:hanging="180"/>
      </w:pPr>
    </w:lvl>
  </w:abstractNum>
  <w:abstractNum w:abstractNumId="2">
    <w:nsid w:val="6B2F473A"/>
    <w:multiLevelType w:val="hybridMultilevel"/>
    <w:tmpl w:val="50925958"/>
    <w:lvl w:ilvl="0" w:tplc="0772FA7E">
      <w:start w:val="1"/>
      <w:numFmt w:val="upperRoman"/>
      <w:lvlText w:val="%1."/>
      <w:lvlJc w:val="left"/>
      <w:pPr>
        <w:ind w:left="1145" w:hanging="72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num w:numId="1">
    <w:abstractNumId w:val="0"/>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2"/>
  </w:compat>
  <w:rsids>
    <w:rsidRoot w:val="005807CB"/>
    <w:rsid w:val="00005013"/>
    <w:rsid w:val="00006851"/>
    <w:rsid w:val="00007424"/>
    <w:rsid w:val="000323B4"/>
    <w:rsid w:val="00036BDD"/>
    <w:rsid w:val="0004181A"/>
    <w:rsid w:val="0006245F"/>
    <w:rsid w:val="00076954"/>
    <w:rsid w:val="0008209D"/>
    <w:rsid w:val="000864D5"/>
    <w:rsid w:val="00086ABC"/>
    <w:rsid w:val="000927E0"/>
    <w:rsid w:val="000A4210"/>
    <w:rsid w:val="000A4CC7"/>
    <w:rsid w:val="000A5471"/>
    <w:rsid w:val="000B37B0"/>
    <w:rsid w:val="000C732C"/>
    <w:rsid w:val="000D5FE9"/>
    <w:rsid w:val="000D79A7"/>
    <w:rsid w:val="000E6023"/>
    <w:rsid w:val="000F4989"/>
    <w:rsid w:val="000F4FFB"/>
    <w:rsid w:val="000F673C"/>
    <w:rsid w:val="00101FEF"/>
    <w:rsid w:val="00104567"/>
    <w:rsid w:val="00111B50"/>
    <w:rsid w:val="00114F96"/>
    <w:rsid w:val="00116B89"/>
    <w:rsid w:val="001303E4"/>
    <w:rsid w:val="00170DF7"/>
    <w:rsid w:val="0017783D"/>
    <w:rsid w:val="0018364A"/>
    <w:rsid w:val="001858E5"/>
    <w:rsid w:val="00187AB3"/>
    <w:rsid w:val="001904AD"/>
    <w:rsid w:val="001A4F15"/>
    <w:rsid w:val="001B3432"/>
    <w:rsid w:val="001C0708"/>
    <w:rsid w:val="001D3314"/>
    <w:rsid w:val="001D51FE"/>
    <w:rsid w:val="001E3098"/>
    <w:rsid w:val="001F1074"/>
    <w:rsid w:val="001F1AB5"/>
    <w:rsid w:val="001F2E49"/>
    <w:rsid w:val="00202215"/>
    <w:rsid w:val="002041B6"/>
    <w:rsid w:val="00207945"/>
    <w:rsid w:val="00212740"/>
    <w:rsid w:val="00213C4B"/>
    <w:rsid w:val="00222AD8"/>
    <w:rsid w:val="00227A71"/>
    <w:rsid w:val="00227F44"/>
    <w:rsid w:val="00231032"/>
    <w:rsid w:val="002341A3"/>
    <w:rsid w:val="00235F98"/>
    <w:rsid w:val="00261D0A"/>
    <w:rsid w:val="002639A4"/>
    <w:rsid w:val="00264B27"/>
    <w:rsid w:val="00272410"/>
    <w:rsid w:val="00276310"/>
    <w:rsid w:val="00280079"/>
    <w:rsid w:val="00280A42"/>
    <w:rsid w:val="00280B12"/>
    <w:rsid w:val="00281C5A"/>
    <w:rsid w:val="0028496A"/>
    <w:rsid w:val="002A3F32"/>
    <w:rsid w:val="002A54B5"/>
    <w:rsid w:val="002B0079"/>
    <w:rsid w:val="002B0D68"/>
    <w:rsid w:val="002B1DE1"/>
    <w:rsid w:val="002B55C1"/>
    <w:rsid w:val="002D49D5"/>
    <w:rsid w:val="002D7806"/>
    <w:rsid w:val="002E3CF7"/>
    <w:rsid w:val="00310A3D"/>
    <w:rsid w:val="0032502A"/>
    <w:rsid w:val="003324A1"/>
    <w:rsid w:val="00346E05"/>
    <w:rsid w:val="003470DF"/>
    <w:rsid w:val="003660B8"/>
    <w:rsid w:val="00366F3D"/>
    <w:rsid w:val="0037181B"/>
    <w:rsid w:val="0037644D"/>
    <w:rsid w:val="0038024D"/>
    <w:rsid w:val="0038080B"/>
    <w:rsid w:val="00387543"/>
    <w:rsid w:val="003A3FD8"/>
    <w:rsid w:val="003B1A9D"/>
    <w:rsid w:val="003D094F"/>
    <w:rsid w:val="003E2E9E"/>
    <w:rsid w:val="003F1688"/>
    <w:rsid w:val="00402FD3"/>
    <w:rsid w:val="00403382"/>
    <w:rsid w:val="00407BEF"/>
    <w:rsid w:val="00410005"/>
    <w:rsid w:val="00411FB7"/>
    <w:rsid w:val="00431289"/>
    <w:rsid w:val="00435C8D"/>
    <w:rsid w:val="00444E6F"/>
    <w:rsid w:val="00453692"/>
    <w:rsid w:val="00454680"/>
    <w:rsid w:val="00457F0C"/>
    <w:rsid w:val="004A0E1C"/>
    <w:rsid w:val="004D7DBD"/>
    <w:rsid w:val="004E1A20"/>
    <w:rsid w:val="004E51D1"/>
    <w:rsid w:val="004F3346"/>
    <w:rsid w:val="00501648"/>
    <w:rsid w:val="0050273E"/>
    <w:rsid w:val="00502D9A"/>
    <w:rsid w:val="00505C6F"/>
    <w:rsid w:val="005243B9"/>
    <w:rsid w:val="00524842"/>
    <w:rsid w:val="00524868"/>
    <w:rsid w:val="005256F3"/>
    <w:rsid w:val="00564491"/>
    <w:rsid w:val="00564AB2"/>
    <w:rsid w:val="00565648"/>
    <w:rsid w:val="005702D1"/>
    <w:rsid w:val="00576704"/>
    <w:rsid w:val="005807CB"/>
    <w:rsid w:val="005839F0"/>
    <w:rsid w:val="005857D2"/>
    <w:rsid w:val="00587F84"/>
    <w:rsid w:val="005966B2"/>
    <w:rsid w:val="0059720F"/>
    <w:rsid w:val="00597E7A"/>
    <w:rsid w:val="005A2CA4"/>
    <w:rsid w:val="005A780A"/>
    <w:rsid w:val="005C7206"/>
    <w:rsid w:val="005C7BC3"/>
    <w:rsid w:val="005D3D8F"/>
    <w:rsid w:val="005D5005"/>
    <w:rsid w:val="005D7BD7"/>
    <w:rsid w:val="005E31FD"/>
    <w:rsid w:val="005F036E"/>
    <w:rsid w:val="005F1349"/>
    <w:rsid w:val="005F24E4"/>
    <w:rsid w:val="005F7721"/>
    <w:rsid w:val="00611AEB"/>
    <w:rsid w:val="006166B6"/>
    <w:rsid w:val="00616A6D"/>
    <w:rsid w:val="00620F00"/>
    <w:rsid w:val="00622CCB"/>
    <w:rsid w:val="00622E77"/>
    <w:rsid w:val="006250B3"/>
    <w:rsid w:val="00627C40"/>
    <w:rsid w:val="006403E1"/>
    <w:rsid w:val="00645F76"/>
    <w:rsid w:val="006510D6"/>
    <w:rsid w:val="00654E3D"/>
    <w:rsid w:val="00656DED"/>
    <w:rsid w:val="00670FB8"/>
    <w:rsid w:val="00677A33"/>
    <w:rsid w:val="00683214"/>
    <w:rsid w:val="00694C1B"/>
    <w:rsid w:val="006B47C7"/>
    <w:rsid w:val="006C03AC"/>
    <w:rsid w:val="006C0E7B"/>
    <w:rsid w:val="006C5C23"/>
    <w:rsid w:val="006E36EE"/>
    <w:rsid w:val="006E5A43"/>
    <w:rsid w:val="006F4CD0"/>
    <w:rsid w:val="006F5026"/>
    <w:rsid w:val="006F6296"/>
    <w:rsid w:val="00700B72"/>
    <w:rsid w:val="00704738"/>
    <w:rsid w:val="00720B21"/>
    <w:rsid w:val="0073475A"/>
    <w:rsid w:val="00744AB8"/>
    <w:rsid w:val="0075127A"/>
    <w:rsid w:val="00754429"/>
    <w:rsid w:val="00765F66"/>
    <w:rsid w:val="00770115"/>
    <w:rsid w:val="00770584"/>
    <w:rsid w:val="00785EB9"/>
    <w:rsid w:val="007A0CCA"/>
    <w:rsid w:val="007A14E9"/>
    <w:rsid w:val="007A3171"/>
    <w:rsid w:val="007A51D5"/>
    <w:rsid w:val="007B0750"/>
    <w:rsid w:val="007D07CC"/>
    <w:rsid w:val="007D3FD0"/>
    <w:rsid w:val="007E07C9"/>
    <w:rsid w:val="007E2496"/>
    <w:rsid w:val="0080136D"/>
    <w:rsid w:val="00806637"/>
    <w:rsid w:val="008119F5"/>
    <w:rsid w:val="008140B1"/>
    <w:rsid w:val="00821141"/>
    <w:rsid w:val="00827F23"/>
    <w:rsid w:val="00830532"/>
    <w:rsid w:val="008450D6"/>
    <w:rsid w:val="00856BBF"/>
    <w:rsid w:val="00857035"/>
    <w:rsid w:val="00860D95"/>
    <w:rsid w:val="00861E55"/>
    <w:rsid w:val="0086685C"/>
    <w:rsid w:val="008702EC"/>
    <w:rsid w:val="008719B1"/>
    <w:rsid w:val="00875868"/>
    <w:rsid w:val="00893FBE"/>
    <w:rsid w:val="008A26A1"/>
    <w:rsid w:val="008A510A"/>
    <w:rsid w:val="008A66C2"/>
    <w:rsid w:val="008A6EEF"/>
    <w:rsid w:val="008C3267"/>
    <w:rsid w:val="008E3A89"/>
    <w:rsid w:val="008E5460"/>
    <w:rsid w:val="008F4BC9"/>
    <w:rsid w:val="008F59D1"/>
    <w:rsid w:val="00907220"/>
    <w:rsid w:val="009075FC"/>
    <w:rsid w:val="00923E15"/>
    <w:rsid w:val="00930AFF"/>
    <w:rsid w:val="009369F6"/>
    <w:rsid w:val="0094152F"/>
    <w:rsid w:val="00943BCB"/>
    <w:rsid w:val="00947ECF"/>
    <w:rsid w:val="009542BB"/>
    <w:rsid w:val="00957E25"/>
    <w:rsid w:val="009650B1"/>
    <w:rsid w:val="00966FA8"/>
    <w:rsid w:val="009732AD"/>
    <w:rsid w:val="00975171"/>
    <w:rsid w:val="009829F7"/>
    <w:rsid w:val="00985032"/>
    <w:rsid w:val="009956D0"/>
    <w:rsid w:val="009A4A03"/>
    <w:rsid w:val="009A4C52"/>
    <w:rsid w:val="009C5922"/>
    <w:rsid w:val="009D4554"/>
    <w:rsid w:val="009D6B3D"/>
    <w:rsid w:val="009F79A6"/>
    <w:rsid w:val="00A23062"/>
    <w:rsid w:val="00A252E3"/>
    <w:rsid w:val="00A30365"/>
    <w:rsid w:val="00A34CCD"/>
    <w:rsid w:val="00A35E8E"/>
    <w:rsid w:val="00A65E95"/>
    <w:rsid w:val="00A72F0F"/>
    <w:rsid w:val="00A731A7"/>
    <w:rsid w:val="00A81027"/>
    <w:rsid w:val="00A82D5D"/>
    <w:rsid w:val="00A850D5"/>
    <w:rsid w:val="00A87B69"/>
    <w:rsid w:val="00A96185"/>
    <w:rsid w:val="00AA27FB"/>
    <w:rsid w:val="00AA2B45"/>
    <w:rsid w:val="00AA63B1"/>
    <w:rsid w:val="00AA66A9"/>
    <w:rsid w:val="00AB0B14"/>
    <w:rsid w:val="00AB17B9"/>
    <w:rsid w:val="00AC1539"/>
    <w:rsid w:val="00AD6AEE"/>
    <w:rsid w:val="00AE0424"/>
    <w:rsid w:val="00B00A47"/>
    <w:rsid w:val="00B11DC1"/>
    <w:rsid w:val="00B146C9"/>
    <w:rsid w:val="00B24CF0"/>
    <w:rsid w:val="00B34044"/>
    <w:rsid w:val="00B46307"/>
    <w:rsid w:val="00B51864"/>
    <w:rsid w:val="00B5338C"/>
    <w:rsid w:val="00B558C8"/>
    <w:rsid w:val="00B60952"/>
    <w:rsid w:val="00B7018F"/>
    <w:rsid w:val="00B744BA"/>
    <w:rsid w:val="00B75A4D"/>
    <w:rsid w:val="00B7759F"/>
    <w:rsid w:val="00B80BBE"/>
    <w:rsid w:val="00B83ACF"/>
    <w:rsid w:val="00B86A2C"/>
    <w:rsid w:val="00BA1F80"/>
    <w:rsid w:val="00BA4975"/>
    <w:rsid w:val="00BB0927"/>
    <w:rsid w:val="00BC5FD4"/>
    <w:rsid w:val="00BE14B2"/>
    <w:rsid w:val="00BE52E0"/>
    <w:rsid w:val="00BF2E47"/>
    <w:rsid w:val="00BF4EBB"/>
    <w:rsid w:val="00BF568D"/>
    <w:rsid w:val="00BF5A4B"/>
    <w:rsid w:val="00C000D7"/>
    <w:rsid w:val="00C0663A"/>
    <w:rsid w:val="00C13286"/>
    <w:rsid w:val="00C17935"/>
    <w:rsid w:val="00C20F8F"/>
    <w:rsid w:val="00C24EEC"/>
    <w:rsid w:val="00C33402"/>
    <w:rsid w:val="00C33F25"/>
    <w:rsid w:val="00C33F5D"/>
    <w:rsid w:val="00C41E5B"/>
    <w:rsid w:val="00C44CF6"/>
    <w:rsid w:val="00C45537"/>
    <w:rsid w:val="00C54965"/>
    <w:rsid w:val="00C5631B"/>
    <w:rsid w:val="00C67691"/>
    <w:rsid w:val="00C71920"/>
    <w:rsid w:val="00C72D41"/>
    <w:rsid w:val="00C80822"/>
    <w:rsid w:val="00C822B8"/>
    <w:rsid w:val="00C84CC0"/>
    <w:rsid w:val="00C92588"/>
    <w:rsid w:val="00C955EC"/>
    <w:rsid w:val="00C97E7E"/>
    <w:rsid w:val="00CA18DB"/>
    <w:rsid w:val="00CB3BCF"/>
    <w:rsid w:val="00CB7C23"/>
    <w:rsid w:val="00CC0510"/>
    <w:rsid w:val="00CC16F0"/>
    <w:rsid w:val="00CD41D9"/>
    <w:rsid w:val="00CD4BE2"/>
    <w:rsid w:val="00CE38F9"/>
    <w:rsid w:val="00CE50CE"/>
    <w:rsid w:val="00CE55CE"/>
    <w:rsid w:val="00CF0A68"/>
    <w:rsid w:val="00D062AE"/>
    <w:rsid w:val="00D07181"/>
    <w:rsid w:val="00D210D2"/>
    <w:rsid w:val="00D23667"/>
    <w:rsid w:val="00D61C34"/>
    <w:rsid w:val="00D61DA9"/>
    <w:rsid w:val="00D624B3"/>
    <w:rsid w:val="00D674BD"/>
    <w:rsid w:val="00D76148"/>
    <w:rsid w:val="00D773AB"/>
    <w:rsid w:val="00D80225"/>
    <w:rsid w:val="00D92207"/>
    <w:rsid w:val="00D958D7"/>
    <w:rsid w:val="00DA0958"/>
    <w:rsid w:val="00DA289F"/>
    <w:rsid w:val="00DA53AB"/>
    <w:rsid w:val="00DB0750"/>
    <w:rsid w:val="00DB7176"/>
    <w:rsid w:val="00DC0B13"/>
    <w:rsid w:val="00DC6409"/>
    <w:rsid w:val="00DE1216"/>
    <w:rsid w:val="00DE3B29"/>
    <w:rsid w:val="00E04579"/>
    <w:rsid w:val="00E11536"/>
    <w:rsid w:val="00E1731C"/>
    <w:rsid w:val="00E34FF3"/>
    <w:rsid w:val="00E37DF5"/>
    <w:rsid w:val="00E42D15"/>
    <w:rsid w:val="00E43C3C"/>
    <w:rsid w:val="00E452B7"/>
    <w:rsid w:val="00E539C3"/>
    <w:rsid w:val="00E56A9E"/>
    <w:rsid w:val="00E66DFC"/>
    <w:rsid w:val="00E701BF"/>
    <w:rsid w:val="00E70C8D"/>
    <w:rsid w:val="00E72D3E"/>
    <w:rsid w:val="00E77228"/>
    <w:rsid w:val="00E77827"/>
    <w:rsid w:val="00E84CD2"/>
    <w:rsid w:val="00E86EDF"/>
    <w:rsid w:val="00E877BD"/>
    <w:rsid w:val="00EC1216"/>
    <w:rsid w:val="00EC6FC1"/>
    <w:rsid w:val="00EC7FB8"/>
    <w:rsid w:val="00ED364F"/>
    <w:rsid w:val="00ED4563"/>
    <w:rsid w:val="00EF2E5D"/>
    <w:rsid w:val="00F0578E"/>
    <w:rsid w:val="00F07A4F"/>
    <w:rsid w:val="00F201EC"/>
    <w:rsid w:val="00F422A9"/>
    <w:rsid w:val="00F65F6D"/>
    <w:rsid w:val="00F72B4C"/>
    <w:rsid w:val="00F73A79"/>
    <w:rsid w:val="00F844DB"/>
    <w:rsid w:val="00F96276"/>
    <w:rsid w:val="00FA5FD8"/>
    <w:rsid w:val="00FC397A"/>
    <w:rsid w:val="00FC69B8"/>
    <w:rsid w:val="00FD53EB"/>
    <w:rsid w:val="00FE0C4C"/>
    <w:rsid w:val="00FF7E43"/>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82C82119-42D5-431B-8C21-C2330F01E12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heme="minorHAnsi" w:hAnsi="Times New Roman" w:cs="Times New Roman"/>
        <w:sz w:val="24"/>
        <w:szCs w:val="24"/>
        <w:lang w:val="es-E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807CB"/>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nfasissutil">
    <w:name w:val="Subtle Emphasis"/>
    <w:basedOn w:val="Fuentedeprrafopredeter"/>
    <w:uiPriority w:val="19"/>
    <w:qFormat/>
    <w:rsid w:val="000A5471"/>
    <w:rPr>
      <w:i/>
      <w:iCs/>
      <w:color w:val="808080" w:themeColor="text1" w:themeTint="7F"/>
    </w:rPr>
  </w:style>
  <w:style w:type="character" w:styleId="Hipervnculo">
    <w:name w:val="Hyperlink"/>
    <w:basedOn w:val="Fuentedeprrafopredeter"/>
    <w:uiPriority w:val="99"/>
    <w:unhideWhenUsed/>
    <w:rsid w:val="006C0E7B"/>
    <w:rPr>
      <w:color w:val="0000FF" w:themeColor="hyperlink"/>
      <w:u w:val="single"/>
    </w:rPr>
  </w:style>
  <w:style w:type="paragraph" w:styleId="Textonotapie">
    <w:name w:val="footnote text"/>
    <w:basedOn w:val="Normal"/>
    <w:link w:val="TextonotapieCar"/>
    <w:uiPriority w:val="99"/>
    <w:unhideWhenUsed/>
    <w:rsid w:val="006C0E7B"/>
    <w:pPr>
      <w:spacing w:after="0" w:line="240" w:lineRule="auto"/>
    </w:pPr>
    <w:rPr>
      <w:rFonts w:asciiTheme="minorHAnsi" w:hAnsiTheme="minorHAnsi" w:cstheme="minorBidi"/>
      <w:sz w:val="20"/>
      <w:szCs w:val="20"/>
    </w:rPr>
  </w:style>
  <w:style w:type="character" w:customStyle="1" w:styleId="TextonotapieCar">
    <w:name w:val="Texto nota pie Car"/>
    <w:basedOn w:val="Fuentedeprrafopredeter"/>
    <w:link w:val="Textonotapie"/>
    <w:uiPriority w:val="99"/>
    <w:rsid w:val="006C0E7B"/>
    <w:rPr>
      <w:rFonts w:asciiTheme="minorHAnsi" w:hAnsiTheme="minorHAnsi" w:cstheme="minorBidi"/>
      <w:sz w:val="20"/>
      <w:szCs w:val="20"/>
    </w:rPr>
  </w:style>
  <w:style w:type="character" w:styleId="Refdenotaalpie">
    <w:name w:val="footnote reference"/>
    <w:basedOn w:val="Fuentedeprrafopredeter"/>
    <w:uiPriority w:val="99"/>
    <w:semiHidden/>
    <w:unhideWhenUsed/>
    <w:rsid w:val="006C0E7B"/>
    <w:rPr>
      <w:vertAlign w:val="superscript"/>
    </w:rPr>
  </w:style>
  <w:style w:type="character" w:styleId="Refdecomentario">
    <w:name w:val="annotation reference"/>
    <w:basedOn w:val="Fuentedeprrafopredeter"/>
    <w:uiPriority w:val="99"/>
    <w:semiHidden/>
    <w:unhideWhenUsed/>
    <w:rsid w:val="001F2E49"/>
    <w:rPr>
      <w:sz w:val="16"/>
      <w:szCs w:val="16"/>
    </w:rPr>
  </w:style>
  <w:style w:type="paragraph" w:styleId="Textocomentario">
    <w:name w:val="annotation text"/>
    <w:basedOn w:val="Normal"/>
    <w:link w:val="TextocomentarioCar"/>
    <w:uiPriority w:val="99"/>
    <w:semiHidden/>
    <w:unhideWhenUsed/>
    <w:rsid w:val="001F2E49"/>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1F2E49"/>
    <w:rPr>
      <w:sz w:val="20"/>
      <w:szCs w:val="20"/>
    </w:rPr>
  </w:style>
  <w:style w:type="paragraph" w:styleId="Asuntodelcomentario">
    <w:name w:val="annotation subject"/>
    <w:basedOn w:val="Textocomentario"/>
    <w:next w:val="Textocomentario"/>
    <w:link w:val="AsuntodelcomentarioCar"/>
    <w:uiPriority w:val="99"/>
    <w:semiHidden/>
    <w:unhideWhenUsed/>
    <w:rsid w:val="001F2E49"/>
    <w:rPr>
      <w:b/>
      <w:bCs/>
    </w:rPr>
  </w:style>
  <w:style w:type="character" w:customStyle="1" w:styleId="AsuntodelcomentarioCar">
    <w:name w:val="Asunto del comentario Car"/>
    <w:basedOn w:val="TextocomentarioCar"/>
    <w:link w:val="Asuntodelcomentario"/>
    <w:uiPriority w:val="99"/>
    <w:semiHidden/>
    <w:rsid w:val="001F2E49"/>
    <w:rPr>
      <w:b/>
      <w:bCs/>
      <w:sz w:val="20"/>
      <w:szCs w:val="20"/>
    </w:rPr>
  </w:style>
  <w:style w:type="paragraph" w:styleId="Textodeglobo">
    <w:name w:val="Balloon Text"/>
    <w:basedOn w:val="Normal"/>
    <w:link w:val="TextodegloboCar"/>
    <w:uiPriority w:val="99"/>
    <w:semiHidden/>
    <w:unhideWhenUsed/>
    <w:rsid w:val="001F2E49"/>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1F2E49"/>
    <w:rPr>
      <w:rFonts w:ascii="Segoe UI" w:hAnsi="Segoe UI" w:cs="Segoe UI"/>
      <w:sz w:val="18"/>
      <w:szCs w:val="18"/>
    </w:rPr>
  </w:style>
  <w:style w:type="paragraph" w:styleId="Prrafodelista">
    <w:name w:val="List Paragraph"/>
    <w:basedOn w:val="Normal"/>
    <w:uiPriority w:val="34"/>
    <w:qFormat/>
    <w:rsid w:val="00947ECF"/>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93028841">
      <w:bodyDiv w:val="1"/>
      <w:marLeft w:val="0"/>
      <w:marRight w:val="0"/>
      <w:marTop w:val="0"/>
      <w:marBottom w:val="0"/>
      <w:divBdr>
        <w:top w:val="none" w:sz="0" w:space="0" w:color="auto"/>
        <w:left w:val="none" w:sz="0" w:space="0" w:color="auto"/>
        <w:bottom w:val="none" w:sz="0" w:space="0" w:color="auto"/>
        <w:right w:val="none" w:sz="0" w:space="0" w:color="auto"/>
      </w:divBdr>
    </w:div>
    <w:div w:id="801967076">
      <w:bodyDiv w:val="1"/>
      <w:marLeft w:val="0"/>
      <w:marRight w:val="0"/>
      <w:marTop w:val="0"/>
      <w:marBottom w:val="0"/>
      <w:divBdr>
        <w:top w:val="none" w:sz="0" w:space="0" w:color="auto"/>
        <w:left w:val="none" w:sz="0" w:space="0" w:color="auto"/>
        <w:bottom w:val="none" w:sz="0" w:space="0" w:color="auto"/>
        <w:right w:val="none" w:sz="0" w:space="0" w:color="auto"/>
      </w:divBdr>
    </w:div>
    <w:div w:id="119557802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3BC58E65-7208-44D5-AD52-7A61155CE61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6696</TotalTime>
  <Pages>26</Pages>
  <Words>8612</Words>
  <Characters>47366</Characters>
  <Application>Microsoft Office Word</Application>
  <DocSecurity>0</DocSecurity>
  <Lines>394</Lines>
  <Paragraphs>111</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55867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Eduardo</dc:creator>
  <cp:keywords/>
  <dc:description/>
  <cp:lastModifiedBy>Eduardo</cp:lastModifiedBy>
  <cp:revision>186</cp:revision>
  <dcterms:created xsi:type="dcterms:W3CDTF">2007-12-31T22:09:00Z</dcterms:created>
  <dcterms:modified xsi:type="dcterms:W3CDTF">2023-03-01T08:43:00Z</dcterms:modified>
</cp:coreProperties>
</file>