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C94B5F" w14:textId="71415146" w:rsidR="00DE50F1" w:rsidRDefault="00B82E69" w:rsidP="00F26EA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LA</w:t>
      </w:r>
      <w:r w:rsidR="0015658E" w:rsidRPr="0015658E">
        <w:rPr>
          <w:rFonts w:ascii="Times New Roman" w:hAnsi="Times New Roman" w:cs="Times New Roman"/>
          <w:b/>
          <w:sz w:val="24"/>
          <w:szCs w:val="24"/>
        </w:rPr>
        <w:t xml:space="preserve"> ADMISIÓN DE PRUEBAS EN EL PROCEDIMIENTO COMPETENCIA DE LA FISCALÍA EUROPEA:</w:t>
      </w:r>
      <w:r w:rsidR="00DE50F1">
        <w:rPr>
          <w:rFonts w:ascii="Times New Roman" w:hAnsi="Times New Roman" w:cs="Times New Roman"/>
          <w:b/>
          <w:sz w:val="24"/>
          <w:szCs w:val="24"/>
        </w:rPr>
        <w:t xml:space="preserve"> </w:t>
      </w:r>
      <w:r w:rsidR="00C4719E">
        <w:rPr>
          <w:rFonts w:ascii="Times New Roman" w:hAnsi="Times New Roman" w:cs="Times New Roman"/>
          <w:b/>
          <w:sz w:val="24"/>
          <w:szCs w:val="24"/>
        </w:rPr>
        <w:t>¿</w:t>
      </w:r>
      <w:r w:rsidR="00DE50F1">
        <w:rPr>
          <w:rFonts w:ascii="Times New Roman" w:hAnsi="Times New Roman" w:cs="Times New Roman"/>
          <w:b/>
          <w:sz w:val="24"/>
          <w:szCs w:val="24"/>
        </w:rPr>
        <w:t>UNA REGULACIÓN INSUFICIENTE</w:t>
      </w:r>
      <w:r w:rsidR="00C4719E">
        <w:rPr>
          <w:rFonts w:ascii="Times New Roman" w:hAnsi="Times New Roman" w:cs="Times New Roman"/>
          <w:b/>
          <w:sz w:val="24"/>
          <w:szCs w:val="24"/>
        </w:rPr>
        <w:t>?</w:t>
      </w:r>
    </w:p>
    <w:p w14:paraId="47EE0F54" w14:textId="08F478C1" w:rsidR="009660AA" w:rsidRPr="0015658E" w:rsidRDefault="009660AA" w:rsidP="00F26EA3">
      <w:pPr>
        <w:spacing w:line="360" w:lineRule="auto"/>
        <w:jc w:val="center"/>
        <w:rPr>
          <w:rFonts w:ascii="Times New Roman" w:hAnsi="Times New Roman" w:cs="Times New Roman"/>
          <w:i/>
          <w:sz w:val="24"/>
          <w:szCs w:val="24"/>
        </w:rPr>
      </w:pPr>
      <w:r w:rsidRPr="0015658E">
        <w:rPr>
          <w:rFonts w:ascii="Times New Roman" w:hAnsi="Times New Roman" w:cs="Times New Roman"/>
          <w:i/>
          <w:sz w:val="24"/>
          <w:szCs w:val="24"/>
        </w:rPr>
        <w:t>María de las Nieves Jiménez López</w:t>
      </w:r>
    </w:p>
    <w:p w14:paraId="12D22F5D" w14:textId="097FA8C7" w:rsidR="009660AA" w:rsidRPr="0015658E" w:rsidRDefault="009660AA" w:rsidP="00F26EA3">
      <w:pPr>
        <w:spacing w:line="360" w:lineRule="auto"/>
        <w:jc w:val="center"/>
        <w:rPr>
          <w:rFonts w:ascii="Times New Roman" w:hAnsi="Times New Roman" w:cs="Times New Roman"/>
          <w:i/>
          <w:sz w:val="24"/>
          <w:szCs w:val="24"/>
        </w:rPr>
      </w:pPr>
      <w:r w:rsidRPr="0015658E">
        <w:rPr>
          <w:rFonts w:ascii="Times New Roman" w:hAnsi="Times New Roman" w:cs="Times New Roman"/>
          <w:i/>
          <w:sz w:val="24"/>
          <w:szCs w:val="24"/>
        </w:rPr>
        <w:t>Profesora Contratada Doctora de Derecho Procesal de la Universidad de Málaga</w:t>
      </w:r>
    </w:p>
    <w:p w14:paraId="3CE64844" w14:textId="77777777" w:rsidR="00A00EED" w:rsidRDefault="00A00EED" w:rsidP="00F26EA3">
      <w:pPr>
        <w:spacing w:line="360" w:lineRule="auto"/>
        <w:rPr>
          <w:rFonts w:ascii="Times New Roman" w:hAnsi="Times New Roman" w:cs="Times New Roman"/>
          <w:sz w:val="24"/>
          <w:szCs w:val="24"/>
        </w:rPr>
      </w:pPr>
    </w:p>
    <w:p w14:paraId="017A8D79" w14:textId="43267434" w:rsidR="009660AA" w:rsidRDefault="00A00EED" w:rsidP="00DE50F1">
      <w:pPr>
        <w:spacing w:line="360" w:lineRule="auto"/>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La creación de la Fiscalía Europea en 2017 supone un paso histórico </w:t>
      </w:r>
      <w:r w:rsidR="00D960ED">
        <w:rPr>
          <w:rFonts w:ascii="Times New Roman" w:hAnsi="Times New Roman" w:cs="Times New Roman"/>
          <w:sz w:val="24"/>
          <w:szCs w:val="24"/>
        </w:rPr>
        <w:t>en al ámbito jurídico de la Unión Europea. La importancia de que</w:t>
      </w:r>
      <w:r w:rsidR="00D22A17">
        <w:rPr>
          <w:rFonts w:ascii="Times New Roman" w:hAnsi="Times New Roman" w:cs="Times New Roman"/>
          <w:sz w:val="24"/>
          <w:szCs w:val="24"/>
        </w:rPr>
        <w:t xml:space="preserve">, por fin, se haya constituido y esté en funcionamiento un órgano a nivel europeo que proteja los intereses, de momento, económicos de la Unión, supone un gran avance hacia un espacio jurídico común de los países de la Unión. Sin embargo, desde que se inician los primeros proyectos y comienzan a </w:t>
      </w:r>
      <w:r w:rsidR="00DE50F1">
        <w:rPr>
          <w:rFonts w:ascii="Times New Roman" w:hAnsi="Times New Roman" w:cs="Times New Roman"/>
          <w:sz w:val="24"/>
          <w:szCs w:val="24"/>
        </w:rPr>
        <w:t xml:space="preserve">ver la luz los primeros resultados, </w:t>
      </w:r>
      <w:r w:rsidR="00D22A17">
        <w:rPr>
          <w:rFonts w:ascii="Times New Roman" w:hAnsi="Times New Roman" w:cs="Times New Roman"/>
          <w:sz w:val="24"/>
          <w:szCs w:val="24"/>
        </w:rPr>
        <w:t>especialmente</w:t>
      </w:r>
      <w:r w:rsidR="00DE50F1">
        <w:rPr>
          <w:rFonts w:ascii="Times New Roman" w:hAnsi="Times New Roman" w:cs="Times New Roman"/>
          <w:sz w:val="24"/>
          <w:szCs w:val="24"/>
        </w:rPr>
        <w:t xml:space="preserve">, </w:t>
      </w:r>
      <w:r w:rsidR="00D22A17">
        <w:rPr>
          <w:rFonts w:ascii="Times New Roman" w:hAnsi="Times New Roman" w:cs="Times New Roman"/>
          <w:sz w:val="24"/>
          <w:szCs w:val="24"/>
        </w:rPr>
        <w:t xml:space="preserve">la Propuesta de Reglamento de 2013, </w:t>
      </w:r>
      <w:r w:rsidR="00DE50F1">
        <w:rPr>
          <w:rFonts w:ascii="Times New Roman" w:hAnsi="Times New Roman" w:cs="Times New Roman"/>
          <w:sz w:val="24"/>
          <w:szCs w:val="24"/>
        </w:rPr>
        <w:t xml:space="preserve">hasta que se aprueba el Reglamento de 2017, muchos han sido los cambios que han tenido que introducirse hasta llegar a esta regulación común que ha permitido, finalmente su creación. </w:t>
      </w:r>
    </w:p>
    <w:p w14:paraId="2F8D6207" w14:textId="7FCCB26D" w:rsidR="00DE50F1" w:rsidRDefault="00DE50F1" w:rsidP="00DE50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Entre esos cambios, destaca por su importancia, la estructura y organización del propio organismo, así como sus competencias, y el régimen de obtención y admisibilidad de pruebas, unas cuestiones que son, sin embargo, fundamentales para el correcto desarrollo del procedimiento y, lo que, es más, para el éxito del propio organismo. </w:t>
      </w:r>
    </w:p>
    <w:p w14:paraId="6AE6062B" w14:textId="73338644" w:rsidR="00A80114" w:rsidRDefault="00A80114" w:rsidP="00DE50F1">
      <w:pPr>
        <w:spacing w:line="360" w:lineRule="auto"/>
        <w:jc w:val="both"/>
        <w:rPr>
          <w:rFonts w:ascii="Times New Roman" w:hAnsi="Times New Roman" w:cs="Times New Roman"/>
          <w:sz w:val="24"/>
          <w:szCs w:val="24"/>
        </w:rPr>
      </w:pPr>
      <w:r>
        <w:rPr>
          <w:rFonts w:ascii="Times New Roman" w:hAnsi="Times New Roman" w:cs="Times New Roman"/>
          <w:sz w:val="24"/>
          <w:szCs w:val="24"/>
        </w:rPr>
        <w:t>En estas líneas, reflexionamos sobre la regulación de la admisibilidad de pruebas</w:t>
      </w:r>
      <w:r w:rsidR="00D42B9D">
        <w:rPr>
          <w:rFonts w:ascii="Times New Roman" w:hAnsi="Times New Roman" w:cs="Times New Roman"/>
          <w:sz w:val="24"/>
          <w:szCs w:val="24"/>
        </w:rPr>
        <w:t xml:space="preserve">, que se presenta, inicialmente como insuficiente, y cuyos problemas prácticos pueden ser de gran importancia. </w:t>
      </w:r>
    </w:p>
    <w:p w14:paraId="621046A3" w14:textId="77777777" w:rsidR="00A00EED" w:rsidRPr="0015658E" w:rsidRDefault="00A00EED" w:rsidP="00F26EA3">
      <w:pPr>
        <w:spacing w:line="360" w:lineRule="auto"/>
        <w:rPr>
          <w:rFonts w:ascii="Times New Roman" w:hAnsi="Times New Roman" w:cs="Times New Roman"/>
          <w:sz w:val="24"/>
          <w:szCs w:val="24"/>
        </w:rPr>
      </w:pPr>
    </w:p>
    <w:p w14:paraId="40C91F02" w14:textId="77777777" w:rsidR="006C657F" w:rsidRPr="006C657F" w:rsidRDefault="006C657F" w:rsidP="006C657F">
      <w:pPr>
        <w:pStyle w:val="Textonotapie"/>
        <w:spacing w:line="360" w:lineRule="auto"/>
        <w:jc w:val="both"/>
        <w:rPr>
          <w:rFonts w:ascii="Times New Roman" w:hAnsi="Times New Roman" w:cs="Times New Roman"/>
          <w:sz w:val="24"/>
          <w:szCs w:val="24"/>
        </w:rPr>
      </w:pPr>
    </w:p>
    <w:sectPr w:rsidR="006C657F" w:rsidRPr="006C657F">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D311B2" w14:textId="77777777" w:rsidR="00563FF9" w:rsidRDefault="00563FF9" w:rsidP="00C30E2B">
      <w:pPr>
        <w:spacing w:after="0" w:line="240" w:lineRule="auto"/>
      </w:pPr>
      <w:r>
        <w:separator/>
      </w:r>
    </w:p>
  </w:endnote>
  <w:endnote w:type="continuationSeparator" w:id="0">
    <w:p w14:paraId="1A798CF3" w14:textId="77777777" w:rsidR="00563FF9" w:rsidRDefault="00563FF9" w:rsidP="00C30E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38502"/>
      <w:docPartObj>
        <w:docPartGallery w:val="Page Numbers (Bottom of Page)"/>
        <w:docPartUnique/>
      </w:docPartObj>
    </w:sdtPr>
    <w:sdtEndPr/>
    <w:sdtContent>
      <w:p w14:paraId="18D2480D" w14:textId="12BA3045" w:rsidR="0068130B" w:rsidRDefault="0068130B">
        <w:pPr>
          <w:pStyle w:val="Piedepgina"/>
          <w:jc w:val="center"/>
        </w:pPr>
        <w:r w:rsidRPr="0068130B">
          <w:rPr>
            <w:rFonts w:ascii="Times New Roman" w:hAnsi="Times New Roman" w:cs="Times New Roman"/>
            <w:sz w:val="24"/>
            <w:szCs w:val="24"/>
          </w:rPr>
          <w:fldChar w:fldCharType="begin"/>
        </w:r>
        <w:r w:rsidRPr="0068130B">
          <w:rPr>
            <w:rFonts w:ascii="Times New Roman" w:hAnsi="Times New Roman" w:cs="Times New Roman"/>
            <w:sz w:val="24"/>
            <w:szCs w:val="24"/>
          </w:rPr>
          <w:instrText>PAGE   \* MERGEFORMAT</w:instrText>
        </w:r>
        <w:r w:rsidRPr="0068130B">
          <w:rPr>
            <w:rFonts w:ascii="Times New Roman" w:hAnsi="Times New Roman" w:cs="Times New Roman"/>
            <w:sz w:val="24"/>
            <w:szCs w:val="24"/>
          </w:rPr>
          <w:fldChar w:fldCharType="separate"/>
        </w:r>
        <w:r w:rsidRPr="0068130B">
          <w:rPr>
            <w:rFonts w:ascii="Times New Roman" w:hAnsi="Times New Roman" w:cs="Times New Roman"/>
            <w:sz w:val="24"/>
            <w:szCs w:val="24"/>
          </w:rPr>
          <w:t>2</w:t>
        </w:r>
        <w:r w:rsidRPr="0068130B">
          <w:rPr>
            <w:rFonts w:ascii="Times New Roman" w:hAnsi="Times New Roman" w:cs="Times New Roman"/>
            <w:sz w:val="24"/>
            <w:szCs w:val="24"/>
          </w:rPr>
          <w:fldChar w:fldCharType="end"/>
        </w:r>
      </w:p>
    </w:sdtContent>
  </w:sdt>
  <w:p w14:paraId="51578A0D" w14:textId="77777777" w:rsidR="0068130B" w:rsidRDefault="0068130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D0CAF2" w14:textId="77777777" w:rsidR="00563FF9" w:rsidRDefault="00563FF9" w:rsidP="00C30E2B">
      <w:pPr>
        <w:spacing w:after="0" w:line="240" w:lineRule="auto"/>
      </w:pPr>
      <w:r>
        <w:separator/>
      </w:r>
    </w:p>
  </w:footnote>
  <w:footnote w:type="continuationSeparator" w:id="0">
    <w:p w14:paraId="3F58463C" w14:textId="77777777" w:rsidR="00563FF9" w:rsidRDefault="00563FF9" w:rsidP="00C30E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7166D2"/>
    <w:multiLevelType w:val="hybridMultilevel"/>
    <w:tmpl w:val="387E92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81B"/>
    <w:rsid w:val="00052327"/>
    <w:rsid w:val="00074CA7"/>
    <w:rsid w:val="000A1D3E"/>
    <w:rsid w:val="0015658E"/>
    <w:rsid w:val="001B0BF2"/>
    <w:rsid w:val="00216FF6"/>
    <w:rsid w:val="00262874"/>
    <w:rsid w:val="002C1114"/>
    <w:rsid w:val="00322FBA"/>
    <w:rsid w:val="003321F0"/>
    <w:rsid w:val="00334DC6"/>
    <w:rsid w:val="00350545"/>
    <w:rsid w:val="00370DCF"/>
    <w:rsid w:val="003E0729"/>
    <w:rsid w:val="00470403"/>
    <w:rsid w:val="00504083"/>
    <w:rsid w:val="00551DD8"/>
    <w:rsid w:val="00563FF9"/>
    <w:rsid w:val="005F05E8"/>
    <w:rsid w:val="005F6F61"/>
    <w:rsid w:val="006018A5"/>
    <w:rsid w:val="006152B4"/>
    <w:rsid w:val="00617D20"/>
    <w:rsid w:val="006632C9"/>
    <w:rsid w:val="0068130B"/>
    <w:rsid w:val="006B47C2"/>
    <w:rsid w:val="006B7C88"/>
    <w:rsid w:val="006C657F"/>
    <w:rsid w:val="00741340"/>
    <w:rsid w:val="00777AF0"/>
    <w:rsid w:val="0080713E"/>
    <w:rsid w:val="008B4FE1"/>
    <w:rsid w:val="008D2AFA"/>
    <w:rsid w:val="009207AE"/>
    <w:rsid w:val="009325E2"/>
    <w:rsid w:val="00954ACB"/>
    <w:rsid w:val="009660AA"/>
    <w:rsid w:val="009D33DA"/>
    <w:rsid w:val="00A00EED"/>
    <w:rsid w:val="00A80114"/>
    <w:rsid w:val="00A82535"/>
    <w:rsid w:val="00AF61D2"/>
    <w:rsid w:val="00B2283B"/>
    <w:rsid w:val="00B82E69"/>
    <w:rsid w:val="00B86914"/>
    <w:rsid w:val="00B90E63"/>
    <w:rsid w:val="00BC2F14"/>
    <w:rsid w:val="00BE1BA4"/>
    <w:rsid w:val="00BF467D"/>
    <w:rsid w:val="00C30E2B"/>
    <w:rsid w:val="00C4719E"/>
    <w:rsid w:val="00C56896"/>
    <w:rsid w:val="00C634A1"/>
    <w:rsid w:val="00D04531"/>
    <w:rsid w:val="00D1237C"/>
    <w:rsid w:val="00D22A17"/>
    <w:rsid w:val="00D42B9D"/>
    <w:rsid w:val="00D960ED"/>
    <w:rsid w:val="00DA34DC"/>
    <w:rsid w:val="00DD376C"/>
    <w:rsid w:val="00DE2A4D"/>
    <w:rsid w:val="00DE50F1"/>
    <w:rsid w:val="00DF3D85"/>
    <w:rsid w:val="00E30859"/>
    <w:rsid w:val="00E62EEB"/>
    <w:rsid w:val="00F26EA3"/>
    <w:rsid w:val="00F7281B"/>
    <w:rsid w:val="00F825B0"/>
    <w:rsid w:val="00FC7003"/>
    <w:rsid w:val="00FE3CC9"/>
    <w:rsid w:val="00FE6E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35454"/>
  <w15:chartTrackingRefBased/>
  <w15:docId w15:val="{2B62B6AA-7E61-4E88-AE35-E0A56142F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E308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5658E"/>
    <w:pPr>
      <w:ind w:left="720"/>
      <w:contextualSpacing/>
    </w:pPr>
  </w:style>
  <w:style w:type="paragraph" w:styleId="Textonotapie">
    <w:name w:val="footnote text"/>
    <w:basedOn w:val="Normal"/>
    <w:link w:val="TextonotapieCar"/>
    <w:uiPriority w:val="99"/>
    <w:unhideWhenUsed/>
    <w:rsid w:val="00C30E2B"/>
    <w:pPr>
      <w:spacing w:after="0" w:line="240" w:lineRule="auto"/>
    </w:pPr>
    <w:rPr>
      <w:sz w:val="20"/>
      <w:szCs w:val="20"/>
    </w:rPr>
  </w:style>
  <w:style w:type="character" w:customStyle="1" w:styleId="TextonotapieCar">
    <w:name w:val="Texto nota pie Car"/>
    <w:basedOn w:val="Fuentedeprrafopredeter"/>
    <w:link w:val="Textonotapie"/>
    <w:uiPriority w:val="99"/>
    <w:rsid w:val="00C30E2B"/>
    <w:rPr>
      <w:sz w:val="20"/>
      <w:szCs w:val="20"/>
    </w:rPr>
  </w:style>
  <w:style w:type="character" w:styleId="Refdenotaalpie">
    <w:name w:val="footnote reference"/>
    <w:basedOn w:val="Fuentedeprrafopredeter"/>
    <w:uiPriority w:val="99"/>
    <w:semiHidden/>
    <w:unhideWhenUsed/>
    <w:rsid w:val="00C30E2B"/>
    <w:rPr>
      <w:vertAlign w:val="superscript"/>
    </w:rPr>
  </w:style>
  <w:style w:type="paragraph" w:customStyle="1" w:styleId="Default">
    <w:name w:val="Default"/>
    <w:rsid w:val="00B90E63"/>
    <w:pPr>
      <w:autoSpaceDE w:val="0"/>
      <w:autoSpaceDN w:val="0"/>
      <w:adjustRightInd w:val="0"/>
      <w:spacing w:after="0" w:line="240" w:lineRule="auto"/>
    </w:pPr>
    <w:rPr>
      <w:rFonts w:ascii="EUAlbertina" w:hAnsi="EUAlbertina" w:cs="EUAlbertina"/>
      <w:color w:val="000000"/>
      <w:sz w:val="24"/>
      <w:szCs w:val="24"/>
    </w:rPr>
  </w:style>
  <w:style w:type="paragraph" w:styleId="Encabezado">
    <w:name w:val="header"/>
    <w:basedOn w:val="Normal"/>
    <w:link w:val="EncabezadoCar"/>
    <w:uiPriority w:val="99"/>
    <w:unhideWhenUsed/>
    <w:rsid w:val="0068130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130B"/>
  </w:style>
  <w:style w:type="paragraph" w:styleId="Piedepgina">
    <w:name w:val="footer"/>
    <w:basedOn w:val="Normal"/>
    <w:link w:val="PiedepginaCar"/>
    <w:uiPriority w:val="99"/>
    <w:unhideWhenUsed/>
    <w:rsid w:val="0068130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130B"/>
  </w:style>
  <w:style w:type="character" w:customStyle="1" w:styleId="titulo">
    <w:name w:val="titulo"/>
    <w:basedOn w:val="Fuentedeprrafopredeter"/>
    <w:rsid w:val="00A82535"/>
  </w:style>
  <w:style w:type="character" w:customStyle="1" w:styleId="separador">
    <w:name w:val="separador"/>
    <w:basedOn w:val="Fuentedeprrafopredeter"/>
    <w:rsid w:val="00A82535"/>
  </w:style>
  <w:style w:type="character" w:customStyle="1" w:styleId="subtitulo">
    <w:name w:val="subtitulo"/>
    <w:basedOn w:val="Fuentedeprrafopredeter"/>
    <w:rsid w:val="00A82535"/>
  </w:style>
  <w:style w:type="character" w:customStyle="1" w:styleId="Ttulo2Car">
    <w:name w:val="Título 2 Car"/>
    <w:basedOn w:val="Fuentedeprrafopredeter"/>
    <w:link w:val="Ttulo2"/>
    <w:uiPriority w:val="9"/>
    <w:rsid w:val="00E30859"/>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5942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6A4944-4305-4FB2-BE6E-2DE8016F4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223</Words>
  <Characters>1227</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De Las Nieves Jimenez Lopez</dc:creator>
  <cp:keywords/>
  <dc:description/>
  <cp:lastModifiedBy>Maria De Las Nieves Jimenez Lopez</cp:lastModifiedBy>
  <cp:revision>4</cp:revision>
  <dcterms:created xsi:type="dcterms:W3CDTF">2023-11-17T08:47:00Z</dcterms:created>
  <dcterms:modified xsi:type="dcterms:W3CDTF">2023-11-17T08:51:00Z</dcterms:modified>
</cp:coreProperties>
</file>