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086C" w:rsidRPr="00D027C2" w:rsidRDefault="003A20F1" w:rsidP="006A086C">
      <w:pPr>
        <w:pStyle w:val="lisbonparagraph"/>
        <w:spacing w:after="0"/>
        <w:jc w:val="left"/>
        <w:rPr>
          <w:lang w:val="es-ES"/>
        </w:rPr>
      </w:pPr>
      <w:bookmarkStart w:id="0" w:name="_Toc435774346"/>
      <w:bookmarkStart w:id="1" w:name="_Toc436088059"/>
      <w:r>
        <w:rPr>
          <w:lang w:val="es-ES"/>
        </w:rPr>
        <w:t>CONTABILIDAD</w:t>
      </w:r>
    </w:p>
    <w:p w:rsidR="006A086C" w:rsidRPr="00D027C2" w:rsidRDefault="006A086C" w:rsidP="006A086C">
      <w:pPr>
        <w:pStyle w:val="lisbonparagraph"/>
        <w:spacing w:after="0"/>
        <w:jc w:val="left"/>
        <w:rPr>
          <w:lang w:val="es-ES"/>
        </w:rPr>
      </w:pPr>
    </w:p>
    <w:p w:rsidR="006A086C" w:rsidRPr="00D027C2" w:rsidRDefault="003A20F1" w:rsidP="006A086C">
      <w:pPr>
        <w:pStyle w:val="Authoraddress"/>
        <w:spacing w:line="240" w:lineRule="auto"/>
        <w:jc w:val="left"/>
        <w:rPr>
          <w:rFonts w:ascii="Times New Roman" w:hAnsi="Times New Roman"/>
          <w:sz w:val="24"/>
          <w:lang w:val="es-ES"/>
        </w:rPr>
      </w:pPr>
      <w:r>
        <w:rPr>
          <w:rFonts w:ascii="Times New Roman" w:hAnsi="Times New Roman"/>
          <w:b/>
          <w:caps/>
          <w:sz w:val="24"/>
          <w:lang w:val="es-ES"/>
        </w:rPr>
        <w:t>CONSOLIDACIÓN DE LA INFORMACIÓN SOBRE COSTES E INDICADORES DE GESTIÓN EN LA ADMINISTRACIÓN LOCAL</w:t>
      </w:r>
      <w:r w:rsidR="009E5175">
        <w:rPr>
          <w:rFonts w:ascii="Times New Roman" w:hAnsi="Times New Roman"/>
          <w:b/>
          <w:caps/>
          <w:sz w:val="24"/>
          <w:lang w:val="es-ES"/>
        </w:rPr>
        <w:t xml:space="preserve"> española</w:t>
      </w:r>
    </w:p>
    <w:p w:rsidR="006A086C" w:rsidRPr="00D027C2" w:rsidRDefault="006A086C" w:rsidP="006A086C">
      <w:pPr>
        <w:spacing w:before="0" w:after="0" w:line="240" w:lineRule="auto"/>
        <w:jc w:val="right"/>
        <w:textAlignment w:val="baseline"/>
        <w:rPr>
          <w:rFonts w:ascii="Times New Roman" w:hAnsi="Times New Roman"/>
          <w:szCs w:val="20"/>
          <w:lang w:val="es-ES"/>
        </w:rPr>
      </w:pPr>
    </w:p>
    <w:p w:rsidR="006A086C" w:rsidRPr="00D027C2" w:rsidRDefault="003A20F1" w:rsidP="006A086C">
      <w:pPr>
        <w:spacing w:before="0" w:after="0" w:line="240" w:lineRule="auto"/>
        <w:jc w:val="right"/>
        <w:textAlignment w:val="baseline"/>
        <w:rPr>
          <w:rFonts w:ascii="Times New Roman" w:hAnsi="Times New Roman"/>
          <w:szCs w:val="20"/>
          <w:lang w:val="es-ES"/>
        </w:rPr>
      </w:pPr>
      <w:bookmarkStart w:id="2" w:name="_Hlk11960954"/>
      <w:r>
        <w:rPr>
          <w:rFonts w:ascii="Times New Roman" w:hAnsi="Times New Roman"/>
          <w:szCs w:val="20"/>
          <w:lang w:val="es-ES"/>
        </w:rPr>
        <w:t>Daniel Sánchez Toledano, dstoledano@uma.es</w:t>
      </w:r>
      <w:bookmarkEnd w:id="2"/>
      <w:r w:rsidR="006A086C" w:rsidRPr="00D027C2">
        <w:rPr>
          <w:rFonts w:ascii="Times New Roman" w:hAnsi="Times New Roman"/>
          <w:szCs w:val="20"/>
          <w:lang w:val="es-ES"/>
        </w:rPr>
        <w:t xml:space="preserve">, </w:t>
      </w:r>
      <w:r>
        <w:rPr>
          <w:rFonts w:ascii="Times New Roman" w:hAnsi="Times New Roman"/>
          <w:szCs w:val="20"/>
          <w:lang w:val="es-ES"/>
        </w:rPr>
        <w:t>Universidad de Málaga</w:t>
      </w:r>
    </w:p>
    <w:p w:rsidR="006A086C" w:rsidRDefault="003A20F1" w:rsidP="006A086C">
      <w:pPr>
        <w:spacing w:before="0" w:after="0" w:line="240" w:lineRule="auto"/>
        <w:jc w:val="right"/>
        <w:textAlignment w:val="baseline"/>
        <w:rPr>
          <w:rFonts w:ascii="Times New Roman" w:hAnsi="Times New Roman"/>
          <w:szCs w:val="20"/>
          <w:lang w:val="es-ES"/>
        </w:rPr>
      </w:pPr>
      <w:r w:rsidRPr="009E5175">
        <w:rPr>
          <w:rFonts w:ascii="Times New Roman" w:hAnsi="Times New Roman"/>
          <w:szCs w:val="20"/>
          <w:lang w:val="es-ES"/>
        </w:rPr>
        <w:t xml:space="preserve">Daniel Carrasco Díaz, </w:t>
      </w:r>
      <w:hyperlink r:id="rId8" w:history="1">
        <w:r w:rsidRPr="009E5175">
          <w:rPr>
            <w:rFonts w:ascii="Times New Roman" w:hAnsi="Times New Roman"/>
          </w:rPr>
          <w:t>daniel.carrasco@uma.es</w:t>
        </w:r>
      </w:hyperlink>
      <w:r w:rsidRPr="009E5175">
        <w:rPr>
          <w:rFonts w:ascii="Times New Roman" w:hAnsi="Times New Roman"/>
          <w:szCs w:val="20"/>
          <w:lang w:val="es-ES"/>
        </w:rPr>
        <w:t>, Universidad de Málaga</w:t>
      </w:r>
    </w:p>
    <w:p w:rsidR="006A086C" w:rsidRPr="00D027C2" w:rsidRDefault="00AC2077" w:rsidP="006A086C">
      <w:pPr>
        <w:spacing w:before="0" w:after="0" w:line="240" w:lineRule="auto"/>
        <w:jc w:val="right"/>
        <w:textAlignment w:val="baseline"/>
        <w:rPr>
          <w:rFonts w:ascii="Times New Roman" w:hAnsi="Times New Roman"/>
          <w:szCs w:val="20"/>
          <w:lang w:val="es-ES"/>
        </w:rPr>
      </w:pPr>
      <w:r>
        <w:rPr>
          <w:rFonts w:ascii="Times New Roman" w:hAnsi="Times New Roman"/>
          <w:szCs w:val="20"/>
          <w:lang w:val="es-ES"/>
        </w:rPr>
        <w:t>Joaquín Sánchez Toledano, jstoledano@uma.es, Universidad de Málaga</w:t>
      </w:r>
    </w:p>
    <w:p w:rsidR="006A086C" w:rsidRPr="00D027C2" w:rsidRDefault="006A086C" w:rsidP="006A086C">
      <w:pPr>
        <w:spacing w:before="0" w:after="0" w:line="240" w:lineRule="auto"/>
        <w:jc w:val="right"/>
        <w:textAlignment w:val="baseline"/>
        <w:rPr>
          <w:rFonts w:ascii="Times New Roman" w:hAnsi="Times New Roman"/>
          <w:szCs w:val="20"/>
          <w:lang w:val="es-ES"/>
        </w:rPr>
      </w:pPr>
    </w:p>
    <w:p w:rsidR="00D504E2" w:rsidRPr="00C000EE" w:rsidRDefault="0002077E" w:rsidP="006A086C">
      <w:pPr>
        <w:spacing w:before="0" w:after="0" w:line="240" w:lineRule="auto"/>
        <w:rPr>
          <w:rFonts w:ascii="Times New Roman" w:hAnsi="Times New Roman"/>
          <w:szCs w:val="24"/>
          <w:lang w:val="es-ES"/>
        </w:rPr>
      </w:pPr>
      <w:r w:rsidRPr="00D027C2">
        <w:rPr>
          <w:rFonts w:ascii="Times New Roman" w:hAnsi="Times New Roman"/>
          <w:b/>
          <w:szCs w:val="20"/>
          <w:lang w:val="es-ES"/>
        </w:rPr>
        <w:t>RESUMEN</w:t>
      </w:r>
      <w:r w:rsidR="006A086C" w:rsidRPr="00D027C2">
        <w:rPr>
          <w:rFonts w:ascii="Times New Roman" w:hAnsi="Times New Roman"/>
          <w:szCs w:val="20"/>
          <w:lang w:val="es-ES"/>
        </w:rPr>
        <w:t>:</w:t>
      </w:r>
      <w:r w:rsidR="00C000EE">
        <w:rPr>
          <w:rFonts w:ascii="Times New Roman" w:hAnsi="Times New Roman"/>
          <w:szCs w:val="20"/>
          <w:lang w:val="es-ES"/>
        </w:rPr>
        <w:t xml:space="preserve"> </w:t>
      </w:r>
      <w:r w:rsidR="00D504E2" w:rsidRPr="00C000EE">
        <w:rPr>
          <w:rFonts w:ascii="Times New Roman" w:hAnsi="Times New Roman"/>
          <w:szCs w:val="24"/>
          <w:lang w:val="es-ES"/>
        </w:rPr>
        <w:t xml:space="preserve">Los nuevos retos que deben afrontar las Administraciones Públicas </w:t>
      </w:r>
      <w:r w:rsidR="00AF6E6E" w:rsidRPr="00C000EE">
        <w:rPr>
          <w:rFonts w:ascii="Times New Roman" w:hAnsi="Times New Roman"/>
          <w:szCs w:val="24"/>
          <w:lang w:val="es-ES"/>
        </w:rPr>
        <w:t>hacen necesario contar con herramientas eficaces para facilitar su gestión y potenciar su transparencia frente a la Sociedad</w:t>
      </w:r>
      <w:r w:rsidR="00C000EE" w:rsidRPr="00C000EE">
        <w:rPr>
          <w:rFonts w:ascii="Times New Roman" w:hAnsi="Times New Roman"/>
          <w:szCs w:val="24"/>
          <w:lang w:val="es-ES"/>
        </w:rPr>
        <w:t xml:space="preserve"> y</w:t>
      </w:r>
      <w:r w:rsidR="00AF6E6E" w:rsidRPr="00C000EE">
        <w:rPr>
          <w:rFonts w:ascii="Times New Roman" w:hAnsi="Times New Roman"/>
          <w:szCs w:val="24"/>
          <w:lang w:val="es-ES"/>
        </w:rPr>
        <w:t xml:space="preserve"> una de las herramientas que más puede ayudar para mejorar la eficiencia</w:t>
      </w:r>
      <w:r w:rsidR="00C000EE" w:rsidRPr="00C000EE">
        <w:rPr>
          <w:rFonts w:ascii="Times New Roman" w:hAnsi="Times New Roman"/>
          <w:szCs w:val="24"/>
          <w:lang w:val="es-ES"/>
        </w:rPr>
        <w:t xml:space="preserve"> y transparencia de su</w:t>
      </w:r>
      <w:r w:rsidR="00AF6E6E" w:rsidRPr="00C000EE">
        <w:rPr>
          <w:rFonts w:ascii="Times New Roman" w:hAnsi="Times New Roman"/>
          <w:szCs w:val="24"/>
          <w:lang w:val="es-ES"/>
        </w:rPr>
        <w:t xml:space="preserve"> gestión </w:t>
      </w:r>
      <w:r w:rsidR="00C000EE" w:rsidRPr="00C000EE">
        <w:rPr>
          <w:rFonts w:ascii="Times New Roman" w:hAnsi="Times New Roman"/>
          <w:szCs w:val="24"/>
          <w:lang w:val="es-ES"/>
        </w:rPr>
        <w:t>es</w:t>
      </w:r>
      <w:r w:rsidR="00AF6E6E" w:rsidRPr="00C000EE">
        <w:rPr>
          <w:rFonts w:ascii="Times New Roman" w:hAnsi="Times New Roman"/>
          <w:szCs w:val="24"/>
          <w:lang w:val="es-ES"/>
        </w:rPr>
        <w:t>, sin duda, la contabilidad analítica.</w:t>
      </w:r>
    </w:p>
    <w:p w:rsidR="00C000EE" w:rsidRDefault="00C000EE" w:rsidP="006A086C">
      <w:pPr>
        <w:spacing w:before="0" w:after="0" w:line="240" w:lineRule="auto"/>
        <w:rPr>
          <w:rFonts w:ascii="Times New Roman" w:hAnsi="Times New Roman"/>
          <w:szCs w:val="24"/>
          <w:lang w:val="es-ES"/>
        </w:rPr>
      </w:pPr>
      <w:r w:rsidRPr="00C000EE">
        <w:rPr>
          <w:rFonts w:ascii="Times New Roman" w:hAnsi="Times New Roman"/>
          <w:szCs w:val="24"/>
          <w:lang w:val="es-ES"/>
        </w:rPr>
        <w:t>El creciente proceso de descentralización en la prestación de servicios públicos mediante la creación de entidades públicas autónomas supone un importante riesgo de perder información del grupo de entidades públicas incluidas dentro del mismo ámbito de control.</w:t>
      </w:r>
    </w:p>
    <w:p w:rsidR="00D504E2" w:rsidRDefault="00AF6E6E" w:rsidP="006A086C">
      <w:pPr>
        <w:spacing w:before="0" w:after="0" w:line="240" w:lineRule="auto"/>
        <w:rPr>
          <w:rFonts w:ascii="Times New Roman" w:hAnsi="Times New Roman"/>
          <w:szCs w:val="24"/>
          <w:lang w:val="es-ES"/>
        </w:rPr>
      </w:pPr>
      <w:r w:rsidRPr="00C000EE">
        <w:rPr>
          <w:rFonts w:ascii="Times New Roman" w:hAnsi="Times New Roman"/>
          <w:szCs w:val="24"/>
          <w:lang w:val="es-ES"/>
        </w:rPr>
        <w:t>En el presente trabajo realizamos algunas reflexiones en relación a</w:t>
      </w:r>
      <w:r w:rsidR="00D504E2" w:rsidRPr="00C000EE">
        <w:rPr>
          <w:rFonts w:ascii="Times New Roman" w:hAnsi="Times New Roman"/>
          <w:szCs w:val="24"/>
          <w:lang w:val="es-ES"/>
        </w:rPr>
        <w:t xml:space="preserve"> la formulación de procedimientos contables y desarrollos tecnológicos de contabilidad analítica </w:t>
      </w:r>
      <w:r w:rsidRPr="00C000EE">
        <w:rPr>
          <w:rFonts w:ascii="Times New Roman" w:hAnsi="Times New Roman"/>
          <w:szCs w:val="24"/>
          <w:lang w:val="es-ES"/>
        </w:rPr>
        <w:t>para do</w:t>
      </w:r>
      <w:r w:rsidR="00D504E2" w:rsidRPr="00C000EE">
        <w:rPr>
          <w:rFonts w:ascii="Times New Roman" w:hAnsi="Times New Roman"/>
          <w:szCs w:val="24"/>
          <w:lang w:val="es-ES"/>
        </w:rPr>
        <w:t>tar a los Entes Locales de una potente herramienta que permita da</w:t>
      </w:r>
      <w:r w:rsidRPr="00C000EE">
        <w:rPr>
          <w:rFonts w:ascii="Times New Roman" w:hAnsi="Times New Roman"/>
          <w:szCs w:val="24"/>
          <w:lang w:val="es-ES"/>
        </w:rPr>
        <w:t>r</w:t>
      </w:r>
      <w:r w:rsidR="00D504E2" w:rsidRPr="00C000EE">
        <w:rPr>
          <w:rFonts w:ascii="Times New Roman" w:hAnsi="Times New Roman"/>
          <w:szCs w:val="24"/>
          <w:lang w:val="es-ES"/>
        </w:rPr>
        <w:t xml:space="preserve"> soporte al proceso de consolidación de los costes del conglomerado local</w:t>
      </w:r>
      <w:r w:rsidR="00C000EE" w:rsidRPr="00C000EE">
        <w:rPr>
          <w:rFonts w:ascii="Times New Roman" w:hAnsi="Times New Roman"/>
          <w:szCs w:val="24"/>
          <w:lang w:val="es-ES"/>
        </w:rPr>
        <w:t xml:space="preserve"> y</w:t>
      </w:r>
      <w:r w:rsidR="00D504E2" w:rsidRPr="00C000EE">
        <w:rPr>
          <w:rFonts w:ascii="Times New Roman" w:hAnsi="Times New Roman"/>
          <w:szCs w:val="24"/>
          <w:lang w:val="es-ES"/>
        </w:rPr>
        <w:t xml:space="preserve"> mantener la relevancia y fiabilidad de la información que reporta y </w:t>
      </w:r>
      <w:r w:rsidR="00C000EE" w:rsidRPr="00C000EE">
        <w:rPr>
          <w:rFonts w:ascii="Times New Roman" w:hAnsi="Times New Roman"/>
          <w:szCs w:val="24"/>
          <w:lang w:val="es-ES"/>
        </w:rPr>
        <w:t>su</w:t>
      </w:r>
      <w:r w:rsidR="00D504E2" w:rsidRPr="00C000EE">
        <w:rPr>
          <w:rFonts w:ascii="Times New Roman" w:hAnsi="Times New Roman"/>
          <w:szCs w:val="24"/>
          <w:lang w:val="es-ES"/>
        </w:rPr>
        <w:t xml:space="preserve"> carácter coste-efectivo.</w:t>
      </w:r>
    </w:p>
    <w:p w:rsidR="000B7CA7" w:rsidRDefault="000B7CA7" w:rsidP="006A086C">
      <w:pPr>
        <w:spacing w:before="0" w:after="0" w:line="240" w:lineRule="auto"/>
        <w:rPr>
          <w:rFonts w:ascii="Times New Roman" w:hAnsi="Times New Roman"/>
          <w:szCs w:val="24"/>
          <w:lang w:val="es-ES"/>
        </w:rPr>
      </w:pPr>
    </w:p>
    <w:p w:rsidR="006A086C" w:rsidRPr="00D027C2" w:rsidRDefault="009C459A" w:rsidP="006A086C">
      <w:pPr>
        <w:pStyle w:val="NormalWeb"/>
        <w:spacing w:before="0" w:beforeAutospacing="0" w:after="0" w:afterAutospacing="0"/>
        <w:jc w:val="left"/>
        <w:rPr>
          <w:rFonts w:ascii="Times New Roman" w:hAnsi="Times New Roman"/>
          <w:b/>
          <w:sz w:val="22"/>
          <w:szCs w:val="22"/>
          <w:lang w:val="es-ES"/>
        </w:rPr>
      </w:pPr>
      <w:r w:rsidRPr="00D027C2">
        <w:rPr>
          <w:rFonts w:ascii="Times New Roman" w:hAnsi="Times New Roman"/>
          <w:b/>
          <w:color w:val="000000"/>
          <w:sz w:val="22"/>
          <w:szCs w:val="22"/>
          <w:lang w:val="es-ES"/>
        </w:rPr>
        <w:t>PALABRAS CLAVE</w:t>
      </w:r>
      <w:r w:rsidR="006A086C" w:rsidRPr="00D027C2">
        <w:rPr>
          <w:rFonts w:ascii="Times New Roman" w:hAnsi="Times New Roman"/>
          <w:color w:val="000000"/>
          <w:sz w:val="22"/>
          <w:szCs w:val="22"/>
          <w:lang w:val="es-ES"/>
        </w:rPr>
        <w:t xml:space="preserve">: </w:t>
      </w:r>
      <w:r w:rsidR="003A20F1">
        <w:rPr>
          <w:rFonts w:ascii="Times New Roman" w:hAnsi="Times New Roman"/>
          <w:color w:val="000000"/>
          <w:sz w:val="22"/>
          <w:szCs w:val="22"/>
          <w:lang w:val="es-ES"/>
        </w:rPr>
        <w:t>Consolidación</w:t>
      </w:r>
      <w:r w:rsidR="009E5175">
        <w:rPr>
          <w:rFonts w:ascii="Times New Roman" w:hAnsi="Times New Roman"/>
          <w:color w:val="000000"/>
          <w:sz w:val="22"/>
          <w:szCs w:val="22"/>
          <w:lang w:val="es-ES"/>
        </w:rPr>
        <w:t xml:space="preserve"> de cuentas</w:t>
      </w:r>
      <w:r w:rsidR="006A086C" w:rsidRPr="00D027C2">
        <w:rPr>
          <w:rFonts w:ascii="Times New Roman" w:hAnsi="Times New Roman"/>
          <w:color w:val="000000"/>
          <w:sz w:val="22"/>
          <w:szCs w:val="22"/>
          <w:lang w:val="es-ES"/>
        </w:rPr>
        <w:t xml:space="preserve">, </w:t>
      </w:r>
      <w:r w:rsidR="003A20F1">
        <w:rPr>
          <w:rFonts w:ascii="Times New Roman" w:hAnsi="Times New Roman"/>
          <w:color w:val="000000"/>
          <w:sz w:val="22"/>
          <w:szCs w:val="22"/>
          <w:lang w:val="es-ES"/>
        </w:rPr>
        <w:t>Contabilidad analítica</w:t>
      </w:r>
      <w:r w:rsidR="006A086C" w:rsidRPr="00D027C2">
        <w:rPr>
          <w:rFonts w:ascii="Times New Roman" w:hAnsi="Times New Roman"/>
          <w:color w:val="000000"/>
          <w:sz w:val="22"/>
          <w:szCs w:val="22"/>
          <w:lang w:val="es-ES"/>
        </w:rPr>
        <w:t xml:space="preserve">, </w:t>
      </w:r>
      <w:r w:rsidR="003A20F1">
        <w:rPr>
          <w:rFonts w:ascii="Times New Roman" w:hAnsi="Times New Roman"/>
          <w:color w:val="000000"/>
          <w:sz w:val="22"/>
          <w:szCs w:val="22"/>
          <w:lang w:val="es-ES"/>
        </w:rPr>
        <w:t>Administración Pública local</w:t>
      </w:r>
      <w:r w:rsidR="006A086C" w:rsidRPr="00D027C2">
        <w:rPr>
          <w:rFonts w:ascii="Times New Roman" w:hAnsi="Times New Roman"/>
          <w:color w:val="000000"/>
          <w:sz w:val="22"/>
          <w:szCs w:val="22"/>
          <w:lang w:val="es-ES"/>
        </w:rPr>
        <w:t xml:space="preserve">, </w:t>
      </w:r>
      <w:r w:rsidR="003A20F1">
        <w:rPr>
          <w:rFonts w:ascii="Times New Roman" w:hAnsi="Times New Roman"/>
          <w:color w:val="000000"/>
          <w:sz w:val="22"/>
          <w:szCs w:val="22"/>
          <w:lang w:val="es-ES"/>
        </w:rPr>
        <w:t>Cálculo de costes</w:t>
      </w:r>
      <w:r w:rsidR="006A086C" w:rsidRPr="00D027C2">
        <w:rPr>
          <w:rFonts w:ascii="Times New Roman" w:hAnsi="Times New Roman"/>
          <w:color w:val="000000"/>
          <w:sz w:val="22"/>
          <w:szCs w:val="22"/>
          <w:lang w:val="es-ES"/>
        </w:rPr>
        <w:t xml:space="preserve">, </w:t>
      </w:r>
      <w:r w:rsidR="003A20F1">
        <w:rPr>
          <w:rFonts w:ascii="Times New Roman" w:hAnsi="Times New Roman"/>
          <w:color w:val="000000"/>
          <w:sz w:val="22"/>
          <w:szCs w:val="22"/>
          <w:lang w:val="es-ES"/>
        </w:rPr>
        <w:t>Indicadores de gestión</w:t>
      </w:r>
      <w:r w:rsidR="006A086C" w:rsidRPr="00D027C2">
        <w:rPr>
          <w:rFonts w:ascii="Times New Roman" w:hAnsi="Times New Roman"/>
          <w:color w:val="000000"/>
          <w:sz w:val="22"/>
          <w:szCs w:val="22"/>
          <w:lang w:val="es-ES"/>
        </w:rPr>
        <w:t>.</w:t>
      </w:r>
      <w:r w:rsidR="006A086C" w:rsidRPr="00D027C2" w:rsidDel="00E05BA2">
        <w:rPr>
          <w:rFonts w:ascii="Times New Roman" w:hAnsi="Times New Roman"/>
          <w:b/>
          <w:sz w:val="22"/>
          <w:szCs w:val="22"/>
          <w:lang w:val="es-ES"/>
        </w:rPr>
        <w:t xml:space="preserve"> </w:t>
      </w:r>
    </w:p>
    <w:p w:rsidR="006A086C" w:rsidRPr="00D027C2" w:rsidRDefault="006A086C" w:rsidP="006A086C">
      <w:pPr>
        <w:pStyle w:val="NormalWeb"/>
        <w:spacing w:before="0" w:beforeAutospacing="0" w:after="0" w:afterAutospacing="0"/>
        <w:rPr>
          <w:rFonts w:ascii="Times New Roman" w:hAnsi="Times New Roman"/>
          <w:sz w:val="22"/>
          <w:szCs w:val="22"/>
          <w:lang w:val="es-ES"/>
        </w:rPr>
      </w:pPr>
    </w:p>
    <w:p w:rsidR="00995236" w:rsidRPr="00995236" w:rsidRDefault="006A086C" w:rsidP="00995236">
      <w:pPr>
        <w:spacing w:before="0" w:after="0" w:line="240" w:lineRule="auto"/>
        <w:textAlignment w:val="baseline"/>
        <w:rPr>
          <w:rStyle w:val="hps"/>
          <w:rFonts w:ascii="Times New Roman" w:hAnsi="Times New Roman"/>
          <w:lang w:val="en-GB"/>
        </w:rPr>
      </w:pPr>
      <w:r w:rsidRPr="00995236">
        <w:rPr>
          <w:rFonts w:ascii="Times New Roman" w:hAnsi="Times New Roman"/>
          <w:b/>
          <w:szCs w:val="20"/>
          <w:lang w:val="en-GB"/>
        </w:rPr>
        <w:t>ABSTRACT</w:t>
      </w:r>
      <w:r w:rsidRPr="00995236">
        <w:rPr>
          <w:rFonts w:ascii="Times New Roman" w:hAnsi="Times New Roman"/>
          <w:szCs w:val="20"/>
          <w:lang w:val="en-GB"/>
        </w:rPr>
        <w:t xml:space="preserve">: </w:t>
      </w:r>
      <w:r w:rsidR="00995236">
        <w:rPr>
          <w:rFonts w:ascii="Times New Roman" w:hAnsi="Times New Roman"/>
          <w:szCs w:val="20"/>
          <w:lang w:val="en-GB"/>
        </w:rPr>
        <w:t>N</w:t>
      </w:r>
      <w:r w:rsidR="00995236" w:rsidRPr="00995236">
        <w:rPr>
          <w:rStyle w:val="hps"/>
          <w:rFonts w:ascii="Times New Roman" w:hAnsi="Times New Roman"/>
          <w:lang w:val="en-GB"/>
        </w:rPr>
        <w:t>ew challenges Public Administrations must face make necessary to have effective tools to facilitate their management</w:t>
      </w:r>
      <w:r w:rsidR="00995236">
        <w:rPr>
          <w:rStyle w:val="hps"/>
          <w:rFonts w:ascii="Times New Roman" w:hAnsi="Times New Roman"/>
          <w:lang w:val="en-GB"/>
        </w:rPr>
        <w:t xml:space="preserve"> and enhance their transparency. O</w:t>
      </w:r>
      <w:r w:rsidR="00995236" w:rsidRPr="00995236">
        <w:rPr>
          <w:rStyle w:val="hps"/>
          <w:rFonts w:ascii="Times New Roman" w:hAnsi="Times New Roman"/>
          <w:lang w:val="en-GB"/>
        </w:rPr>
        <w:t>ne of the tools</w:t>
      </w:r>
      <w:r w:rsidR="00995236">
        <w:rPr>
          <w:rStyle w:val="hps"/>
          <w:rFonts w:ascii="Times New Roman" w:hAnsi="Times New Roman"/>
          <w:lang w:val="en-GB"/>
        </w:rPr>
        <w:t xml:space="preserve"> that can help most to improve </w:t>
      </w:r>
      <w:r w:rsidR="00995236" w:rsidRPr="00995236">
        <w:rPr>
          <w:rStyle w:val="hps"/>
          <w:rFonts w:ascii="Times New Roman" w:hAnsi="Times New Roman"/>
          <w:lang w:val="en-GB"/>
        </w:rPr>
        <w:t xml:space="preserve">efficiency and transparency </w:t>
      </w:r>
      <w:r w:rsidR="00736411">
        <w:rPr>
          <w:rStyle w:val="hps"/>
          <w:rFonts w:ascii="Times New Roman" w:hAnsi="Times New Roman"/>
          <w:lang w:val="en-GB"/>
        </w:rPr>
        <w:t>is, without a doubt, a</w:t>
      </w:r>
      <w:r w:rsidR="00995236" w:rsidRPr="00995236">
        <w:rPr>
          <w:rStyle w:val="hps"/>
          <w:rFonts w:ascii="Times New Roman" w:hAnsi="Times New Roman"/>
          <w:lang w:val="en-GB"/>
        </w:rPr>
        <w:t>nalytical accounting</w:t>
      </w:r>
      <w:r w:rsidR="00995236">
        <w:rPr>
          <w:rStyle w:val="hps"/>
          <w:rFonts w:ascii="Times New Roman" w:hAnsi="Times New Roman"/>
          <w:lang w:val="en-GB"/>
        </w:rPr>
        <w:t>.</w:t>
      </w:r>
    </w:p>
    <w:p w:rsidR="00995236" w:rsidRPr="00995236" w:rsidRDefault="00995236" w:rsidP="00995236">
      <w:pPr>
        <w:spacing w:before="0" w:after="0" w:line="240" w:lineRule="auto"/>
        <w:textAlignment w:val="baseline"/>
        <w:rPr>
          <w:rStyle w:val="hps"/>
          <w:rFonts w:ascii="Times New Roman" w:hAnsi="Times New Roman"/>
          <w:lang w:val="en-GB"/>
        </w:rPr>
      </w:pPr>
      <w:r w:rsidRPr="00995236">
        <w:rPr>
          <w:rStyle w:val="hps"/>
          <w:rFonts w:ascii="Times New Roman" w:hAnsi="Times New Roman"/>
          <w:lang w:val="en-GB"/>
        </w:rPr>
        <w:t>The growing process of decentralization in the provision of public services through the creation of autonomous public entities poses a significant risk of losing information from the group of public entities.</w:t>
      </w:r>
    </w:p>
    <w:p w:rsidR="006A086C" w:rsidRPr="00995236" w:rsidRDefault="00995236" w:rsidP="00995236">
      <w:pPr>
        <w:spacing w:before="0" w:after="0" w:line="240" w:lineRule="auto"/>
        <w:textAlignment w:val="baseline"/>
        <w:rPr>
          <w:rStyle w:val="hps"/>
          <w:rFonts w:ascii="Times New Roman" w:hAnsi="Times New Roman"/>
          <w:lang w:val="en-GB"/>
        </w:rPr>
      </w:pPr>
      <w:r w:rsidRPr="00995236">
        <w:rPr>
          <w:rStyle w:val="hps"/>
          <w:rFonts w:ascii="Times New Roman" w:hAnsi="Times New Roman"/>
          <w:lang w:val="en-GB"/>
        </w:rPr>
        <w:t>In th</w:t>
      </w:r>
      <w:r w:rsidR="00736411">
        <w:rPr>
          <w:rStyle w:val="hps"/>
          <w:rFonts w:ascii="Times New Roman" w:hAnsi="Times New Roman"/>
          <w:lang w:val="en-GB"/>
        </w:rPr>
        <w:t>is</w:t>
      </w:r>
      <w:r w:rsidRPr="00995236">
        <w:rPr>
          <w:rStyle w:val="hps"/>
          <w:rFonts w:ascii="Times New Roman" w:hAnsi="Times New Roman"/>
          <w:lang w:val="en-GB"/>
        </w:rPr>
        <w:t xml:space="preserve"> </w:t>
      </w:r>
      <w:r w:rsidR="00736411">
        <w:rPr>
          <w:rStyle w:val="hps"/>
          <w:rFonts w:ascii="Times New Roman" w:hAnsi="Times New Roman"/>
          <w:lang w:val="en-GB"/>
        </w:rPr>
        <w:t xml:space="preserve">paper </w:t>
      </w:r>
      <w:r w:rsidRPr="00995236">
        <w:rPr>
          <w:rStyle w:val="hps"/>
          <w:rFonts w:ascii="Times New Roman" w:hAnsi="Times New Roman"/>
          <w:lang w:val="en-GB"/>
        </w:rPr>
        <w:t xml:space="preserve">we reflect </w:t>
      </w:r>
      <w:r w:rsidR="00736411">
        <w:rPr>
          <w:rStyle w:val="hps"/>
          <w:rFonts w:ascii="Times New Roman" w:hAnsi="Times New Roman"/>
          <w:lang w:val="en-GB"/>
        </w:rPr>
        <w:t>on</w:t>
      </w:r>
      <w:r w:rsidRPr="00995236">
        <w:rPr>
          <w:rStyle w:val="hps"/>
          <w:rFonts w:ascii="Times New Roman" w:hAnsi="Times New Roman"/>
          <w:lang w:val="en-GB"/>
        </w:rPr>
        <w:t xml:space="preserve"> </w:t>
      </w:r>
      <w:r w:rsidR="00736411">
        <w:rPr>
          <w:rStyle w:val="hps"/>
          <w:rFonts w:ascii="Times New Roman" w:hAnsi="Times New Roman"/>
          <w:lang w:val="en-GB"/>
        </w:rPr>
        <w:t xml:space="preserve">the </w:t>
      </w:r>
      <w:r w:rsidRPr="00995236">
        <w:rPr>
          <w:rStyle w:val="hps"/>
          <w:rFonts w:ascii="Times New Roman" w:hAnsi="Times New Roman"/>
          <w:lang w:val="en-GB"/>
        </w:rPr>
        <w:t xml:space="preserve">formulation of </w:t>
      </w:r>
      <w:r w:rsidR="00736411">
        <w:rPr>
          <w:rStyle w:val="hps"/>
          <w:rFonts w:ascii="Times New Roman" w:hAnsi="Times New Roman"/>
          <w:lang w:val="en-GB"/>
        </w:rPr>
        <w:t xml:space="preserve">analytical </w:t>
      </w:r>
      <w:r w:rsidRPr="00995236">
        <w:rPr>
          <w:rStyle w:val="hps"/>
          <w:rFonts w:ascii="Times New Roman" w:hAnsi="Times New Roman"/>
          <w:lang w:val="en-GB"/>
        </w:rPr>
        <w:t xml:space="preserve">accounting procedures and technological developments to provide Local Entities with a powerful tool </w:t>
      </w:r>
      <w:r w:rsidR="00736411">
        <w:rPr>
          <w:rStyle w:val="hps"/>
          <w:rFonts w:ascii="Times New Roman" w:hAnsi="Times New Roman"/>
          <w:lang w:val="en-GB"/>
        </w:rPr>
        <w:t xml:space="preserve">to support local conglomerate cost </w:t>
      </w:r>
      <w:r w:rsidRPr="00995236">
        <w:rPr>
          <w:rStyle w:val="hps"/>
          <w:rFonts w:ascii="Times New Roman" w:hAnsi="Times New Roman"/>
          <w:lang w:val="en-GB"/>
        </w:rPr>
        <w:t xml:space="preserve">consolidation </w:t>
      </w:r>
      <w:r w:rsidR="00736411">
        <w:rPr>
          <w:rStyle w:val="hps"/>
          <w:rFonts w:ascii="Times New Roman" w:hAnsi="Times New Roman"/>
          <w:lang w:val="en-GB"/>
        </w:rPr>
        <w:t>process</w:t>
      </w:r>
      <w:r w:rsidRPr="00995236">
        <w:rPr>
          <w:rStyle w:val="hps"/>
          <w:rFonts w:ascii="Times New Roman" w:hAnsi="Times New Roman"/>
          <w:lang w:val="en-GB"/>
        </w:rPr>
        <w:t xml:space="preserve"> and maintain the relevance and reliability of information and its cost-effective nature</w:t>
      </w:r>
      <w:r w:rsidR="00414151" w:rsidRPr="00995236">
        <w:rPr>
          <w:rFonts w:ascii="Times New Roman" w:hAnsi="Times New Roman"/>
          <w:lang w:val="en-GB"/>
        </w:rPr>
        <w:t>.</w:t>
      </w:r>
    </w:p>
    <w:p w:rsidR="006A086C" w:rsidRPr="00995236" w:rsidRDefault="006A086C" w:rsidP="006A086C">
      <w:pPr>
        <w:pBdr>
          <w:bottom w:val="single" w:sz="4" w:space="1" w:color="auto"/>
        </w:pBdr>
        <w:spacing w:before="0" w:after="0" w:line="240" w:lineRule="auto"/>
        <w:jc w:val="left"/>
        <w:rPr>
          <w:rFonts w:ascii="Times New Roman" w:hAnsi="Times New Roman"/>
          <w:bCs/>
          <w:lang w:val="en-GB" w:eastAsia="pt-PT"/>
        </w:rPr>
      </w:pPr>
    </w:p>
    <w:p w:rsidR="006A086C" w:rsidRPr="00CF50D0" w:rsidRDefault="006A086C" w:rsidP="006A086C">
      <w:pPr>
        <w:pBdr>
          <w:bottom w:val="single" w:sz="4" w:space="1" w:color="auto"/>
        </w:pBdr>
        <w:spacing w:before="0" w:after="0" w:line="240" w:lineRule="auto"/>
        <w:jc w:val="left"/>
        <w:rPr>
          <w:rFonts w:ascii="Times New Roman" w:hAnsi="Times New Roman"/>
          <w:lang w:val="en-GB"/>
        </w:rPr>
      </w:pPr>
      <w:r w:rsidRPr="00CF50D0">
        <w:rPr>
          <w:rFonts w:ascii="Times New Roman" w:hAnsi="Times New Roman"/>
          <w:b/>
          <w:bCs/>
          <w:lang w:val="en-GB" w:eastAsia="pt-PT"/>
        </w:rPr>
        <w:t>KEYWORDS</w:t>
      </w:r>
      <w:r w:rsidRPr="00CF50D0">
        <w:rPr>
          <w:rFonts w:ascii="Times New Roman" w:hAnsi="Times New Roman"/>
          <w:bCs/>
          <w:lang w:val="en-GB" w:eastAsia="pt-PT"/>
        </w:rPr>
        <w:t>:</w:t>
      </w:r>
      <w:r w:rsidRPr="00CF50D0">
        <w:rPr>
          <w:rFonts w:ascii="Times New Roman" w:hAnsi="Times New Roman"/>
          <w:lang w:val="en-GB"/>
        </w:rPr>
        <w:t xml:space="preserve"> </w:t>
      </w:r>
      <w:r w:rsidR="009E5175">
        <w:rPr>
          <w:rFonts w:ascii="Times New Roman" w:hAnsi="Times New Roman"/>
          <w:lang w:val="en-GB"/>
        </w:rPr>
        <w:t>Accounting consolidation</w:t>
      </w:r>
      <w:r w:rsidRPr="00CF50D0">
        <w:rPr>
          <w:rFonts w:ascii="Times New Roman" w:hAnsi="Times New Roman"/>
          <w:lang w:val="en-GB"/>
        </w:rPr>
        <w:t xml:space="preserve">, </w:t>
      </w:r>
      <w:r w:rsidR="009E5175">
        <w:rPr>
          <w:rFonts w:ascii="Times New Roman" w:hAnsi="Times New Roman"/>
          <w:lang w:val="en-GB"/>
        </w:rPr>
        <w:t>Management Accounting</w:t>
      </w:r>
      <w:r w:rsidRPr="00CF50D0">
        <w:rPr>
          <w:rStyle w:val="hps"/>
          <w:rFonts w:ascii="Times New Roman" w:hAnsi="Times New Roman"/>
          <w:lang w:val="en-GB"/>
        </w:rPr>
        <w:t>,</w:t>
      </w:r>
      <w:r w:rsidRPr="00CF50D0">
        <w:rPr>
          <w:rFonts w:ascii="Times New Roman" w:hAnsi="Times New Roman"/>
          <w:lang w:val="en-GB"/>
        </w:rPr>
        <w:t xml:space="preserve"> </w:t>
      </w:r>
      <w:r w:rsidR="009E5175">
        <w:rPr>
          <w:rFonts w:ascii="Times New Roman" w:hAnsi="Times New Roman"/>
          <w:lang w:val="en-GB"/>
        </w:rPr>
        <w:t>Local public administration</w:t>
      </w:r>
      <w:r w:rsidRPr="00CF50D0">
        <w:rPr>
          <w:rStyle w:val="hps"/>
          <w:rFonts w:ascii="Times New Roman" w:hAnsi="Times New Roman"/>
          <w:lang w:val="en-GB"/>
        </w:rPr>
        <w:t>,</w:t>
      </w:r>
      <w:r w:rsidRPr="00CF50D0">
        <w:rPr>
          <w:rFonts w:ascii="Times New Roman" w:hAnsi="Times New Roman"/>
          <w:lang w:val="en-GB"/>
        </w:rPr>
        <w:t xml:space="preserve"> </w:t>
      </w:r>
      <w:r w:rsidR="009E5175">
        <w:rPr>
          <w:rFonts w:ascii="Times New Roman" w:hAnsi="Times New Roman"/>
          <w:lang w:val="en-GB"/>
        </w:rPr>
        <w:t>Cost accounting</w:t>
      </w:r>
      <w:r w:rsidRPr="00CF50D0">
        <w:rPr>
          <w:rFonts w:ascii="Times New Roman" w:hAnsi="Times New Roman"/>
          <w:lang w:val="en-GB"/>
        </w:rPr>
        <w:t xml:space="preserve">, </w:t>
      </w:r>
      <w:r w:rsidR="009E5175">
        <w:rPr>
          <w:rFonts w:ascii="Times New Roman" w:hAnsi="Times New Roman"/>
          <w:lang w:val="en-GB"/>
        </w:rPr>
        <w:t>Management Indicators</w:t>
      </w:r>
      <w:r w:rsidRPr="00CF50D0">
        <w:rPr>
          <w:rStyle w:val="hps"/>
          <w:rFonts w:ascii="Times New Roman" w:hAnsi="Times New Roman"/>
          <w:lang w:val="en-GB"/>
        </w:rPr>
        <w:t>.</w:t>
      </w:r>
    </w:p>
    <w:p w:rsidR="006A086C" w:rsidRPr="00CF50D0" w:rsidRDefault="006A086C" w:rsidP="006A086C">
      <w:pPr>
        <w:spacing w:before="0" w:after="0" w:line="240" w:lineRule="auto"/>
        <w:rPr>
          <w:rFonts w:ascii="Times New Roman" w:hAnsi="Times New Roman"/>
          <w:b/>
          <w:sz w:val="20"/>
          <w:szCs w:val="20"/>
          <w:lang w:val="en-GB"/>
        </w:rPr>
      </w:pPr>
    </w:p>
    <w:p w:rsidR="006A086C" w:rsidRPr="00CF50D0" w:rsidRDefault="006A086C" w:rsidP="006A086C">
      <w:pPr>
        <w:spacing w:before="0" w:after="0" w:line="240" w:lineRule="auto"/>
        <w:rPr>
          <w:rFonts w:ascii="Times New Roman" w:hAnsi="Times New Roman"/>
          <w:b/>
          <w:sz w:val="20"/>
          <w:szCs w:val="20"/>
          <w:lang w:val="en-GB"/>
        </w:rPr>
      </w:pPr>
    </w:p>
    <w:p w:rsidR="006A086C" w:rsidRPr="00D027C2" w:rsidRDefault="006A086C" w:rsidP="006A086C">
      <w:pPr>
        <w:pStyle w:val="Ttulo1"/>
        <w:spacing w:before="0" w:line="240" w:lineRule="auto"/>
        <w:rPr>
          <w:rFonts w:ascii="Times New Roman" w:hAnsi="Times New Roman" w:cs="Times New Roman"/>
          <w:caps/>
          <w:color w:val="auto"/>
          <w:sz w:val="20"/>
          <w:szCs w:val="22"/>
          <w:lang w:val="es-ES"/>
        </w:rPr>
      </w:pPr>
      <w:bookmarkStart w:id="3" w:name="_Toc440191536"/>
      <w:bookmarkEnd w:id="0"/>
      <w:bookmarkEnd w:id="1"/>
      <w:r w:rsidRPr="00D027C2">
        <w:rPr>
          <w:rFonts w:ascii="Times New Roman" w:hAnsi="Times New Roman" w:cs="Times New Roman"/>
          <w:caps/>
          <w:color w:val="auto"/>
          <w:sz w:val="20"/>
          <w:szCs w:val="22"/>
          <w:lang w:val="es-ES"/>
        </w:rPr>
        <w:t xml:space="preserve">1. </w:t>
      </w:r>
      <w:bookmarkEnd w:id="3"/>
      <w:r w:rsidR="00D34DA4" w:rsidRPr="00D027C2">
        <w:rPr>
          <w:rFonts w:ascii="Times New Roman" w:hAnsi="Times New Roman" w:cs="Times New Roman"/>
          <w:caps/>
          <w:color w:val="auto"/>
          <w:sz w:val="20"/>
          <w:szCs w:val="22"/>
          <w:lang w:val="es-ES"/>
        </w:rPr>
        <w:t>INTRODUCCIÓN</w:t>
      </w:r>
    </w:p>
    <w:p w:rsidR="006A086C" w:rsidRPr="00D027C2" w:rsidRDefault="006A086C" w:rsidP="006A086C">
      <w:pPr>
        <w:spacing w:before="0" w:after="0" w:line="240" w:lineRule="auto"/>
        <w:rPr>
          <w:rFonts w:ascii="Times New Roman" w:hAnsi="Times New Roman"/>
          <w:sz w:val="20"/>
          <w:szCs w:val="24"/>
          <w:lang w:val="es-ES"/>
        </w:rPr>
      </w:pPr>
    </w:p>
    <w:p w:rsidR="00877329" w:rsidRPr="00877329" w:rsidRDefault="00877329" w:rsidP="00877329">
      <w:pPr>
        <w:pStyle w:val="Default"/>
        <w:jc w:val="both"/>
        <w:rPr>
          <w:rFonts w:ascii="Times New Roman" w:eastAsia="Calibri" w:hAnsi="Times New Roman" w:cs="Times New Roman"/>
          <w:szCs w:val="24"/>
          <w:lang w:eastAsia="en-US"/>
        </w:rPr>
      </w:pPr>
      <w:r w:rsidRPr="00877329">
        <w:rPr>
          <w:rFonts w:ascii="Times New Roman" w:eastAsia="Calibri" w:hAnsi="Times New Roman" w:cs="Times New Roman"/>
          <w:szCs w:val="24"/>
          <w:lang w:eastAsia="en-US"/>
        </w:rPr>
        <w:t>Los nuevos retos que deben afrontar las Administraciones Públicas en un contexto en el que la gestión de los recursos públicos debe estar presidida por una actuación rigurosa y, sobre todo, eficiente, agudizan, tal y como se indica en el preámbulo de la Resolución de 28 de julio de 2011, de la Intervención General de la Administración del Estado, por la que se regulan los criterios para la elaboración de la información sobre los costes de actividades e indicadores de gestión a incluir en la memoria de las cuentas anuales del Plan General de Contabilidad Pública, la necesidad de contar con herramientas cada vez más eficaces para facilitar esa gestión, a la vez que se debe posibilitar el conocimiento de la misma a los diversos agentes sociales.</w:t>
      </w:r>
    </w:p>
    <w:p w:rsidR="00877329" w:rsidRPr="00877329" w:rsidRDefault="00877329" w:rsidP="00877329">
      <w:pPr>
        <w:pStyle w:val="Pa6"/>
        <w:spacing w:line="240" w:lineRule="auto"/>
        <w:jc w:val="both"/>
        <w:rPr>
          <w:rFonts w:ascii="Times New Roman" w:eastAsia="Calibri" w:hAnsi="Times New Roman" w:cs="Times New Roman"/>
          <w:sz w:val="20"/>
          <w:lang w:eastAsia="en-US"/>
        </w:rPr>
      </w:pPr>
    </w:p>
    <w:p w:rsidR="00877329" w:rsidRPr="00877329" w:rsidRDefault="00877329" w:rsidP="00877329">
      <w:pPr>
        <w:pStyle w:val="Pa6"/>
        <w:spacing w:line="240" w:lineRule="auto"/>
        <w:jc w:val="both"/>
        <w:rPr>
          <w:rFonts w:ascii="Times New Roman" w:eastAsia="Calibri" w:hAnsi="Times New Roman" w:cs="Times New Roman"/>
          <w:sz w:val="20"/>
          <w:lang w:eastAsia="en-US"/>
        </w:rPr>
      </w:pPr>
      <w:r w:rsidRPr="00877329">
        <w:rPr>
          <w:rFonts w:ascii="Times New Roman" w:eastAsia="Calibri" w:hAnsi="Times New Roman" w:cs="Times New Roman"/>
          <w:sz w:val="20"/>
          <w:lang w:eastAsia="en-US"/>
        </w:rPr>
        <w:t xml:space="preserve">Sin duda, la preocupación social e institucional sobre el uso racional de los recursos públicos y la transparencia de la gestión pública no ha hecho más que crecer en estos últimos años. Y, en este sentido, este mismo texto legal otorga a la Contabilidad Analítica carta de naturaleza, al señalar que “una de las técnicas que más puede ayudar en ese conocimiento y en esa eficiencia en la gestión lo constituye, sin ninguna duda, la contabilidad analítica, configurada como el instrumento capaz de segmentar organizaciones tan complejas como las que </w:t>
      </w:r>
      <w:r w:rsidRPr="00877329">
        <w:rPr>
          <w:rFonts w:ascii="Times New Roman" w:eastAsia="Calibri" w:hAnsi="Times New Roman" w:cs="Times New Roman"/>
          <w:sz w:val="20"/>
          <w:lang w:eastAsia="en-US"/>
        </w:rPr>
        <w:lastRenderedPageBreak/>
        <w:t>integran el ámbito de las Administraciones Públicas y posibilitar un conocimiento que incide especialmente en su gestión más eficiente”.</w:t>
      </w:r>
    </w:p>
    <w:p w:rsidR="00877329" w:rsidRPr="00877329" w:rsidRDefault="00877329" w:rsidP="00877329">
      <w:pPr>
        <w:pStyle w:val="Pa6"/>
        <w:spacing w:line="240" w:lineRule="auto"/>
        <w:jc w:val="both"/>
        <w:rPr>
          <w:rFonts w:ascii="Times New Roman" w:eastAsia="Calibri" w:hAnsi="Times New Roman" w:cs="Times New Roman"/>
          <w:sz w:val="20"/>
          <w:lang w:eastAsia="en-US"/>
        </w:rPr>
      </w:pPr>
    </w:p>
    <w:p w:rsidR="00877329" w:rsidRPr="00877329" w:rsidRDefault="00877329" w:rsidP="00877329">
      <w:pPr>
        <w:pStyle w:val="Pa6"/>
        <w:spacing w:line="240" w:lineRule="auto"/>
        <w:jc w:val="both"/>
        <w:rPr>
          <w:rFonts w:ascii="Times New Roman" w:eastAsia="Calibri" w:hAnsi="Times New Roman" w:cs="Times New Roman"/>
          <w:sz w:val="20"/>
          <w:lang w:eastAsia="en-US"/>
        </w:rPr>
      </w:pPr>
      <w:r w:rsidRPr="00877329">
        <w:rPr>
          <w:rFonts w:ascii="Times New Roman" w:eastAsia="Calibri" w:hAnsi="Times New Roman" w:cs="Times New Roman"/>
          <w:sz w:val="20"/>
          <w:lang w:eastAsia="en-US"/>
        </w:rPr>
        <w:t xml:space="preserve">Efectivamente, la normativa española viene concediendo desde hace años una importancia creciente a la revelación de información sobre el coste de los servicios públicos. Así, la propia Ley Reguladora de las Haciendas Locales, en su artículo 211, “Memorias que acompañan a la cuenta general” del Real Decreto Legislativo 2/2004, de 5 de marzo, por el que se aprueba el texto refundido de la Ley Reguladora de las Haciendas Locales, señala que “los municipios de más de 50.000 habitantes y las demás entidades locales de ámbito superior acompañarán a la cuenta general: </w:t>
      </w:r>
    </w:p>
    <w:p w:rsidR="00877329" w:rsidRPr="00877329" w:rsidRDefault="00877329" w:rsidP="00877329">
      <w:pPr>
        <w:pStyle w:val="Default"/>
        <w:rPr>
          <w:rFonts w:ascii="Times New Roman" w:eastAsia="Calibri" w:hAnsi="Times New Roman" w:cs="Times New Roman"/>
          <w:szCs w:val="24"/>
          <w:lang w:eastAsia="en-US"/>
        </w:rPr>
      </w:pPr>
    </w:p>
    <w:p w:rsidR="00877329" w:rsidRPr="00877329" w:rsidRDefault="00877329" w:rsidP="00877329">
      <w:pPr>
        <w:numPr>
          <w:ilvl w:val="0"/>
          <w:numId w:val="3"/>
        </w:numPr>
        <w:spacing w:before="0" w:after="0" w:line="240" w:lineRule="auto"/>
        <w:rPr>
          <w:rFonts w:ascii="Times New Roman" w:hAnsi="Times New Roman"/>
          <w:sz w:val="20"/>
          <w:szCs w:val="24"/>
          <w:lang w:val="es-ES"/>
        </w:rPr>
      </w:pPr>
      <w:r w:rsidRPr="00877329">
        <w:rPr>
          <w:rFonts w:ascii="Times New Roman" w:hAnsi="Times New Roman"/>
          <w:sz w:val="20"/>
          <w:szCs w:val="24"/>
          <w:lang w:val="es-ES"/>
        </w:rPr>
        <w:t xml:space="preserve">Una memoria justificativa del coste y rendimiento de los servicios públicos. </w:t>
      </w:r>
    </w:p>
    <w:p w:rsidR="00877329" w:rsidRPr="00877329" w:rsidRDefault="00877329" w:rsidP="00877329">
      <w:pPr>
        <w:spacing w:before="0" w:after="0" w:line="240" w:lineRule="auto"/>
        <w:ind w:left="720"/>
        <w:rPr>
          <w:rFonts w:ascii="Times New Roman" w:hAnsi="Times New Roman"/>
          <w:sz w:val="20"/>
          <w:szCs w:val="24"/>
          <w:lang w:val="es-ES"/>
        </w:rPr>
      </w:pPr>
    </w:p>
    <w:p w:rsidR="00877329" w:rsidRPr="00877329" w:rsidRDefault="00877329" w:rsidP="00877329">
      <w:pPr>
        <w:numPr>
          <w:ilvl w:val="0"/>
          <w:numId w:val="3"/>
        </w:numPr>
        <w:spacing w:before="0" w:after="0" w:line="240" w:lineRule="auto"/>
        <w:rPr>
          <w:rFonts w:ascii="Times New Roman" w:hAnsi="Times New Roman"/>
          <w:sz w:val="20"/>
          <w:szCs w:val="24"/>
          <w:lang w:val="es-ES"/>
        </w:rPr>
      </w:pPr>
      <w:r w:rsidRPr="00877329">
        <w:rPr>
          <w:rFonts w:ascii="Times New Roman" w:hAnsi="Times New Roman"/>
          <w:sz w:val="20"/>
          <w:szCs w:val="24"/>
          <w:lang w:val="es-ES"/>
        </w:rPr>
        <w:t xml:space="preserve">Una memoria demostrativa del grado en que se hayan cumplido los objetivos programados con indicación de los previstos y alcanzados, con su coste”. </w:t>
      </w:r>
    </w:p>
    <w:p w:rsidR="00877329" w:rsidRPr="00877329" w:rsidRDefault="00877329" w:rsidP="00877329">
      <w:pPr>
        <w:spacing w:before="0" w:after="0" w:line="240" w:lineRule="auto"/>
        <w:ind w:left="720"/>
        <w:rPr>
          <w:rFonts w:ascii="Times New Roman" w:hAnsi="Times New Roman"/>
          <w:sz w:val="20"/>
          <w:szCs w:val="24"/>
          <w:lang w:val="es-ES"/>
        </w:rPr>
      </w:pPr>
    </w:p>
    <w:p w:rsidR="00877329" w:rsidRPr="00877329" w:rsidRDefault="00877329" w:rsidP="00877329">
      <w:pPr>
        <w:spacing w:before="0" w:after="0" w:line="240" w:lineRule="auto"/>
        <w:rPr>
          <w:rFonts w:ascii="Times New Roman" w:hAnsi="Times New Roman"/>
          <w:sz w:val="20"/>
          <w:szCs w:val="24"/>
          <w:lang w:val="es-ES"/>
        </w:rPr>
      </w:pPr>
      <w:r w:rsidRPr="00877329">
        <w:rPr>
          <w:rFonts w:ascii="Times New Roman" w:hAnsi="Times New Roman"/>
          <w:sz w:val="20"/>
          <w:szCs w:val="24"/>
          <w:lang w:val="es-ES"/>
        </w:rPr>
        <w:t>Por su parte, el contenido del citado texto legal se repite textualmente en el apartado tercero de la Regla 48 “Documentación complementaria” de la Orden HAP/1781/2013, de 20 de septiembre, por la que se aprueba la Instrucción del modelo normal de contabilidad local (ICAL 2013).</w:t>
      </w:r>
    </w:p>
    <w:p w:rsidR="00877329" w:rsidRPr="00877329" w:rsidRDefault="00877329" w:rsidP="00877329">
      <w:pPr>
        <w:spacing w:before="0" w:after="0" w:line="240" w:lineRule="auto"/>
        <w:rPr>
          <w:rFonts w:ascii="Times New Roman" w:hAnsi="Times New Roman"/>
          <w:sz w:val="20"/>
          <w:szCs w:val="24"/>
          <w:lang w:val="es-ES"/>
        </w:rPr>
      </w:pPr>
    </w:p>
    <w:p w:rsidR="00877329" w:rsidRPr="00877329" w:rsidRDefault="00877329" w:rsidP="00877329">
      <w:pPr>
        <w:spacing w:before="0" w:after="0" w:line="240" w:lineRule="auto"/>
        <w:rPr>
          <w:rFonts w:ascii="Times New Roman" w:hAnsi="Times New Roman"/>
          <w:sz w:val="20"/>
          <w:szCs w:val="24"/>
          <w:lang w:val="es-ES"/>
        </w:rPr>
      </w:pPr>
      <w:r w:rsidRPr="00877329">
        <w:rPr>
          <w:rFonts w:ascii="Times New Roman" w:hAnsi="Times New Roman"/>
          <w:sz w:val="20"/>
          <w:szCs w:val="24"/>
          <w:lang w:val="es-ES"/>
        </w:rPr>
        <w:t>En esta misma línea, la propia Ley 19/1989, de 13 de abril, de Tasas y Precios Públicos, establece en su artículo 20, que “toda propuesta de establecimiento de una nueva tasa o de modificación específica de las cuantías de una preexistente deberá incluir, entre los antecedentes y estudios previos para su elaboración, una memoria económico-financiera sobre el coste o valor del recurso o actividad de que se trate y sobre la justificación de la cuantía de la tasa propuesta. La falta de este requisito determinará la nulidad de pleno derecho de las disposiciones reglamentarias que determinen las cuantías de las tasas”. Disposición que pone de manifiesto de manera fehaciente la importancia que el legislador concede a esta cuestión.</w:t>
      </w:r>
    </w:p>
    <w:p w:rsidR="00877329" w:rsidRPr="00877329" w:rsidRDefault="00877329" w:rsidP="00877329">
      <w:pPr>
        <w:spacing w:before="0" w:after="0" w:line="240" w:lineRule="auto"/>
        <w:rPr>
          <w:rFonts w:ascii="Times New Roman" w:hAnsi="Times New Roman"/>
          <w:sz w:val="20"/>
          <w:szCs w:val="24"/>
          <w:lang w:val="es-ES"/>
        </w:rPr>
      </w:pPr>
    </w:p>
    <w:p w:rsidR="00877329" w:rsidRPr="00877329" w:rsidRDefault="00877329" w:rsidP="00877329">
      <w:pPr>
        <w:spacing w:before="0" w:after="0" w:line="240" w:lineRule="auto"/>
        <w:rPr>
          <w:rFonts w:ascii="Times New Roman" w:hAnsi="Times New Roman"/>
          <w:sz w:val="20"/>
          <w:szCs w:val="24"/>
          <w:lang w:val="es-ES"/>
        </w:rPr>
      </w:pPr>
      <w:r w:rsidRPr="00877329">
        <w:rPr>
          <w:rFonts w:ascii="Times New Roman" w:hAnsi="Times New Roman"/>
          <w:sz w:val="20"/>
          <w:szCs w:val="24"/>
          <w:lang w:val="es-ES"/>
        </w:rPr>
        <w:t>A efectos contables, dicha obligación ya venía recogida en el Plan General de Contabilidad Pública aprobado por Orden EHA/1037/2010, de 13 de abril, que establece en su tercera parte, relativa a las cuentas anuales, la necesidad de incorporar en la Memoria información relativa a costes por actividades e indicadores de gestión con el objetivo de “mejorar la calidad de la información contable en el sector Público”.</w:t>
      </w:r>
    </w:p>
    <w:p w:rsidR="00877329" w:rsidRPr="00877329" w:rsidRDefault="00877329" w:rsidP="00877329">
      <w:pPr>
        <w:spacing w:before="0" w:after="0" w:line="240" w:lineRule="auto"/>
        <w:rPr>
          <w:rFonts w:ascii="Times New Roman" w:hAnsi="Times New Roman"/>
          <w:sz w:val="20"/>
          <w:szCs w:val="24"/>
          <w:lang w:val="es-ES"/>
        </w:rPr>
      </w:pPr>
    </w:p>
    <w:p w:rsidR="00877329" w:rsidRPr="00877329" w:rsidRDefault="00877329" w:rsidP="00877329">
      <w:pPr>
        <w:spacing w:before="0" w:after="0" w:line="240" w:lineRule="auto"/>
        <w:rPr>
          <w:rFonts w:ascii="Times New Roman" w:hAnsi="Times New Roman"/>
          <w:sz w:val="20"/>
          <w:szCs w:val="24"/>
          <w:lang w:val="es-ES"/>
        </w:rPr>
      </w:pPr>
      <w:r w:rsidRPr="00877329">
        <w:rPr>
          <w:rFonts w:ascii="Times New Roman" w:hAnsi="Times New Roman"/>
          <w:sz w:val="20"/>
          <w:szCs w:val="24"/>
          <w:lang w:val="es-ES"/>
        </w:rPr>
        <w:t>Esta exigencia ha sido reproducida, tal y como se ha indicado, en la ICAL 2013, que establece que la información contenida en las notas 26. »Información sobre el coste de las actividades» y 27. «Indicadores de gestión» se elaborará, al menos, para los servicios y actividades que se financien con tasas o precios públicos y, únicamente, estarán obligados a cumplimentarla los municipios de más de 50.000 habitantes y las demás entidades locales de ámbito superior.</w:t>
      </w:r>
    </w:p>
    <w:p w:rsidR="00877329" w:rsidRPr="00877329" w:rsidRDefault="00877329" w:rsidP="00877329">
      <w:pPr>
        <w:spacing w:before="0" w:after="0" w:line="240" w:lineRule="auto"/>
        <w:rPr>
          <w:rFonts w:ascii="Times New Roman" w:hAnsi="Times New Roman"/>
          <w:sz w:val="20"/>
          <w:szCs w:val="24"/>
          <w:lang w:val="es-ES"/>
        </w:rPr>
      </w:pPr>
    </w:p>
    <w:p w:rsidR="00877329" w:rsidRPr="00877329" w:rsidRDefault="00877329" w:rsidP="00877329">
      <w:pPr>
        <w:spacing w:before="0" w:after="0" w:line="240" w:lineRule="auto"/>
        <w:rPr>
          <w:rFonts w:ascii="Times New Roman" w:hAnsi="Times New Roman"/>
          <w:sz w:val="20"/>
          <w:szCs w:val="24"/>
          <w:lang w:val="es-ES"/>
        </w:rPr>
      </w:pPr>
      <w:r w:rsidRPr="00877329">
        <w:rPr>
          <w:rFonts w:ascii="Times New Roman" w:hAnsi="Times New Roman"/>
          <w:sz w:val="20"/>
          <w:szCs w:val="24"/>
          <w:lang w:val="es-ES"/>
        </w:rPr>
        <w:t>Dicho texto legal establece además que para la confección de la información a que se refieren las citadas notas se tendrán en cuenta los criterios establecidos en los documentos «Principios generales sobre Contabilidad Analítica de las Administraciones Públicas» (IGAE 2004) y «Los Indicadores de Gestión en el ámbito del Sector Público» (IGAE 2007).</w:t>
      </w:r>
    </w:p>
    <w:p w:rsidR="00877329" w:rsidRPr="00877329" w:rsidRDefault="00877329" w:rsidP="00877329">
      <w:pPr>
        <w:spacing w:before="0" w:after="0" w:line="240" w:lineRule="auto"/>
        <w:rPr>
          <w:rFonts w:ascii="Times New Roman" w:hAnsi="Times New Roman"/>
          <w:sz w:val="20"/>
          <w:szCs w:val="24"/>
          <w:lang w:val="es-ES"/>
        </w:rPr>
      </w:pPr>
    </w:p>
    <w:p w:rsidR="00877329" w:rsidRPr="00877329" w:rsidRDefault="00877329" w:rsidP="00877329">
      <w:pPr>
        <w:spacing w:before="0" w:after="0" w:line="240" w:lineRule="auto"/>
        <w:rPr>
          <w:rFonts w:ascii="Times New Roman" w:hAnsi="Times New Roman"/>
          <w:sz w:val="20"/>
          <w:szCs w:val="24"/>
          <w:lang w:val="es-ES"/>
        </w:rPr>
      </w:pPr>
      <w:r w:rsidRPr="00877329">
        <w:rPr>
          <w:rFonts w:ascii="Times New Roman" w:hAnsi="Times New Roman"/>
          <w:sz w:val="20"/>
          <w:szCs w:val="24"/>
          <w:lang w:val="es-ES"/>
        </w:rPr>
        <w:t xml:space="preserve">Las anteriores referencias legislativas  hacen evidente que la intención del legislador ha sido, por una parte, aumentar la información económico-financiera y técnica para los gestores, buscando generar herramientas para orientar una toma de decisiones más objetiva en la búsqueda de la eficiencia, eficacia y economía y, por otra, aumentar el nivel de transparencia ante la sociedad respecto a su realidad económico-financiera y técnica dando a conocer a través de sus cuentas públicas información precisa sobre el coste y rendimiento de los servicios, así como el grado de consecución de los objetivos programados. </w:t>
      </w:r>
    </w:p>
    <w:p w:rsidR="00877329" w:rsidRPr="00877329" w:rsidRDefault="00877329" w:rsidP="00877329">
      <w:pPr>
        <w:spacing w:before="0" w:after="0" w:line="240" w:lineRule="auto"/>
        <w:rPr>
          <w:rFonts w:ascii="Times New Roman" w:hAnsi="Times New Roman"/>
          <w:sz w:val="20"/>
          <w:szCs w:val="24"/>
          <w:lang w:val="es-ES"/>
        </w:rPr>
      </w:pPr>
    </w:p>
    <w:p w:rsidR="00877329" w:rsidRPr="00877329" w:rsidRDefault="00877329" w:rsidP="00877329">
      <w:pPr>
        <w:spacing w:before="0" w:after="0" w:line="240" w:lineRule="auto"/>
        <w:rPr>
          <w:rFonts w:ascii="Times New Roman" w:hAnsi="Times New Roman"/>
          <w:sz w:val="20"/>
          <w:szCs w:val="24"/>
          <w:lang w:val="es-ES"/>
        </w:rPr>
      </w:pPr>
      <w:r w:rsidRPr="00877329">
        <w:rPr>
          <w:rFonts w:ascii="Times New Roman" w:hAnsi="Times New Roman"/>
          <w:sz w:val="20"/>
          <w:szCs w:val="24"/>
          <w:lang w:val="es-ES"/>
        </w:rPr>
        <w:t xml:space="preserve">En este sentido, el Comité de Expertos para la reforma de la Financiación Local, constituido por el Ministerio de Hacienda y Función Pública, en su informe final, lleva incluso a proponer aumentar el nivel de exigencia en este ámbito, planteando que las citadas memorias y la información sobre el coste de las actividades y los indicadores de gestión de las notas 26 y 27, como información complementaria a la Cuenta General, sean exigidas para todos los ayuntamientos mayores de 20.000 habitantes, aumentando así la base de municipios que deben cumplir con tales exigencias, tanto para la mejora de su gestión como para servir a los objetivos de transparencia. </w:t>
      </w:r>
    </w:p>
    <w:p w:rsidR="00877329" w:rsidRPr="00877329" w:rsidRDefault="00877329" w:rsidP="00877329">
      <w:pPr>
        <w:spacing w:before="0" w:after="0" w:line="240" w:lineRule="auto"/>
        <w:rPr>
          <w:rFonts w:ascii="Times New Roman" w:hAnsi="Times New Roman"/>
          <w:sz w:val="20"/>
          <w:szCs w:val="24"/>
          <w:lang w:val="es-ES"/>
        </w:rPr>
      </w:pPr>
    </w:p>
    <w:p w:rsidR="00877329" w:rsidRPr="00877329" w:rsidRDefault="00877329" w:rsidP="00877329">
      <w:pPr>
        <w:pStyle w:val="Default"/>
        <w:jc w:val="both"/>
        <w:rPr>
          <w:rFonts w:ascii="Times New Roman" w:eastAsia="Calibri" w:hAnsi="Times New Roman" w:cs="Times New Roman"/>
          <w:szCs w:val="24"/>
          <w:lang w:eastAsia="en-US"/>
        </w:rPr>
      </w:pPr>
      <w:r w:rsidRPr="00877329">
        <w:rPr>
          <w:rFonts w:ascii="Times New Roman" w:eastAsia="Calibri" w:hAnsi="Times New Roman" w:cs="Times New Roman"/>
          <w:szCs w:val="24"/>
          <w:lang w:eastAsia="en-US"/>
        </w:rPr>
        <w:t xml:space="preserve">En definitiva, han sido de notable importancia los avances conseguidos en los últimos años en la calidad de la información contable incluida en las cuentas anuales individuales de las Administraciones Públicas, tanto en </w:t>
      </w:r>
      <w:r w:rsidRPr="00877329">
        <w:rPr>
          <w:rFonts w:ascii="Times New Roman" w:eastAsia="Calibri" w:hAnsi="Times New Roman" w:cs="Times New Roman"/>
          <w:szCs w:val="24"/>
          <w:lang w:eastAsia="en-US"/>
        </w:rPr>
        <w:lastRenderedPageBreak/>
        <w:t>el ámbito de su contabilidad financiera como de costes, y se plantea la necesidad urgente de avanzar también en la elaboración de cuentas consolidadas en el ámbito del sector público.</w:t>
      </w:r>
    </w:p>
    <w:p w:rsidR="00877329" w:rsidRPr="00877329" w:rsidRDefault="00877329" w:rsidP="00877329">
      <w:pPr>
        <w:pStyle w:val="Default"/>
        <w:jc w:val="both"/>
        <w:rPr>
          <w:rFonts w:ascii="Times New Roman" w:eastAsia="Calibri" w:hAnsi="Times New Roman" w:cs="Times New Roman"/>
          <w:szCs w:val="24"/>
          <w:lang w:eastAsia="en-US"/>
        </w:rPr>
      </w:pPr>
    </w:p>
    <w:p w:rsidR="00877329" w:rsidRDefault="00877329" w:rsidP="00877329">
      <w:pPr>
        <w:pStyle w:val="Pa6"/>
        <w:spacing w:line="240" w:lineRule="auto"/>
        <w:jc w:val="both"/>
        <w:rPr>
          <w:rFonts w:ascii="Times New Roman" w:eastAsia="Calibri" w:hAnsi="Times New Roman" w:cs="Times New Roman"/>
          <w:sz w:val="20"/>
          <w:lang w:eastAsia="en-US"/>
        </w:rPr>
      </w:pPr>
      <w:r w:rsidRPr="00877329">
        <w:rPr>
          <w:rFonts w:ascii="Times New Roman" w:eastAsia="Calibri" w:hAnsi="Times New Roman" w:cs="Times New Roman"/>
          <w:sz w:val="20"/>
          <w:lang w:eastAsia="en-US"/>
        </w:rPr>
        <w:t xml:space="preserve">Esta necesidad viene determinada por el creciente proceso de descentralización en la prestación de servicios públicos que se está llevando a cabo mediante la creación de entidades públicas autónomas, con el objeto de conseguir una mejora en la eficacia y eficiencia en la prestación de los servicios públicos, pero que supone el riesgo de perder información del grupo de entidades públicas incluidas dentro del mismo ámbito de control. </w:t>
      </w:r>
    </w:p>
    <w:p w:rsidR="00AC2077" w:rsidRPr="00AC2077" w:rsidRDefault="00AC2077" w:rsidP="00AC2077">
      <w:pPr>
        <w:pStyle w:val="Default"/>
        <w:rPr>
          <w:rFonts w:eastAsia="Calibri"/>
          <w:lang w:eastAsia="en-US"/>
        </w:rPr>
      </w:pPr>
    </w:p>
    <w:p w:rsidR="00877329" w:rsidRPr="00877329" w:rsidRDefault="00877329" w:rsidP="00877329">
      <w:pPr>
        <w:pStyle w:val="Pa6"/>
        <w:spacing w:line="240" w:lineRule="auto"/>
        <w:jc w:val="both"/>
        <w:rPr>
          <w:rFonts w:ascii="Times New Roman" w:eastAsia="Calibri" w:hAnsi="Times New Roman" w:cs="Times New Roman"/>
          <w:sz w:val="20"/>
          <w:lang w:eastAsia="en-US"/>
        </w:rPr>
      </w:pPr>
      <w:r w:rsidRPr="00877329">
        <w:rPr>
          <w:rFonts w:ascii="Times New Roman" w:eastAsia="Calibri" w:hAnsi="Times New Roman" w:cs="Times New Roman"/>
          <w:sz w:val="20"/>
          <w:lang w:eastAsia="en-US"/>
        </w:rPr>
        <w:t>Efectivamente, en el ámbito de la contabilidad analítica, este proceso puede suponer que se desvirtúe de una manera absoluta el coste informado de los servicios públicos, especialmente en dos sentidos:</w:t>
      </w:r>
    </w:p>
    <w:p w:rsidR="00877329" w:rsidRPr="00877329" w:rsidRDefault="00877329" w:rsidP="00877329">
      <w:pPr>
        <w:pStyle w:val="Default"/>
        <w:rPr>
          <w:rFonts w:ascii="Times New Roman" w:eastAsia="Calibri" w:hAnsi="Times New Roman" w:cs="Times New Roman"/>
          <w:szCs w:val="24"/>
          <w:lang w:eastAsia="en-US"/>
        </w:rPr>
      </w:pPr>
    </w:p>
    <w:p w:rsidR="00877329" w:rsidRPr="00877329" w:rsidRDefault="00877329" w:rsidP="00877329">
      <w:pPr>
        <w:pStyle w:val="Pa6"/>
        <w:numPr>
          <w:ilvl w:val="0"/>
          <w:numId w:val="5"/>
        </w:numPr>
        <w:spacing w:line="240" w:lineRule="auto"/>
        <w:jc w:val="both"/>
        <w:rPr>
          <w:rFonts w:ascii="Times New Roman" w:eastAsia="Calibri" w:hAnsi="Times New Roman" w:cs="Times New Roman"/>
          <w:sz w:val="20"/>
          <w:lang w:eastAsia="en-US"/>
        </w:rPr>
      </w:pPr>
      <w:r w:rsidRPr="00877329">
        <w:rPr>
          <w:rFonts w:ascii="Times New Roman" w:eastAsia="Calibri" w:hAnsi="Times New Roman" w:cs="Times New Roman"/>
          <w:sz w:val="20"/>
          <w:lang w:eastAsia="en-US"/>
        </w:rPr>
        <w:t>Debido a la habitual transversalidad de determinados servicios locales, prestados de manera centralizada por el Ente Principal u otras Entidades del conglomerado local y,</w:t>
      </w:r>
    </w:p>
    <w:p w:rsidR="00877329" w:rsidRPr="00877329" w:rsidRDefault="00877329" w:rsidP="00877329">
      <w:pPr>
        <w:pStyle w:val="Default"/>
        <w:rPr>
          <w:rFonts w:ascii="Times New Roman" w:eastAsia="Calibri" w:hAnsi="Times New Roman" w:cs="Times New Roman"/>
          <w:szCs w:val="24"/>
          <w:lang w:eastAsia="en-US"/>
        </w:rPr>
      </w:pPr>
    </w:p>
    <w:p w:rsidR="00877329" w:rsidRPr="00877329" w:rsidRDefault="00877329" w:rsidP="00877329">
      <w:pPr>
        <w:pStyle w:val="Pa6"/>
        <w:numPr>
          <w:ilvl w:val="0"/>
          <w:numId w:val="5"/>
        </w:numPr>
        <w:spacing w:line="240" w:lineRule="auto"/>
        <w:jc w:val="both"/>
        <w:rPr>
          <w:rFonts w:ascii="Times New Roman" w:eastAsia="Calibri" w:hAnsi="Times New Roman" w:cs="Times New Roman"/>
          <w:sz w:val="20"/>
          <w:lang w:eastAsia="en-US"/>
        </w:rPr>
      </w:pPr>
      <w:r w:rsidRPr="00877329">
        <w:rPr>
          <w:rFonts w:ascii="Times New Roman" w:eastAsia="Calibri" w:hAnsi="Times New Roman" w:cs="Times New Roman"/>
          <w:sz w:val="20"/>
          <w:lang w:eastAsia="en-US"/>
        </w:rPr>
        <w:t xml:space="preserve">Por la existencia de costes de soporte directivo y administrativo general que, en los estados individuales, sólo pueden asignarse a los servicios incluidos en la estructura organizativa de </w:t>
      </w:r>
      <w:r w:rsidR="00AC2077">
        <w:rPr>
          <w:rFonts w:ascii="Times New Roman" w:eastAsia="Calibri" w:hAnsi="Times New Roman" w:cs="Times New Roman"/>
          <w:sz w:val="20"/>
          <w:lang w:eastAsia="en-US"/>
        </w:rPr>
        <w:t>cada Ente</w:t>
      </w:r>
      <w:r w:rsidRPr="00877329">
        <w:rPr>
          <w:rFonts w:ascii="Times New Roman" w:eastAsia="Calibri" w:hAnsi="Times New Roman" w:cs="Times New Roman"/>
          <w:sz w:val="20"/>
          <w:lang w:eastAsia="en-US"/>
        </w:rPr>
        <w:t>.</w:t>
      </w:r>
    </w:p>
    <w:p w:rsidR="00877329" w:rsidRPr="00877329" w:rsidRDefault="00877329" w:rsidP="00877329">
      <w:pPr>
        <w:pStyle w:val="Pa6"/>
        <w:spacing w:line="240" w:lineRule="auto"/>
        <w:jc w:val="both"/>
        <w:rPr>
          <w:rFonts w:ascii="Times New Roman" w:eastAsia="Calibri" w:hAnsi="Times New Roman" w:cs="Times New Roman"/>
          <w:sz w:val="20"/>
          <w:lang w:eastAsia="en-US"/>
        </w:rPr>
      </w:pPr>
    </w:p>
    <w:p w:rsidR="00877329" w:rsidRPr="00877329" w:rsidRDefault="00877329" w:rsidP="00877329">
      <w:pPr>
        <w:pStyle w:val="Pa6"/>
        <w:spacing w:line="240" w:lineRule="auto"/>
        <w:jc w:val="both"/>
        <w:rPr>
          <w:rFonts w:ascii="Times New Roman" w:eastAsia="Calibri" w:hAnsi="Times New Roman" w:cs="Times New Roman"/>
          <w:sz w:val="20"/>
          <w:lang w:eastAsia="en-US"/>
        </w:rPr>
      </w:pPr>
      <w:r w:rsidRPr="00877329">
        <w:rPr>
          <w:rFonts w:ascii="Times New Roman" w:eastAsia="Calibri" w:hAnsi="Times New Roman" w:cs="Times New Roman"/>
          <w:sz w:val="20"/>
          <w:lang w:eastAsia="en-US"/>
        </w:rPr>
        <w:t>Consecuencia de lo anterior, se produce un notable sesgo del coste de los servicios, de una parte, por no determinarse el costes completo asociado a los mismos, de acuerdo a la metodología de la Resolución de 28 de julio de 2011, de la IGAE, desvirtuando el cálculo de los márgenes de cobertura asociados a éstos y, de la otra, porque el coste pasa a ser diferente por razones vinculadas a la estructura organizativa del Ente y no de acuerdo a la eficiencia con la que se presta el servicio.</w:t>
      </w:r>
    </w:p>
    <w:p w:rsidR="00877329" w:rsidRPr="00877329" w:rsidRDefault="00877329" w:rsidP="00877329">
      <w:pPr>
        <w:pStyle w:val="Default"/>
        <w:rPr>
          <w:rFonts w:ascii="Times New Roman" w:eastAsia="Calibri" w:hAnsi="Times New Roman" w:cs="Times New Roman"/>
          <w:szCs w:val="24"/>
          <w:lang w:eastAsia="en-US"/>
        </w:rPr>
      </w:pPr>
    </w:p>
    <w:p w:rsidR="00877329" w:rsidRPr="00877329" w:rsidRDefault="00877329" w:rsidP="00877329">
      <w:pPr>
        <w:pStyle w:val="Pa6"/>
        <w:spacing w:line="240" w:lineRule="auto"/>
        <w:jc w:val="both"/>
        <w:rPr>
          <w:rFonts w:ascii="Times New Roman" w:eastAsia="Calibri" w:hAnsi="Times New Roman" w:cs="Times New Roman"/>
          <w:sz w:val="20"/>
          <w:lang w:eastAsia="en-US"/>
        </w:rPr>
      </w:pPr>
      <w:r w:rsidRPr="00877329">
        <w:rPr>
          <w:rFonts w:ascii="Times New Roman" w:eastAsia="Calibri" w:hAnsi="Times New Roman" w:cs="Times New Roman"/>
          <w:sz w:val="20"/>
          <w:lang w:eastAsia="en-US"/>
        </w:rPr>
        <w:t>Esta realidad viene puesta de manifiesto por la propia Ley 8/1989, de 13 de abril, de Tasas y Precios Públicos, que en el artículo 19 de su texto refundido, regulador de los elementos cuantitativos de la tasa, establece claramente esta consideración, al disponer en su apartado 2 que en general “el importe de las tasas por la prestación de un servicio o por la realización de una actividad no podrá exceder, en su conjunto, del coste real o previsible del servicio o actividad de que se trate o, en su defecto, del valor de la prestación recibida”, estableciendo, a su vez, en el apartado 3 de dicho artículo que “para la determinación de dicho importe se tomarán en consideración los costes directos e indirectos, inclusive los de carácter financiero, amortización del inmovilizado y, en su caso, los necesarios para garantizar el mantenimiento y un desarrollo razonable del servicio o actividad por cuya prestación o realización se exige la tasa, todo ello con independencia del presupuesto con cargo al cual se satisfagan”.</w:t>
      </w:r>
    </w:p>
    <w:p w:rsidR="00877329" w:rsidRPr="00877329" w:rsidRDefault="00877329" w:rsidP="00877329">
      <w:pPr>
        <w:pStyle w:val="Default"/>
        <w:rPr>
          <w:rFonts w:ascii="Times New Roman" w:eastAsia="Calibri" w:hAnsi="Times New Roman" w:cs="Times New Roman"/>
          <w:szCs w:val="24"/>
          <w:lang w:eastAsia="en-US"/>
        </w:rPr>
      </w:pPr>
    </w:p>
    <w:p w:rsidR="00877329" w:rsidRPr="00877329" w:rsidRDefault="00877329" w:rsidP="00877329">
      <w:pPr>
        <w:pStyle w:val="Pa6"/>
        <w:spacing w:line="240" w:lineRule="auto"/>
        <w:jc w:val="both"/>
        <w:rPr>
          <w:rFonts w:ascii="Times New Roman" w:eastAsia="Calibri" w:hAnsi="Times New Roman" w:cs="Times New Roman"/>
          <w:sz w:val="20"/>
          <w:lang w:eastAsia="en-US"/>
        </w:rPr>
      </w:pPr>
      <w:r w:rsidRPr="00877329">
        <w:rPr>
          <w:rFonts w:ascii="Times New Roman" w:eastAsia="Calibri" w:hAnsi="Times New Roman" w:cs="Times New Roman"/>
          <w:sz w:val="20"/>
          <w:lang w:eastAsia="en-US"/>
        </w:rPr>
        <w:t>Puede deducirse de la redacción de este precepto legal que resulta imposible determinar los costes que permiten regular los elementos cuantitativos para la fijación de una tasa si no resulta posible la medición total del coste asociada a ésta con independencia del presupuesto del Ente con cargo al cual se satisfagan y, en consecuencia, sin haber procedido a la consolidación de los costes del Conglomerado Local.</w:t>
      </w:r>
    </w:p>
    <w:p w:rsidR="00877329" w:rsidRPr="00877329" w:rsidRDefault="00877329" w:rsidP="00877329">
      <w:pPr>
        <w:pStyle w:val="Default"/>
        <w:rPr>
          <w:rFonts w:ascii="Times New Roman" w:eastAsia="Calibri" w:hAnsi="Times New Roman" w:cs="Times New Roman"/>
          <w:szCs w:val="24"/>
          <w:lang w:eastAsia="en-US"/>
        </w:rPr>
      </w:pPr>
    </w:p>
    <w:p w:rsidR="00877329" w:rsidRPr="00877329" w:rsidRDefault="00877329" w:rsidP="00877329">
      <w:pPr>
        <w:pStyle w:val="Pa6"/>
        <w:spacing w:line="240" w:lineRule="auto"/>
        <w:jc w:val="both"/>
        <w:rPr>
          <w:rFonts w:ascii="Times New Roman" w:eastAsia="Calibri" w:hAnsi="Times New Roman" w:cs="Times New Roman"/>
          <w:sz w:val="20"/>
          <w:lang w:eastAsia="en-US"/>
        </w:rPr>
      </w:pPr>
      <w:r w:rsidRPr="00877329">
        <w:rPr>
          <w:rFonts w:ascii="Times New Roman" w:eastAsia="Calibri" w:hAnsi="Times New Roman" w:cs="Times New Roman"/>
          <w:sz w:val="20"/>
          <w:lang w:eastAsia="en-US"/>
        </w:rPr>
        <w:t>Idénticas consideraciones pueden hacerse en relación a los precios públicos, al disponer el artículo 25.1, de dicho texto legal, regulador de su cuantía que “los precios públicos se determinarán a un nivel que cubra, como mínimo, los costes económicos originados por la realización de las actividades o la prestación de los servicios o a un nivel que resulte equivalente a la utilidad derivada de los mismos”, sin que efectúe apunte diferencial alguno respecto a su determinación.</w:t>
      </w:r>
    </w:p>
    <w:p w:rsidR="00877329" w:rsidRPr="00877329" w:rsidRDefault="00877329" w:rsidP="00877329">
      <w:pPr>
        <w:pStyle w:val="Pa6"/>
        <w:spacing w:line="240" w:lineRule="auto"/>
        <w:jc w:val="both"/>
        <w:rPr>
          <w:rFonts w:ascii="Times New Roman" w:eastAsia="Calibri" w:hAnsi="Times New Roman" w:cs="Times New Roman"/>
          <w:sz w:val="20"/>
          <w:lang w:eastAsia="en-US"/>
        </w:rPr>
      </w:pPr>
    </w:p>
    <w:p w:rsidR="00877329" w:rsidRPr="00877329" w:rsidRDefault="00877329" w:rsidP="00877329">
      <w:pPr>
        <w:pStyle w:val="Pa6"/>
        <w:spacing w:line="240" w:lineRule="auto"/>
        <w:jc w:val="both"/>
        <w:rPr>
          <w:rFonts w:ascii="Times New Roman" w:eastAsia="Calibri" w:hAnsi="Times New Roman" w:cs="Times New Roman"/>
          <w:sz w:val="20"/>
          <w:lang w:eastAsia="en-US"/>
        </w:rPr>
      </w:pPr>
      <w:r w:rsidRPr="00877329">
        <w:rPr>
          <w:rFonts w:ascii="Times New Roman" w:eastAsia="Calibri" w:hAnsi="Times New Roman" w:cs="Times New Roman"/>
          <w:sz w:val="20"/>
          <w:lang w:eastAsia="en-US"/>
        </w:rPr>
        <w:t xml:space="preserve">En síntesis, para evitar esta situación, es preciso disponer de las cuentas anuales individuales de las distintas entidades y de unas cuentas anuales consolidadas en las que se refleje la gestión realizada por todas las entidades sobre las que la entidad dominante ejerce el control, entendiendo por control, de acuerdo a lo establecido en el artículo 2.2 de la Orden HAP/1489/2013, de 18 de julio, por la que se aprueban las normas para la formulación de cuentas anuales consolidadas en el ámbito del sector público, “el poder de dirigir las políticas financieras y la actividad de otra entidad con la finalidad de obtener rendimientos económicos o potencial de servicio”. </w:t>
      </w:r>
    </w:p>
    <w:p w:rsidR="00877329" w:rsidRPr="00877329" w:rsidRDefault="00877329" w:rsidP="00877329">
      <w:pPr>
        <w:pStyle w:val="Default"/>
        <w:jc w:val="both"/>
        <w:rPr>
          <w:rFonts w:ascii="Times New Roman" w:eastAsia="Calibri" w:hAnsi="Times New Roman" w:cs="Times New Roman"/>
          <w:szCs w:val="24"/>
          <w:lang w:eastAsia="en-US"/>
        </w:rPr>
      </w:pPr>
    </w:p>
    <w:p w:rsidR="00877329" w:rsidRPr="00877329" w:rsidRDefault="00877329" w:rsidP="00877329">
      <w:pPr>
        <w:pStyle w:val="Default"/>
        <w:jc w:val="both"/>
        <w:rPr>
          <w:rFonts w:ascii="Times New Roman" w:eastAsia="Calibri" w:hAnsi="Times New Roman" w:cs="Times New Roman"/>
          <w:szCs w:val="24"/>
          <w:lang w:eastAsia="en-US"/>
        </w:rPr>
      </w:pPr>
      <w:r w:rsidRPr="00877329">
        <w:rPr>
          <w:rFonts w:ascii="Times New Roman" w:eastAsia="Calibri" w:hAnsi="Times New Roman" w:cs="Times New Roman"/>
          <w:szCs w:val="24"/>
          <w:lang w:eastAsia="en-US"/>
        </w:rPr>
        <w:t>Sin duda, la consolidación en el ámbito público presenta especiales dificultades, tanto por las peculiaridades que presentan las entidades del sector público como por las relaciones de dependencia que se dan entre ellas, y la propia dificultad añadida por el hecho de que las entidades a consolidar puedan aplicar diferentes planes de contabilidad, que hacen que no sea posible extrapolar las normas de consolidación del ámbit</w:t>
      </w:r>
      <w:r w:rsidR="006D1350">
        <w:rPr>
          <w:rFonts w:ascii="Times New Roman" w:eastAsia="Calibri" w:hAnsi="Times New Roman" w:cs="Times New Roman"/>
          <w:szCs w:val="24"/>
          <w:lang w:eastAsia="en-US"/>
        </w:rPr>
        <w:t>o empresarial al sector público. Tales circunstancias</w:t>
      </w:r>
      <w:r w:rsidRPr="00877329">
        <w:rPr>
          <w:rFonts w:ascii="Times New Roman" w:eastAsia="Calibri" w:hAnsi="Times New Roman" w:cs="Times New Roman"/>
          <w:szCs w:val="24"/>
          <w:lang w:eastAsia="en-US"/>
        </w:rPr>
        <w:t xml:space="preserve"> oblig</w:t>
      </w:r>
      <w:r w:rsidR="006D1350">
        <w:rPr>
          <w:rFonts w:ascii="Times New Roman" w:eastAsia="Calibri" w:hAnsi="Times New Roman" w:cs="Times New Roman"/>
          <w:szCs w:val="24"/>
          <w:lang w:eastAsia="en-US"/>
        </w:rPr>
        <w:t>aron</w:t>
      </w:r>
      <w:r w:rsidRPr="00877329">
        <w:rPr>
          <w:rFonts w:ascii="Times New Roman" w:eastAsia="Calibri" w:hAnsi="Times New Roman" w:cs="Times New Roman"/>
          <w:szCs w:val="24"/>
          <w:lang w:eastAsia="en-US"/>
        </w:rPr>
        <w:t xml:space="preserve"> a </w:t>
      </w:r>
      <w:r w:rsidR="006D1350">
        <w:rPr>
          <w:rFonts w:ascii="Times New Roman" w:eastAsia="Calibri" w:hAnsi="Times New Roman" w:cs="Times New Roman"/>
          <w:szCs w:val="24"/>
          <w:lang w:eastAsia="en-US"/>
        </w:rPr>
        <w:t>formular</w:t>
      </w:r>
      <w:r w:rsidRPr="00877329">
        <w:rPr>
          <w:rFonts w:ascii="Times New Roman" w:eastAsia="Calibri" w:hAnsi="Times New Roman" w:cs="Times New Roman"/>
          <w:szCs w:val="24"/>
          <w:lang w:eastAsia="en-US"/>
        </w:rPr>
        <w:t xml:space="preserve"> un </w:t>
      </w:r>
      <w:r w:rsidR="006D1350">
        <w:rPr>
          <w:rFonts w:ascii="Times New Roman" w:eastAsia="Calibri" w:hAnsi="Times New Roman" w:cs="Times New Roman"/>
          <w:szCs w:val="24"/>
          <w:lang w:eastAsia="en-US"/>
        </w:rPr>
        <w:t>tratamiento</w:t>
      </w:r>
      <w:r w:rsidRPr="00877329">
        <w:rPr>
          <w:rFonts w:ascii="Times New Roman" w:eastAsia="Calibri" w:hAnsi="Times New Roman" w:cs="Times New Roman"/>
          <w:szCs w:val="24"/>
          <w:lang w:eastAsia="en-US"/>
        </w:rPr>
        <w:t xml:space="preserve"> normativo específico (Orden HAP/1489/2013, de 18 de julio, por la que se aprueban las normas para la formulación de cuentas anuales </w:t>
      </w:r>
      <w:r w:rsidRPr="00877329">
        <w:rPr>
          <w:rFonts w:ascii="Times New Roman" w:eastAsia="Calibri" w:hAnsi="Times New Roman" w:cs="Times New Roman"/>
          <w:szCs w:val="24"/>
          <w:lang w:eastAsia="en-US"/>
        </w:rPr>
        <w:lastRenderedPageBreak/>
        <w:t>consolidadas en el ámbito del sector público), que queda pendiente de desarrollo, como se ha indicado, en el ámbito local.</w:t>
      </w:r>
    </w:p>
    <w:p w:rsidR="00877329" w:rsidRPr="00877329" w:rsidRDefault="00877329" w:rsidP="00877329">
      <w:pPr>
        <w:pStyle w:val="Pa6"/>
        <w:spacing w:line="240" w:lineRule="auto"/>
        <w:jc w:val="both"/>
        <w:rPr>
          <w:rFonts w:ascii="Times New Roman" w:eastAsia="Calibri" w:hAnsi="Times New Roman" w:cs="Times New Roman"/>
          <w:sz w:val="20"/>
          <w:lang w:eastAsia="en-US"/>
        </w:rPr>
      </w:pPr>
    </w:p>
    <w:p w:rsidR="00877329" w:rsidRPr="00877329" w:rsidRDefault="00877329" w:rsidP="00877329">
      <w:pPr>
        <w:pStyle w:val="Pa6"/>
        <w:spacing w:line="240" w:lineRule="auto"/>
        <w:jc w:val="both"/>
        <w:rPr>
          <w:rFonts w:ascii="Times New Roman" w:eastAsia="Calibri" w:hAnsi="Times New Roman" w:cs="Times New Roman"/>
          <w:sz w:val="20"/>
          <w:lang w:eastAsia="en-US"/>
        </w:rPr>
      </w:pPr>
      <w:r w:rsidRPr="00877329">
        <w:rPr>
          <w:rFonts w:ascii="Times New Roman" w:eastAsia="Calibri" w:hAnsi="Times New Roman" w:cs="Times New Roman"/>
          <w:sz w:val="20"/>
          <w:lang w:eastAsia="en-US"/>
        </w:rPr>
        <w:t xml:space="preserve">Efectivamente, para que </w:t>
      </w:r>
      <w:r w:rsidR="006D1350">
        <w:rPr>
          <w:rFonts w:ascii="Times New Roman" w:eastAsia="Calibri" w:hAnsi="Times New Roman" w:cs="Times New Roman"/>
          <w:sz w:val="20"/>
          <w:lang w:eastAsia="en-US"/>
        </w:rPr>
        <w:t>las</w:t>
      </w:r>
      <w:r w:rsidRPr="00877329">
        <w:rPr>
          <w:rFonts w:ascii="Times New Roman" w:eastAsia="Calibri" w:hAnsi="Times New Roman" w:cs="Times New Roman"/>
          <w:sz w:val="20"/>
          <w:lang w:eastAsia="en-US"/>
        </w:rPr>
        <w:t xml:space="preserve"> cuentas anuales reflejen la imagen fiel de la situación financiera y patrimonial, o en el marco que nos ocupa, el coste asociado a las actividades reali</w:t>
      </w:r>
      <w:r w:rsidR="006D1350">
        <w:rPr>
          <w:rFonts w:ascii="Times New Roman" w:eastAsia="Calibri" w:hAnsi="Times New Roman" w:cs="Times New Roman"/>
          <w:sz w:val="20"/>
          <w:lang w:eastAsia="en-US"/>
        </w:rPr>
        <w:t>zadas y los servicios prestados</w:t>
      </w:r>
      <w:r w:rsidRPr="00877329">
        <w:rPr>
          <w:rFonts w:ascii="Times New Roman" w:eastAsia="Calibri" w:hAnsi="Times New Roman" w:cs="Times New Roman"/>
          <w:sz w:val="20"/>
          <w:lang w:eastAsia="en-US"/>
        </w:rPr>
        <w:t xml:space="preserve"> del grupo de entidades públicas no es suficiente con la mera agregación de las cuentas individuales, sino que es preciso efectuar la consolidación de las mismas, lo cual supone un avance importante en la transparencia de la información contable pública, con importantes implicaciones en el ámbito de la contabilidad analítica.</w:t>
      </w:r>
    </w:p>
    <w:p w:rsidR="00877329" w:rsidRPr="00877329" w:rsidRDefault="00877329" w:rsidP="00877329">
      <w:pPr>
        <w:pStyle w:val="Pa6"/>
        <w:spacing w:line="240" w:lineRule="auto"/>
        <w:jc w:val="both"/>
        <w:rPr>
          <w:rFonts w:ascii="Times New Roman" w:eastAsia="Calibri" w:hAnsi="Times New Roman" w:cs="Times New Roman"/>
          <w:sz w:val="20"/>
          <w:lang w:eastAsia="en-US"/>
        </w:rPr>
      </w:pPr>
    </w:p>
    <w:p w:rsidR="00877329" w:rsidRPr="00877329" w:rsidRDefault="00877329" w:rsidP="00877329">
      <w:pPr>
        <w:pStyle w:val="Pa6"/>
        <w:spacing w:line="240" w:lineRule="auto"/>
        <w:jc w:val="both"/>
        <w:rPr>
          <w:rFonts w:ascii="Times New Roman" w:eastAsia="Calibri" w:hAnsi="Times New Roman" w:cs="Times New Roman"/>
          <w:sz w:val="20"/>
          <w:lang w:eastAsia="en-US"/>
        </w:rPr>
      </w:pPr>
      <w:r w:rsidRPr="00877329">
        <w:rPr>
          <w:rFonts w:ascii="Times New Roman" w:eastAsia="Calibri" w:hAnsi="Times New Roman" w:cs="Times New Roman"/>
          <w:sz w:val="20"/>
          <w:lang w:eastAsia="en-US"/>
        </w:rPr>
        <w:t>En cualquier caso, la elaboración de cuentas anuales consolidadas en el ámbito del sector público no debe suponer el abandono de la presentación de las cuentas anuales individuales, ya que éstas siguen teniendo una importancia destacada en el procedimiento de rendición de cuentas de los responsables de las distintas entidades públicas.</w:t>
      </w:r>
    </w:p>
    <w:p w:rsidR="00877329" w:rsidRPr="00877329" w:rsidRDefault="00877329" w:rsidP="00877329">
      <w:pPr>
        <w:pStyle w:val="Pa6"/>
        <w:spacing w:line="240" w:lineRule="auto"/>
        <w:jc w:val="both"/>
        <w:rPr>
          <w:rFonts w:ascii="Times New Roman" w:eastAsia="Calibri" w:hAnsi="Times New Roman" w:cs="Times New Roman"/>
          <w:sz w:val="20"/>
          <w:lang w:eastAsia="en-US"/>
        </w:rPr>
      </w:pPr>
    </w:p>
    <w:p w:rsidR="00877329" w:rsidRPr="00877329" w:rsidRDefault="00877329" w:rsidP="00877329">
      <w:pPr>
        <w:pStyle w:val="Default"/>
        <w:jc w:val="both"/>
        <w:rPr>
          <w:rFonts w:ascii="Times New Roman" w:eastAsia="Calibri" w:hAnsi="Times New Roman" w:cs="Times New Roman"/>
          <w:szCs w:val="24"/>
          <w:lang w:eastAsia="en-US"/>
        </w:rPr>
      </w:pPr>
      <w:r w:rsidRPr="00877329">
        <w:rPr>
          <w:rFonts w:ascii="Times New Roman" w:eastAsia="Calibri" w:hAnsi="Times New Roman" w:cs="Times New Roman"/>
          <w:szCs w:val="24"/>
          <w:lang w:eastAsia="en-US"/>
        </w:rPr>
        <w:t>De acuerdo a esta finalidad, la Orden HAP/1489/2013, de 18 de julio, por la que se aprueban las normas para la formulación de cuentas anuales consolidadas en el ámbito del sector público, aprueba estas Normas como marco contable para todas las Administraciones Públicas. Pero, en este marco, y en el ámbito que nos ocupa, el propio preámbulo de la Orden HAP/1489/2013, de 18 de julio, indica que en las entidades locales se prevé su aplicación, previa elaboración de una adaptación a las normas de consolidación por el Ministro de Hacienda y Administraciones Públicas.</w:t>
      </w:r>
    </w:p>
    <w:p w:rsidR="00877329" w:rsidRPr="00877329" w:rsidRDefault="00877329" w:rsidP="00877329">
      <w:pPr>
        <w:spacing w:before="0" w:after="0" w:line="240" w:lineRule="auto"/>
        <w:rPr>
          <w:rFonts w:ascii="Times New Roman" w:hAnsi="Times New Roman"/>
          <w:sz w:val="20"/>
          <w:szCs w:val="24"/>
          <w:lang w:val="es-ES"/>
        </w:rPr>
      </w:pPr>
    </w:p>
    <w:p w:rsidR="00877329" w:rsidRPr="00877329" w:rsidRDefault="00877329" w:rsidP="00877329">
      <w:pPr>
        <w:spacing w:before="0" w:after="0" w:line="240" w:lineRule="auto"/>
        <w:rPr>
          <w:rFonts w:ascii="Times New Roman" w:hAnsi="Times New Roman"/>
          <w:sz w:val="20"/>
          <w:szCs w:val="24"/>
          <w:lang w:val="es-ES"/>
        </w:rPr>
      </w:pPr>
      <w:r w:rsidRPr="00877329">
        <w:rPr>
          <w:rFonts w:ascii="Times New Roman" w:hAnsi="Times New Roman"/>
          <w:sz w:val="20"/>
          <w:szCs w:val="24"/>
          <w:lang w:val="es-ES"/>
        </w:rPr>
        <w:t>Obviamente, de la mano de este marco regulador, entendemos que el mandato de consolidación de la Cuenta General de los Entes locales obligará a la rendición, a través del contenido y alcance de la información incluida las notas 26 y 27 de la Memoria individual, de los datos consolidados del conglomerado local sobre el coste de las actividades e indicadores de gestión.</w:t>
      </w:r>
    </w:p>
    <w:p w:rsidR="00877329" w:rsidRPr="00877329" w:rsidRDefault="00877329" w:rsidP="00877329">
      <w:pPr>
        <w:spacing w:before="0" w:after="0" w:line="240" w:lineRule="auto"/>
        <w:rPr>
          <w:rFonts w:ascii="Times New Roman" w:hAnsi="Times New Roman"/>
          <w:sz w:val="20"/>
          <w:szCs w:val="24"/>
          <w:lang w:val="es-ES"/>
        </w:rPr>
      </w:pPr>
    </w:p>
    <w:p w:rsidR="00877329" w:rsidRPr="00877329" w:rsidRDefault="00877329" w:rsidP="00877329">
      <w:pPr>
        <w:pStyle w:val="Default"/>
        <w:jc w:val="both"/>
        <w:rPr>
          <w:rFonts w:ascii="Times New Roman" w:eastAsia="Calibri" w:hAnsi="Times New Roman" w:cs="Times New Roman"/>
          <w:szCs w:val="24"/>
          <w:lang w:eastAsia="en-US"/>
        </w:rPr>
      </w:pPr>
      <w:r w:rsidRPr="00877329">
        <w:rPr>
          <w:rFonts w:ascii="Times New Roman" w:eastAsia="Calibri" w:hAnsi="Times New Roman" w:cs="Times New Roman"/>
          <w:szCs w:val="24"/>
          <w:lang w:eastAsia="en-US"/>
        </w:rPr>
        <w:t xml:space="preserve">Efectivamente, la normativa general de consolidación, centrada en los aspectos propios de la problemática financiero-patrimonial, no incluye expresamente en su modelo de memoria consolidada información sobre </w:t>
      </w:r>
      <w:r w:rsidR="006D1350">
        <w:rPr>
          <w:rFonts w:ascii="Times New Roman" w:eastAsia="Calibri" w:hAnsi="Times New Roman" w:cs="Times New Roman"/>
          <w:szCs w:val="24"/>
          <w:lang w:eastAsia="en-US"/>
        </w:rPr>
        <w:t xml:space="preserve">el </w:t>
      </w:r>
      <w:r w:rsidRPr="00877329">
        <w:rPr>
          <w:rFonts w:ascii="Times New Roman" w:eastAsia="Calibri" w:hAnsi="Times New Roman" w:cs="Times New Roman"/>
          <w:szCs w:val="24"/>
          <w:lang w:eastAsia="en-US"/>
        </w:rPr>
        <w:t xml:space="preserve">coste de las actividades </w:t>
      </w:r>
      <w:r w:rsidR="006D1350">
        <w:rPr>
          <w:rFonts w:ascii="Times New Roman" w:eastAsia="Calibri" w:hAnsi="Times New Roman" w:cs="Times New Roman"/>
          <w:szCs w:val="24"/>
          <w:lang w:eastAsia="en-US"/>
        </w:rPr>
        <w:t>y los</w:t>
      </w:r>
      <w:r w:rsidRPr="00877329">
        <w:rPr>
          <w:rFonts w:ascii="Times New Roman" w:eastAsia="Calibri" w:hAnsi="Times New Roman" w:cs="Times New Roman"/>
          <w:szCs w:val="24"/>
          <w:lang w:eastAsia="en-US"/>
        </w:rPr>
        <w:t xml:space="preserve"> indicadores de gestión, en la medida en que indica que la memoria consolidada no debe incluir la información ya incluida en las memorias individuales.</w:t>
      </w:r>
    </w:p>
    <w:p w:rsidR="00877329" w:rsidRPr="00877329" w:rsidRDefault="00877329" w:rsidP="00877329">
      <w:pPr>
        <w:pStyle w:val="Default"/>
        <w:jc w:val="both"/>
        <w:rPr>
          <w:rFonts w:ascii="Times New Roman" w:eastAsia="Calibri" w:hAnsi="Times New Roman" w:cs="Times New Roman"/>
          <w:szCs w:val="24"/>
          <w:lang w:eastAsia="en-US"/>
        </w:rPr>
      </w:pPr>
    </w:p>
    <w:p w:rsidR="00877329" w:rsidRPr="00877329" w:rsidRDefault="00877329" w:rsidP="00877329">
      <w:pPr>
        <w:pStyle w:val="Default"/>
        <w:jc w:val="both"/>
        <w:rPr>
          <w:rFonts w:ascii="Times New Roman" w:eastAsia="Calibri" w:hAnsi="Times New Roman" w:cs="Times New Roman"/>
          <w:szCs w:val="24"/>
          <w:lang w:eastAsia="en-US"/>
        </w:rPr>
      </w:pPr>
      <w:r w:rsidRPr="00877329">
        <w:rPr>
          <w:rFonts w:ascii="Times New Roman" w:eastAsia="Calibri" w:hAnsi="Times New Roman" w:cs="Times New Roman"/>
          <w:szCs w:val="24"/>
          <w:lang w:eastAsia="en-US"/>
        </w:rPr>
        <w:t xml:space="preserve">Sin embargo, el apartado 56.2. </w:t>
      </w:r>
      <w:proofErr w:type="gramStart"/>
      <w:r w:rsidRPr="00877329">
        <w:rPr>
          <w:rFonts w:ascii="Times New Roman" w:eastAsia="Calibri" w:hAnsi="Times New Roman" w:cs="Times New Roman"/>
          <w:szCs w:val="24"/>
          <w:lang w:eastAsia="en-US"/>
        </w:rPr>
        <w:t>de</w:t>
      </w:r>
      <w:proofErr w:type="gramEnd"/>
      <w:r w:rsidRPr="00877329">
        <w:rPr>
          <w:rFonts w:ascii="Times New Roman" w:eastAsia="Calibri" w:hAnsi="Times New Roman" w:cs="Times New Roman"/>
          <w:szCs w:val="24"/>
          <w:lang w:eastAsia="en-US"/>
        </w:rPr>
        <w:t xml:space="preserve"> la Orden HAP/1489/2013, de 18 de julio, por la que se aprueban las normas para la formulación de cuentas anuales consolidadas en el ámbito del sector público, que regula las condiciones de formulación de la memoria consolidada, establece que “deberá indicarse cualquier otra información no incluida en el modelo de la memoria consolidada que sea necesaria para permitir el conocimiento de la situación y actividad del grupo en el ejercicio”.</w:t>
      </w:r>
    </w:p>
    <w:p w:rsidR="00877329" w:rsidRPr="00877329" w:rsidRDefault="00877329" w:rsidP="00877329">
      <w:pPr>
        <w:pStyle w:val="Default"/>
        <w:jc w:val="both"/>
        <w:rPr>
          <w:rFonts w:ascii="Times New Roman" w:eastAsia="Calibri" w:hAnsi="Times New Roman" w:cs="Times New Roman"/>
          <w:szCs w:val="24"/>
          <w:lang w:eastAsia="en-US"/>
        </w:rPr>
      </w:pPr>
    </w:p>
    <w:p w:rsidR="00877329" w:rsidRPr="00877329" w:rsidRDefault="00877329" w:rsidP="00877329">
      <w:pPr>
        <w:pStyle w:val="Default"/>
        <w:jc w:val="both"/>
        <w:rPr>
          <w:rFonts w:ascii="Times New Roman" w:eastAsia="Calibri" w:hAnsi="Times New Roman" w:cs="Times New Roman"/>
          <w:szCs w:val="24"/>
          <w:lang w:eastAsia="en-US"/>
        </w:rPr>
      </w:pPr>
      <w:r w:rsidRPr="00877329">
        <w:rPr>
          <w:rFonts w:ascii="Times New Roman" w:eastAsia="Calibri" w:hAnsi="Times New Roman" w:cs="Times New Roman"/>
          <w:szCs w:val="24"/>
          <w:lang w:eastAsia="en-US"/>
        </w:rPr>
        <w:t>En este sentido, entendemos por los motivos ya señalados y q</w:t>
      </w:r>
      <w:r w:rsidR="006D1350">
        <w:rPr>
          <w:rFonts w:ascii="Times New Roman" w:eastAsia="Calibri" w:hAnsi="Times New Roman" w:cs="Times New Roman"/>
          <w:szCs w:val="24"/>
          <w:lang w:eastAsia="en-US"/>
        </w:rPr>
        <w:t>ue desarrollamos en el resto del presente trabajo</w:t>
      </w:r>
      <w:r w:rsidRPr="00877329">
        <w:rPr>
          <w:rFonts w:ascii="Times New Roman" w:eastAsia="Calibri" w:hAnsi="Times New Roman" w:cs="Times New Roman"/>
          <w:szCs w:val="24"/>
          <w:lang w:eastAsia="en-US"/>
        </w:rPr>
        <w:t>:</w:t>
      </w:r>
    </w:p>
    <w:p w:rsidR="00877329" w:rsidRPr="00877329" w:rsidRDefault="00877329" w:rsidP="00877329">
      <w:pPr>
        <w:pStyle w:val="Default"/>
        <w:jc w:val="both"/>
        <w:rPr>
          <w:rFonts w:ascii="Times New Roman" w:eastAsia="Calibri" w:hAnsi="Times New Roman" w:cs="Times New Roman"/>
          <w:szCs w:val="24"/>
          <w:lang w:eastAsia="en-US"/>
        </w:rPr>
      </w:pPr>
    </w:p>
    <w:p w:rsidR="00877329" w:rsidRPr="00877329" w:rsidRDefault="00877329" w:rsidP="00877329">
      <w:pPr>
        <w:numPr>
          <w:ilvl w:val="0"/>
          <w:numId w:val="4"/>
        </w:numPr>
        <w:spacing w:before="0" w:after="0" w:line="240" w:lineRule="auto"/>
        <w:rPr>
          <w:rFonts w:ascii="Times New Roman" w:hAnsi="Times New Roman"/>
          <w:sz w:val="20"/>
          <w:szCs w:val="24"/>
          <w:lang w:val="es-ES"/>
        </w:rPr>
      </w:pPr>
      <w:r w:rsidRPr="00877329">
        <w:rPr>
          <w:rFonts w:ascii="Times New Roman" w:hAnsi="Times New Roman"/>
          <w:sz w:val="20"/>
          <w:szCs w:val="24"/>
          <w:lang w:val="es-ES"/>
        </w:rPr>
        <w:t>Que existe una sustancial diferencia entre la información sobre costes e indicadores incluida en los Estados Contables individuales y los resultantes de su cálculo en el Conglomerado local.</w:t>
      </w:r>
    </w:p>
    <w:p w:rsidR="00877329" w:rsidRPr="00877329" w:rsidRDefault="00877329" w:rsidP="00877329">
      <w:pPr>
        <w:spacing w:before="0" w:after="0" w:line="240" w:lineRule="auto"/>
        <w:ind w:left="720"/>
        <w:rPr>
          <w:rFonts w:ascii="Times New Roman" w:hAnsi="Times New Roman"/>
          <w:sz w:val="20"/>
          <w:szCs w:val="24"/>
          <w:lang w:val="es-ES"/>
        </w:rPr>
      </w:pPr>
    </w:p>
    <w:p w:rsidR="00877329" w:rsidRPr="00877329" w:rsidRDefault="00877329" w:rsidP="00877329">
      <w:pPr>
        <w:numPr>
          <w:ilvl w:val="0"/>
          <w:numId w:val="4"/>
        </w:numPr>
        <w:spacing w:before="0" w:after="0" w:line="240" w:lineRule="auto"/>
        <w:rPr>
          <w:rFonts w:ascii="Times New Roman" w:hAnsi="Times New Roman"/>
          <w:sz w:val="20"/>
          <w:szCs w:val="24"/>
          <w:lang w:val="es-ES"/>
        </w:rPr>
      </w:pPr>
      <w:r w:rsidRPr="00877329">
        <w:rPr>
          <w:rFonts w:ascii="Times New Roman" w:hAnsi="Times New Roman"/>
          <w:sz w:val="20"/>
          <w:szCs w:val="24"/>
          <w:lang w:val="es-ES"/>
        </w:rPr>
        <w:t>Que la información sobre costes es relevante para el conocimiento de la actividad del Grupo y para cumplir con los requisitos legales sobre la rendición de cuentas sobre costes, anteriormente señalados.</w:t>
      </w:r>
    </w:p>
    <w:p w:rsidR="00877329" w:rsidRPr="00877329" w:rsidRDefault="00877329" w:rsidP="00877329">
      <w:pPr>
        <w:spacing w:before="0" w:after="0" w:line="240" w:lineRule="auto"/>
        <w:rPr>
          <w:rFonts w:ascii="Times New Roman" w:hAnsi="Times New Roman"/>
          <w:sz w:val="20"/>
          <w:szCs w:val="24"/>
          <w:lang w:val="es-ES"/>
        </w:rPr>
      </w:pPr>
    </w:p>
    <w:p w:rsidR="00877329" w:rsidRPr="00877329" w:rsidRDefault="00877329" w:rsidP="00877329">
      <w:pPr>
        <w:spacing w:before="0" w:after="0" w:line="240" w:lineRule="auto"/>
        <w:rPr>
          <w:rFonts w:ascii="Times New Roman" w:hAnsi="Times New Roman"/>
          <w:sz w:val="20"/>
          <w:szCs w:val="24"/>
          <w:lang w:val="es-ES"/>
        </w:rPr>
      </w:pPr>
      <w:r w:rsidRPr="00877329">
        <w:rPr>
          <w:rFonts w:ascii="Times New Roman" w:hAnsi="Times New Roman"/>
          <w:sz w:val="20"/>
          <w:szCs w:val="24"/>
          <w:lang w:val="es-ES"/>
        </w:rPr>
        <w:t xml:space="preserve">De esta forma, la </w:t>
      </w:r>
      <w:r w:rsidR="006D1350">
        <w:rPr>
          <w:rFonts w:ascii="Times New Roman" w:hAnsi="Times New Roman"/>
          <w:sz w:val="20"/>
          <w:szCs w:val="24"/>
          <w:lang w:val="es-ES"/>
        </w:rPr>
        <w:t>rendición de cuentas en este ámbito de la Administración Pública</w:t>
      </w:r>
      <w:r w:rsidRPr="00877329">
        <w:rPr>
          <w:rFonts w:ascii="Times New Roman" w:hAnsi="Times New Roman"/>
          <w:sz w:val="20"/>
          <w:szCs w:val="24"/>
          <w:lang w:val="es-ES"/>
        </w:rPr>
        <w:t xml:space="preserve"> debe dar respuesta a la futura demanda de los Entes Locales para la formulación de su memoria consolidada facilitando el desarrollo de los necesarios procesos de consolidación de costes, ingresos y márgenes de los servicios públicos para dar respuesta a las necesidades de reporting derivados de esta obligación legal adaptada a la realidad del conglomerado local</w:t>
      </w:r>
      <w:r w:rsidR="006D1350">
        <w:rPr>
          <w:rFonts w:ascii="Times New Roman" w:hAnsi="Times New Roman"/>
          <w:sz w:val="20"/>
          <w:szCs w:val="24"/>
          <w:lang w:val="es-ES"/>
        </w:rPr>
        <w:t xml:space="preserve"> y las propias exigencias de los gestores para orientar la toma de decisiones y mejorar la eficiencia de los servicios prestados</w:t>
      </w:r>
      <w:r w:rsidRPr="00877329">
        <w:rPr>
          <w:rFonts w:ascii="Times New Roman" w:hAnsi="Times New Roman"/>
          <w:sz w:val="20"/>
          <w:szCs w:val="24"/>
          <w:lang w:val="es-ES"/>
        </w:rPr>
        <w:t>.</w:t>
      </w:r>
    </w:p>
    <w:p w:rsidR="00877329" w:rsidRPr="00877329" w:rsidRDefault="00877329" w:rsidP="00877329">
      <w:pPr>
        <w:spacing w:before="0" w:after="0" w:line="240" w:lineRule="auto"/>
        <w:rPr>
          <w:rFonts w:ascii="Times New Roman" w:hAnsi="Times New Roman"/>
          <w:sz w:val="20"/>
          <w:szCs w:val="24"/>
          <w:lang w:val="es-ES"/>
        </w:rPr>
      </w:pPr>
    </w:p>
    <w:p w:rsidR="006A086C" w:rsidRPr="00D027C2" w:rsidRDefault="006A086C" w:rsidP="006A086C">
      <w:pPr>
        <w:pStyle w:val="Ttulo1"/>
        <w:spacing w:before="0" w:line="240" w:lineRule="auto"/>
        <w:rPr>
          <w:rFonts w:ascii="Times New Roman" w:hAnsi="Times New Roman" w:cs="Times New Roman"/>
          <w:caps/>
          <w:color w:val="auto"/>
          <w:sz w:val="20"/>
          <w:szCs w:val="22"/>
          <w:lang w:val="es-ES"/>
        </w:rPr>
      </w:pPr>
      <w:bookmarkStart w:id="4" w:name="_Toc440191543"/>
      <w:r w:rsidRPr="00D027C2">
        <w:rPr>
          <w:rFonts w:ascii="Times New Roman" w:hAnsi="Times New Roman" w:cs="Times New Roman"/>
          <w:color w:val="auto"/>
          <w:sz w:val="20"/>
          <w:szCs w:val="22"/>
          <w:lang w:val="es-ES"/>
        </w:rPr>
        <w:t xml:space="preserve">2. </w:t>
      </w:r>
      <w:bookmarkEnd w:id="4"/>
      <w:r w:rsidR="00877329">
        <w:rPr>
          <w:rFonts w:ascii="Times New Roman" w:hAnsi="Times New Roman" w:cs="Times New Roman"/>
          <w:caps/>
          <w:color w:val="auto"/>
          <w:sz w:val="20"/>
          <w:szCs w:val="22"/>
          <w:lang w:val="es-ES"/>
        </w:rPr>
        <w:t>IDENTIFICACIÓN DE LOS REQUERIMIENTOS DEL MODELO LEGAL DE CONTABILIDAD ANALÍTICA RESPECTO A LA CONSOLIDACIÓN DEL CONGLOMERADO LOCAL Y LAS EXIGENCIAS INFORMATIVAS QUE DE ÉL SE DERIVAN</w:t>
      </w:r>
    </w:p>
    <w:p w:rsidR="006A086C" w:rsidRPr="00D027C2" w:rsidRDefault="006A086C" w:rsidP="006A086C">
      <w:pPr>
        <w:spacing w:before="0" w:after="0" w:line="240" w:lineRule="auto"/>
        <w:rPr>
          <w:rFonts w:ascii="Times New Roman" w:hAnsi="Times New Roman"/>
          <w:sz w:val="20"/>
          <w:szCs w:val="20"/>
          <w:lang w:val="es-ES"/>
        </w:rPr>
      </w:pPr>
    </w:p>
    <w:p w:rsidR="00877329" w:rsidRPr="00877329" w:rsidRDefault="00877329" w:rsidP="00877329">
      <w:pPr>
        <w:spacing w:before="0" w:after="0" w:line="240" w:lineRule="auto"/>
        <w:rPr>
          <w:rFonts w:ascii="Times New Roman" w:hAnsi="Times New Roman"/>
          <w:sz w:val="20"/>
          <w:szCs w:val="24"/>
          <w:lang w:val="es-ES"/>
        </w:rPr>
      </w:pPr>
      <w:r w:rsidRPr="00877329">
        <w:rPr>
          <w:rFonts w:ascii="Times New Roman" w:hAnsi="Times New Roman"/>
          <w:sz w:val="20"/>
          <w:szCs w:val="24"/>
          <w:lang w:val="es-ES"/>
        </w:rPr>
        <w:t>Tal y como se ha indicado</w:t>
      </w:r>
      <w:r>
        <w:rPr>
          <w:rFonts w:ascii="Times New Roman" w:hAnsi="Times New Roman"/>
          <w:sz w:val="20"/>
          <w:szCs w:val="24"/>
          <w:lang w:val="es-ES"/>
        </w:rPr>
        <w:t>,</w:t>
      </w:r>
      <w:r w:rsidRPr="00877329">
        <w:rPr>
          <w:rFonts w:ascii="Times New Roman" w:hAnsi="Times New Roman"/>
          <w:sz w:val="20"/>
          <w:szCs w:val="24"/>
          <w:lang w:val="es-ES"/>
        </w:rPr>
        <w:t xml:space="preserve"> el actual marco regulador y su futuro desarrollo a los Entes Locales introduce un mandato relativo a la consolidación de sus estados contables que deviene en la necesidad de formular una Cuenta General consolidada para el Conglomerado Local. </w:t>
      </w:r>
    </w:p>
    <w:p w:rsidR="00877329" w:rsidRPr="00877329" w:rsidRDefault="00877329" w:rsidP="00877329">
      <w:pPr>
        <w:spacing w:before="0" w:after="0" w:line="240" w:lineRule="auto"/>
        <w:rPr>
          <w:rFonts w:ascii="Times New Roman" w:hAnsi="Times New Roman"/>
          <w:sz w:val="20"/>
          <w:szCs w:val="24"/>
          <w:lang w:val="es-ES"/>
        </w:rPr>
      </w:pPr>
    </w:p>
    <w:p w:rsidR="00877329" w:rsidRPr="00877329" w:rsidRDefault="00877329" w:rsidP="00877329">
      <w:pPr>
        <w:spacing w:before="0" w:after="0" w:line="240" w:lineRule="auto"/>
        <w:rPr>
          <w:rFonts w:ascii="Times New Roman" w:hAnsi="Times New Roman"/>
          <w:sz w:val="20"/>
          <w:szCs w:val="24"/>
          <w:lang w:val="es-ES"/>
        </w:rPr>
      </w:pPr>
      <w:r w:rsidRPr="00877329">
        <w:rPr>
          <w:rFonts w:ascii="Times New Roman" w:hAnsi="Times New Roman"/>
          <w:sz w:val="20"/>
          <w:szCs w:val="24"/>
          <w:lang w:val="es-ES"/>
        </w:rPr>
        <w:lastRenderedPageBreak/>
        <w:t>Esta realidad obligará a los Entes locales a la rendición, a través de los requerimientos de información introducidos por las notas 26 y 27 de las Memorias individuales, que consideramos deben incluirse en la Memoria consolidada, de los datos relativos al coste de las actividades e indicadores de gestión del conglomerado local.</w:t>
      </w:r>
    </w:p>
    <w:p w:rsidR="00877329" w:rsidRPr="00877329" w:rsidRDefault="00877329" w:rsidP="00877329">
      <w:pPr>
        <w:spacing w:before="0" w:after="0" w:line="240" w:lineRule="auto"/>
        <w:rPr>
          <w:rFonts w:ascii="Times New Roman" w:hAnsi="Times New Roman"/>
          <w:sz w:val="20"/>
          <w:szCs w:val="24"/>
          <w:lang w:val="es-ES"/>
        </w:rPr>
      </w:pPr>
    </w:p>
    <w:p w:rsidR="00877329" w:rsidRPr="006D1350" w:rsidRDefault="006D1350" w:rsidP="00877329">
      <w:pPr>
        <w:tabs>
          <w:tab w:val="left" w:pos="709"/>
        </w:tabs>
        <w:spacing w:before="0" w:after="0" w:line="240" w:lineRule="auto"/>
        <w:rPr>
          <w:rFonts w:ascii="Times New Roman" w:hAnsi="Times New Roman"/>
          <w:sz w:val="20"/>
          <w:szCs w:val="24"/>
          <w:lang w:val="es-ES"/>
        </w:rPr>
      </w:pPr>
      <w:r w:rsidRPr="006D1350">
        <w:rPr>
          <w:rFonts w:ascii="Times New Roman" w:hAnsi="Times New Roman"/>
          <w:sz w:val="20"/>
          <w:szCs w:val="24"/>
          <w:lang w:val="es-ES"/>
        </w:rPr>
        <w:t>Así, des</w:t>
      </w:r>
      <w:r w:rsidR="00877329" w:rsidRPr="006D1350">
        <w:rPr>
          <w:rFonts w:ascii="Times New Roman" w:hAnsi="Times New Roman"/>
          <w:sz w:val="20"/>
          <w:szCs w:val="24"/>
          <w:lang w:val="es-ES"/>
        </w:rPr>
        <w:t>de el punto de vista</w:t>
      </w:r>
      <w:r w:rsidRPr="006D1350">
        <w:rPr>
          <w:rFonts w:ascii="Times New Roman" w:hAnsi="Times New Roman"/>
          <w:sz w:val="20"/>
          <w:szCs w:val="24"/>
          <w:lang w:val="es-ES"/>
        </w:rPr>
        <w:t xml:space="preserve">, implantación de modelos </w:t>
      </w:r>
      <w:r w:rsidR="00877329" w:rsidRPr="006D1350">
        <w:rPr>
          <w:rFonts w:ascii="Times New Roman" w:hAnsi="Times New Roman"/>
          <w:sz w:val="20"/>
          <w:szCs w:val="24"/>
          <w:lang w:val="es-ES"/>
        </w:rPr>
        <w:t xml:space="preserve">de contabilidad analítica </w:t>
      </w:r>
      <w:r w:rsidRPr="006D1350">
        <w:rPr>
          <w:rFonts w:ascii="Times New Roman" w:hAnsi="Times New Roman"/>
          <w:sz w:val="20"/>
          <w:szCs w:val="24"/>
          <w:lang w:val="es-ES"/>
        </w:rPr>
        <w:t>debe</w:t>
      </w:r>
      <w:r w:rsidR="00877329" w:rsidRPr="006D1350">
        <w:rPr>
          <w:rFonts w:ascii="Times New Roman" w:hAnsi="Times New Roman"/>
          <w:sz w:val="20"/>
          <w:szCs w:val="24"/>
          <w:lang w:val="es-ES"/>
        </w:rPr>
        <w:t xml:space="preserve"> dar respuesta a la futura demanda de los Entes Locales para la formulación de su memoria consolidada, </w:t>
      </w:r>
      <w:r w:rsidRPr="006D1350">
        <w:rPr>
          <w:rFonts w:ascii="Times New Roman" w:hAnsi="Times New Roman"/>
          <w:sz w:val="20"/>
          <w:szCs w:val="24"/>
          <w:lang w:val="es-ES"/>
        </w:rPr>
        <w:t xml:space="preserve">y, por tanto, </w:t>
      </w:r>
      <w:r w:rsidR="00877329" w:rsidRPr="006D1350">
        <w:rPr>
          <w:rFonts w:ascii="Times New Roman" w:hAnsi="Times New Roman"/>
          <w:sz w:val="20"/>
          <w:szCs w:val="24"/>
          <w:lang w:val="es-ES"/>
        </w:rPr>
        <w:t xml:space="preserve">es preciso desarrollar </w:t>
      </w:r>
      <w:r w:rsidRPr="006D1350">
        <w:rPr>
          <w:rFonts w:ascii="Times New Roman" w:hAnsi="Times New Roman"/>
          <w:sz w:val="20"/>
          <w:szCs w:val="24"/>
          <w:lang w:val="es-ES"/>
        </w:rPr>
        <w:t>los mecanismos y procedimientos necesarios para</w:t>
      </w:r>
      <w:r w:rsidR="00877329" w:rsidRPr="006D1350">
        <w:rPr>
          <w:rFonts w:ascii="Times New Roman" w:hAnsi="Times New Roman"/>
          <w:sz w:val="20"/>
          <w:szCs w:val="24"/>
          <w:lang w:val="es-ES"/>
        </w:rPr>
        <w:t xml:space="preserve"> facilit</w:t>
      </w:r>
      <w:r w:rsidRPr="006D1350">
        <w:rPr>
          <w:rFonts w:ascii="Times New Roman" w:hAnsi="Times New Roman"/>
          <w:sz w:val="20"/>
          <w:szCs w:val="24"/>
          <w:lang w:val="es-ES"/>
        </w:rPr>
        <w:t>ar</w:t>
      </w:r>
      <w:r w:rsidR="00877329" w:rsidRPr="006D1350">
        <w:rPr>
          <w:rFonts w:ascii="Times New Roman" w:hAnsi="Times New Roman"/>
          <w:sz w:val="20"/>
          <w:szCs w:val="24"/>
          <w:lang w:val="es-ES"/>
        </w:rPr>
        <w:t xml:space="preserve"> el desarrollo de los procesos de consolidación de costes, ingresos y márgenes de los servicios públicos de acuerdo a las necesidades de reporting derivados de esta obligación legal adaptada a la realidad del conglomerado local.</w:t>
      </w:r>
    </w:p>
    <w:p w:rsidR="00877329" w:rsidRPr="00877329" w:rsidRDefault="00877329" w:rsidP="00877329">
      <w:pPr>
        <w:tabs>
          <w:tab w:val="left" w:pos="709"/>
        </w:tabs>
        <w:spacing w:before="0" w:after="0" w:line="240" w:lineRule="auto"/>
        <w:rPr>
          <w:rFonts w:ascii="Times New Roman" w:hAnsi="Times New Roman"/>
          <w:sz w:val="20"/>
          <w:szCs w:val="24"/>
          <w:lang w:val="es-ES"/>
        </w:rPr>
      </w:pPr>
    </w:p>
    <w:p w:rsidR="00877329" w:rsidRPr="00877329" w:rsidRDefault="00877329" w:rsidP="00877329">
      <w:pPr>
        <w:tabs>
          <w:tab w:val="left" w:pos="709"/>
        </w:tabs>
        <w:spacing w:before="0" w:after="0" w:line="240" w:lineRule="auto"/>
        <w:rPr>
          <w:rFonts w:ascii="Times New Roman" w:hAnsi="Times New Roman"/>
          <w:sz w:val="20"/>
          <w:szCs w:val="24"/>
          <w:lang w:val="es-ES"/>
        </w:rPr>
      </w:pPr>
      <w:r w:rsidRPr="00877329">
        <w:rPr>
          <w:rFonts w:ascii="Times New Roman" w:hAnsi="Times New Roman"/>
          <w:sz w:val="20"/>
          <w:szCs w:val="24"/>
          <w:lang w:val="es-ES"/>
        </w:rPr>
        <w:t>En este sentido, resulta necesario punto de partida la identificación de tales obligaciones de reporting que, salvo precisiones o desarrollos específicos puntuales que pudieran, en su caso, ser introducidas por la normativa de consolidación local, entendemos quedan circunscritas a la metodología desarrollada por la Resolución de 28 de julio de 2011, que por su carácter general y de orientación técnica respecto al cálculo de costes, ingresos y márgenes de los servicios públicos, entendemos perfectamente válida con independencia de que se formulen cuentas individuales o consolidadas.</w:t>
      </w:r>
    </w:p>
    <w:p w:rsidR="00877329" w:rsidRPr="00877329" w:rsidRDefault="00877329" w:rsidP="00877329">
      <w:pPr>
        <w:tabs>
          <w:tab w:val="left" w:pos="709"/>
        </w:tabs>
        <w:spacing w:before="0" w:after="0" w:line="240" w:lineRule="auto"/>
        <w:rPr>
          <w:rFonts w:ascii="Times New Roman" w:hAnsi="Times New Roman"/>
          <w:sz w:val="20"/>
          <w:szCs w:val="24"/>
          <w:lang w:val="es-ES"/>
        </w:rPr>
      </w:pPr>
    </w:p>
    <w:p w:rsidR="00877329" w:rsidRPr="00877329" w:rsidRDefault="00877329" w:rsidP="00877329">
      <w:pPr>
        <w:tabs>
          <w:tab w:val="left" w:pos="709"/>
        </w:tabs>
        <w:spacing w:before="0" w:after="0" w:line="240" w:lineRule="auto"/>
        <w:rPr>
          <w:rFonts w:ascii="Times New Roman" w:hAnsi="Times New Roman"/>
          <w:sz w:val="20"/>
          <w:szCs w:val="24"/>
          <w:lang w:val="es-ES"/>
        </w:rPr>
      </w:pPr>
      <w:r w:rsidRPr="00877329">
        <w:rPr>
          <w:rFonts w:ascii="Times New Roman" w:hAnsi="Times New Roman"/>
          <w:sz w:val="20"/>
          <w:szCs w:val="24"/>
          <w:lang w:val="es-ES"/>
        </w:rPr>
        <w:t xml:space="preserve">Efectivamente, la realidad del proceso productivo, cuya modelización preside los desarrollos de la Resolución de 28 de julio de 2011, </w:t>
      </w:r>
      <w:r w:rsidR="0043686B">
        <w:rPr>
          <w:rFonts w:ascii="Times New Roman" w:hAnsi="Times New Roman"/>
          <w:sz w:val="20"/>
          <w:szCs w:val="24"/>
          <w:lang w:val="es-ES"/>
        </w:rPr>
        <w:t xml:space="preserve">debe </w:t>
      </w:r>
      <w:r w:rsidRPr="00877329">
        <w:rPr>
          <w:rFonts w:ascii="Times New Roman" w:hAnsi="Times New Roman"/>
          <w:sz w:val="20"/>
          <w:szCs w:val="24"/>
          <w:lang w:val="es-ES"/>
        </w:rPr>
        <w:t>orienta</w:t>
      </w:r>
      <w:r w:rsidR="0043686B">
        <w:rPr>
          <w:rFonts w:ascii="Times New Roman" w:hAnsi="Times New Roman"/>
          <w:sz w:val="20"/>
          <w:szCs w:val="24"/>
          <w:lang w:val="es-ES"/>
        </w:rPr>
        <w:t>r</w:t>
      </w:r>
      <w:r w:rsidRPr="00877329">
        <w:rPr>
          <w:rFonts w:ascii="Times New Roman" w:hAnsi="Times New Roman"/>
          <w:sz w:val="20"/>
          <w:szCs w:val="24"/>
          <w:lang w:val="es-ES"/>
        </w:rPr>
        <w:t xml:space="preserve"> </w:t>
      </w:r>
      <w:r w:rsidR="0043686B">
        <w:rPr>
          <w:rFonts w:ascii="Times New Roman" w:hAnsi="Times New Roman"/>
          <w:sz w:val="20"/>
          <w:szCs w:val="24"/>
          <w:lang w:val="es-ES"/>
        </w:rPr>
        <w:t>e</w:t>
      </w:r>
      <w:r w:rsidRPr="00877329">
        <w:rPr>
          <w:rFonts w:ascii="Times New Roman" w:hAnsi="Times New Roman"/>
          <w:sz w:val="20"/>
          <w:szCs w:val="24"/>
          <w:lang w:val="es-ES"/>
        </w:rPr>
        <w:t xml:space="preserve">l cálculo del coste asociado a la prestación de un servicio </w:t>
      </w:r>
      <w:r w:rsidR="0043686B">
        <w:rPr>
          <w:rFonts w:ascii="Times New Roman" w:hAnsi="Times New Roman"/>
          <w:sz w:val="20"/>
          <w:szCs w:val="24"/>
          <w:lang w:val="es-ES"/>
        </w:rPr>
        <w:t>que</w:t>
      </w:r>
      <w:r w:rsidRPr="00877329">
        <w:rPr>
          <w:rFonts w:ascii="Times New Roman" w:hAnsi="Times New Roman"/>
          <w:sz w:val="20"/>
          <w:szCs w:val="24"/>
          <w:lang w:val="es-ES"/>
        </w:rPr>
        <w:t xml:space="preserve"> puede determinarse de manera veraz sólo cuando se considera en su totalidad el conglomerado local y no cada uno de los Entes que lo integran, existiendo múltiples razones para que dicha metodología resulte aplicable pare el consolidado siéndolo para cada Ente individual (comparabilidad, homogeneidad, lógica conceptual, …).</w:t>
      </w:r>
    </w:p>
    <w:p w:rsidR="00877329" w:rsidRPr="00877329" w:rsidRDefault="00877329" w:rsidP="00877329">
      <w:pPr>
        <w:tabs>
          <w:tab w:val="left" w:pos="709"/>
        </w:tabs>
        <w:spacing w:before="0" w:after="0" w:line="240" w:lineRule="auto"/>
        <w:rPr>
          <w:rFonts w:ascii="Times New Roman" w:hAnsi="Times New Roman"/>
          <w:sz w:val="20"/>
          <w:szCs w:val="24"/>
          <w:lang w:val="es-ES"/>
        </w:rPr>
      </w:pPr>
    </w:p>
    <w:p w:rsidR="00877329" w:rsidRPr="00877329" w:rsidRDefault="00877329" w:rsidP="00877329">
      <w:pPr>
        <w:tabs>
          <w:tab w:val="left" w:pos="709"/>
        </w:tabs>
        <w:spacing w:before="0" w:after="0" w:line="240" w:lineRule="auto"/>
        <w:rPr>
          <w:rFonts w:ascii="Times New Roman" w:hAnsi="Times New Roman"/>
          <w:sz w:val="20"/>
          <w:szCs w:val="24"/>
          <w:lang w:val="es-ES"/>
        </w:rPr>
      </w:pPr>
      <w:r w:rsidRPr="00877329">
        <w:rPr>
          <w:rFonts w:ascii="Times New Roman" w:hAnsi="Times New Roman"/>
          <w:sz w:val="20"/>
          <w:szCs w:val="24"/>
          <w:lang w:val="es-ES"/>
        </w:rPr>
        <w:t>En definitiva, no parece probable pensar en que la normativa sobre consolidación introduzca desarrollos específicos en el ámbito de los costes</w:t>
      </w:r>
      <w:r w:rsidRPr="0043686B">
        <w:rPr>
          <w:rFonts w:ascii="Times New Roman" w:hAnsi="Times New Roman"/>
          <w:sz w:val="20"/>
          <w:szCs w:val="20"/>
          <w:vertAlign w:val="superscript"/>
          <w:lang w:val="es-ES"/>
        </w:rPr>
        <w:footnoteReference w:id="1"/>
      </w:r>
      <w:r w:rsidRPr="00877329">
        <w:rPr>
          <w:rFonts w:ascii="Times New Roman" w:hAnsi="Times New Roman"/>
          <w:sz w:val="20"/>
          <w:szCs w:val="24"/>
          <w:lang w:val="es-ES"/>
        </w:rPr>
        <w:t>, porque ni lo hace la normativa general del sector público, Orden HAP/1489/2013, de 18 de julio, por la que se aprueban las normas para la formulación de cuentas anuales consolidadas en el ámbito del sector público, ni normativas específicas como el Documento “Modelo de Contabilidad Analítica para Universidades. Particularización del Modelo C.A.N.O.A, del Ministerio de Educación, Cultura y Deporte, de 2011”, que desarrollan el modelo de la Resolución de 28 de julio de 2011</w:t>
      </w:r>
      <w:r w:rsidR="0043686B">
        <w:rPr>
          <w:rFonts w:ascii="Times New Roman" w:hAnsi="Times New Roman"/>
          <w:sz w:val="20"/>
          <w:szCs w:val="24"/>
          <w:lang w:val="es-ES"/>
        </w:rPr>
        <w:t>,</w:t>
      </w:r>
      <w:r w:rsidRPr="00877329">
        <w:rPr>
          <w:rFonts w:ascii="Times New Roman" w:hAnsi="Times New Roman"/>
          <w:sz w:val="20"/>
          <w:szCs w:val="24"/>
          <w:lang w:val="es-ES"/>
        </w:rPr>
        <w:t xml:space="preserve"> estableciendo la obligación de consolidar los costes del consolidado sin proponer normas de desarrollo complementarias.</w:t>
      </w:r>
    </w:p>
    <w:p w:rsidR="00877329" w:rsidRPr="00877329" w:rsidRDefault="00877329" w:rsidP="00877329">
      <w:pPr>
        <w:tabs>
          <w:tab w:val="left" w:pos="709"/>
        </w:tabs>
        <w:spacing w:before="0" w:after="0" w:line="240" w:lineRule="auto"/>
        <w:rPr>
          <w:rFonts w:ascii="Times New Roman" w:hAnsi="Times New Roman"/>
          <w:sz w:val="20"/>
          <w:szCs w:val="24"/>
          <w:lang w:val="es-ES"/>
        </w:rPr>
      </w:pPr>
      <w:r w:rsidRPr="00877329">
        <w:rPr>
          <w:rFonts w:ascii="Times New Roman" w:hAnsi="Times New Roman"/>
          <w:sz w:val="20"/>
          <w:szCs w:val="24"/>
          <w:lang w:val="es-ES"/>
        </w:rPr>
        <w:tab/>
      </w:r>
    </w:p>
    <w:p w:rsidR="00877329" w:rsidRDefault="00877329" w:rsidP="00877329">
      <w:pPr>
        <w:spacing w:before="0" w:after="0" w:line="240" w:lineRule="auto"/>
        <w:rPr>
          <w:rFonts w:ascii="Times New Roman" w:hAnsi="Times New Roman"/>
          <w:sz w:val="20"/>
          <w:szCs w:val="24"/>
          <w:lang w:val="es-ES"/>
        </w:rPr>
      </w:pPr>
      <w:r w:rsidRPr="00877329">
        <w:rPr>
          <w:rFonts w:ascii="Times New Roman" w:hAnsi="Times New Roman"/>
          <w:sz w:val="20"/>
          <w:szCs w:val="24"/>
          <w:lang w:val="es-ES"/>
        </w:rPr>
        <w:t>En cualquier caso, a la luz de la normativa actualmente vigente</w:t>
      </w:r>
      <w:r w:rsidR="0043686B">
        <w:rPr>
          <w:rFonts w:ascii="Times New Roman" w:hAnsi="Times New Roman"/>
          <w:sz w:val="20"/>
          <w:szCs w:val="24"/>
          <w:lang w:val="es-ES"/>
        </w:rPr>
        <w:t>,</w:t>
      </w:r>
      <w:r w:rsidRPr="00877329">
        <w:rPr>
          <w:rFonts w:ascii="Times New Roman" w:hAnsi="Times New Roman"/>
          <w:sz w:val="20"/>
          <w:szCs w:val="24"/>
          <w:lang w:val="es-ES"/>
        </w:rPr>
        <w:t xml:space="preserve"> analizamos en el siguiente apartado los requerimientos de reporting exigidos al Conglomerado Local en el ámbito de su contabilidad analítica y en los posteriores, las cuestiones a considerar para la formulación de un desarrollo evolutivo que dé respuesta a tales exigencias</w:t>
      </w:r>
      <w:r>
        <w:rPr>
          <w:rFonts w:ascii="Times New Roman" w:hAnsi="Times New Roman"/>
          <w:sz w:val="20"/>
          <w:szCs w:val="24"/>
          <w:lang w:val="es-ES"/>
        </w:rPr>
        <w:t>.</w:t>
      </w:r>
    </w:p>
    <w:p w:rsidR="00877329" w:rsidRDefault="00877329" w:rsidP="00877329">
      <w:pPr>
        <w:spacing w:before="0" w:after="0" w:line="240" w:lineRule="auto"/>
        <w:rPr>
          <w:rFonts w:ascii="Times New Roman" w:hAnsi="Times New Roman"/>
          <w:sz w:val="20"/>
          <w:szCs w:val="24"/>
          <w:lang w:val="es-ES"/>
        </w:rPr>
      </w:pPr>
    </w:p>
    <w:p w:rsidR="00877329" w:rsidRPr="00877329" w:rsidRDefault="00877329" w:rsidP="00877329">
      <w:pPr>
        <w:spacing w:before="0" w:after="0" w:line="240" w:lineRule="auto"/>
        <w:rPr>
          <w:rFonts w:ascii="Times New Roman" w:hAnsi="Times New Roman"/>
          <w:b/>
          <w:sz w:val="20"/>
          <w:szCs w:val="24"/>
          <w:lang w:val="es-ES"/>
        </w:rPr>
      </w:pPr>
      <w:r w:rsidRPr="00877329">
        <w:rPr>
          <w:rFonts w:ascii="Times New Roman" w:hAnsi="Times New Roman"/>
          <w:b/>
          <w:sz w:val="20"/>
          <w:szCs w:val="24"/>
          <w:lang w:val="es-ES"/>
        </w:rPr>
        <w:t>2.1. ESTRUCTURAS DEL MODELO DE CONTABILIDAD ANALÍTICA</w:t>
      </w:r>
    </w:p>
    <w:p w:rsidR="00877329" w:rsidRDefault="00877329" w:rsidP="00877329">
      <w:pPr>
        <w:spacing w:before="0" w:after="0" w:line="240" w:lineRule="auto"/>
        <w:rPr>
          <w:rFonts w:ascii="Times New Roman" w:hAnsi="Times New Roman"/>
          <w:sz w:val="20"/>
          <w:szCs w:val="24"/>
          <w:lang w:val="es-ES"/>
        </w:rPr>
      </w:pPr>
    </w:p>
    <w:p w:rsidR="00877329" w:rsidRPr="00877329" w:rsidRDefault="00877329" w:rsidP="00877329">
      <w:pPr>
        <w:tabs>
          <w:tab w:val="left" w:pos="2461"/>
        </w:tabs>
        <w:spacing w:before="0" w:after="0" w:line="240" w:lineRule="auto"/>
        <w:rPr>
          <w:rFonts w:ascii="Times New Roman" w:hAnsi="Times New Roman"/>
          <w:sz w:val="20"/>
          <w:szCs w:val="24"/>
          <w:lang w:val="es-ES"/>
        </w:rPr>
      </w:pPr>
      <w:r w:rsidRPr="00877329">
        <w:rPr>
          <w:rFonts w:ascii="Times New Roman" w:hAnsi="Times New Roman"/>
          <w:sz w:val="20"/>
          <w:szCs w:val="24"/>
          <w:lang w:val="es-ES"/>
        </w:rPr>
        <w:t>De acuerdo al apartado cuarto de la Resolución de 28 de julio de 2011, para la cumplimentación de los estados de costes incluidos en la Memoria, cada ente deberá determinar la relación de estructuras que componen el objeto de cálculo de costes en cada ejercicio, debiendo observar la regla de que, al menos, cada tipo de ingreso derivado de una tasa o de un precio público determinará una actividad con él relacionada, planteamiento perfectamente válido cuando, a nivel global, hacemos referencia al conglomerado local.</w:t>
      </w:r>
    </w:p>
    <w:p w:rsidR="00877329" w:rsidRPr="00877329" w:rsidRDefault="00877329" w:rsidP="00877329">
      <w:pPr>
        <w:tabs>
          <w:tab w:val="left" w:pos="2461"/>
        </w:tabs>
        <w:spacing w:before="0" w:after="0" w:line="240" w:lineRule="auto"/>
        <w:rPr>
          <w:rFonts w:ascii="Times New Roman" w:hAnsi="Times New Roman"/>
          <w:sz w:val="20"/>
          <w:szCs w:val="24"/>
          <w:lang w:val="es-ES"/>
        </w:rPr>
      </w:pPr>
    </w:p>
    <w:p w:rsidR="00877329" w:rsidRPr="00877329" w:rsidRDefault="00877329" w:rsidP="00877329">
      <w:pPr>
        <w:tabs>
          <w:tab w:val="left" w:pos="2461"/>
        </w:tabs>
        <w:spacing w:before="0" w:after="0" w:line="240" w:lineRule="auto"/>
        <w:rPr>
          <w:rFonts w:ascii="Times New Roman" w:hAnsi="Times New Roman"/>
          <w:sz w:val="20"/>
          <w:szCs w:val="24"/>
          <w:lang w:val="es-ES"/>
        </w:rPr>
      </w:pPr>
      <w:r w:rsidRPr="00877329">
        <w:rPr>
          <w:rFonts w:ascii="Times New Roman" w:hAnsi="Times New Roman"/>
          <w:sz w:val="20"/>
          <w:szCs w:val="24"/>
          <w:lang w:val="es-ES"/>
        </w:rPr>
        <w:t xml:space="preserve">Tales estructuras, de acuerdo a lo previsto en los apartados quinto a noveno de la mencionada Resolución, son las siguientes, de acuerdo a las definiciones recogidas en el apartado segundo del capítulo I de la Resolución de 28 de julio de 2011: </w:t>
      </w:r>
    </w:p>
    <w:p w:rsidR="00877329" w:rsidRPr="00877329" w:rsidRDefault="00877329" w:rsidP="00877329">
      <w:pPr>
        <w:tabs>
          <w:tab w:val="left" w:pos="2461"/>
        </w:tabs>
        <w:spacing w:before="0" w:after="0" w:line="240" w:lineRule="auto"/>
        <w:rPr>
          <w:rFonts w:ascii="Times New Roman" w:hAnsi="Times New Roman"/>
          <w:sz w:val="20"/>
          <w:szCs w:val="24"/>
          <w:lang w:val="es-ES"/>
        </w:rPr>
      </w:pPr>
    </w:p>
    <w:p w:rsidR="00877329" w:rsidRPr="00877329" w:rsidRDefault="00877329" w:rsidP="00877329">
      <w:pPr>
        <w:pStyle w:val="Vietanivel1"/>
        <w:jc w:val="left"/>
        <w:rPr>
          <w:rFonts w:ascii="Times New Roman" w:eastAsia="Calibri" w:hAnsi="Times New Roman"/>
          <w:sz w:val="20"/>
          <w:lang w:eastAsia="en-US"/>
        </w:rPr>
      </w:pPr>
      <w:r w:rsidRPr="00877329">
        <w:rPr>
          <w:rFonts w:ascii="Times New Roman" w:eastAsia="Calibri" w:hAnsi="Times New Roman"/>
          <w:sz w:val="20"/>
          <w:lang w:eastAsia="en-US"/>
        </w:rPr>
        <w:t>Elementos de coste (apartado quinto)</w:t>
      </w:r>
    </w:p>
    <w:p w:rsidR="00877329" w:rsidRPr="00877329" w:rsidRDefault="00877329" w:rsidP="00877329">
      <w:pPr>
        <w:pStyle w:val="Vietanivel1"/>
        <w:numPr>
          <w:ilvl w:val="0"/>
          <w:numId w:val="0"/>
        </w:numPr>
        <w:ind w:left="527"/>
        <w:rPr>
          <w:rFonts w:ascii="Times New Roman" w:eastAsia="Calibri" w:hAnsi="Times New Roman"/>
          <w:sz w:val="20"/>
          <w:lang w:eastAsia="en-US"/>
        </w:rPr>
      </w:pPr>
      <w:r w:rsidRPr="00877329">
        <w:rPr>
          <w:rFonts w:ascii="Times New Roman" w:eastAsia="Calibri" w:hAnsi="Times New Roman"/>
          <w:sz w:val="20"/>
          <w:lang w:eastAsia="en-US"/>
        </w:rPr>
        <w:t>Las distintas categorías significativas en que los consumos de factores del Conglomerado local se clasifican y agrupan.</w:t>
      </w:r>
    </w:p>
    <w:p w:rsidR="00877329" w:rsidRPr="00877329" w:rsidRDefault="00877329" w:rsidP="00877329">
      <w:pPr>
        <w:pStyle w:val="Vietanivel1"/>
        <w:numPr>
          <w:ilvl w:val="0"/>
          <w:numId w:val="0"/>
        </w:numPr>
        <w:ind w:left="527"/>
        <w:rPr>
          <w:rFonts w:ascii="Times New Roman" w:eastAsia="Calibri" w:hAnsi="Times New Roman"/>
          <w:sz w:val="20"/>
          <w:lang w:eastAsia="en-US"/>
        </w:rPr>
      </w:pPr>
    </w:p>
    <w:p w:rsidR="00877329" w:rsidRPr="00877329" w:rsidRDefault="00877329" w:rsidP="00877329">
      <w:pPr>
        <w:pStyle w:val="Vietanivel1"/>
        <w:jc w:val="left"/>
        <w:rPr>
          <w:rFonts w:ascii="Times New Roman" w:eastAsia="Calibri" w:hAnsi="Times New Roman"/>
          <w:sz w:val="20"/>
          <w:lang w:eastAsia="en-US"/>
        </w:rPr>
      </w:pPr>
      <w:r w:rsidRPr="00877329">
        <w:rPr>
          <w:rFonts w:ascii="Times New Roman" w:eastAsia="Calibri" w:hAnsi="Times New Roman"/>
          <w:sz w:val="20"/>
          <w:lang w:eastAsia="en-US"/>
        </w:rPr>
        <w:t>Elementos de ingreso (apartado quinto)</w:t>
      </w:r>
    </w:p>
    <w:p w:rsidR="00877329" w:rsidRPr="00877329" w:rsidRDefault="00877329" w:rsidP="00877329">
      <w:pPr>
        <w:pStyle w:val="Vietanivel1"/>
        <w:numPr>
          <w:ilvl w:val="0"/>
          <w:numId w:val="0"/>
        </w:numPr>
        <w:ind w:left="527"/>
        <w:rPr>
          <w:rFonts w:ascii="Times New Roman" w:eastAsia="Calibri" w:hAnsi="Times New Roman"/>
          <w:sz w:val="20"/>
          <w:lang w:eastAsia="en-US"/>
        </w:rPr>
      </w:pPr>
      <w:r w:rsidRPr="00877329">
        <w:rPr>
          <w:rFonts w:ascii="Times New Roman" w:eastAsia="Calibri" w:hAnsi="Times New Roman"/>
          <w:sz w:val="20"/>
          <w:lang w:eastAsia="en-US"/>
        </w:rPr>
        <w:t>Las distintas categorías significativas en que los ingresos del Conglomerado local se clasifican y agrupan.</w:t>
      </w:r>
    </w:p>
    <w:p w:rsidR="00877329" w:rsidRPr="00877329" w:rsidRDefault="00877329" w:rsidP="00877329">
      <w:pPr>
        <w:pStyle w:val="Vietanivel1"/>
        <w:numPr>
          <w:ilvl w:val="0"/>
          <w:numId w:val="0"/>
        </w:numPr>
        <w:ind w:left="527"/>
        <w:rPr>
          <w:rFonts w:ascii="Times New Roman" w:eastAsia="Calibri" w:hAnsi="Times New Roman"/>
          <w:sz w:val="20"/>
          <w:lang w:eastAsia="en-US"/>
        </w:rPr>
      </w:pPr>
    </w:p>
    <w:p w:rsidR="00877329" w:rsidRPr="00877329" w:rsidRDefault="00877329" w:rsidP="00877329">
      <w:pPr>
        <w:pStyle w:val="Vietanivel1"/>
        <w:jc w:val="left"/>
        <w:rPr>
          <w:rFonts w:ascii="Times New Roman" w:eastAsia="Calibri" w:hAnsi="Times New Roman"/>
          <w:sz w:val="20"/>
          <w:lang w:eastAsia="en-US"/>
        </w:rPr>
      </w:pPr>
      <w:r w:rsidRPr="00877329">
        <w:rPr>
          <w:rFonts w:ascii="Times New Roman" w:eastAsia="Calibri" w:hAnsi="Times New Roman"/>
          <w:sz w:val="20"/>
          <w:lang w:eastAsia="en-US"/>
        </w:rPr>
        <w:lastRenderedPageBreak/>
        <w:t>Centros de coste (apartado séptimo)</w:t>
      </w:r>
    </w:p>
    <w:p w:rsidR="00877329" w:rsidRPr="00877329" w:rsidRDefault="00877329" w:rsidP="00877329">
      <w:pPr>
        <w:pStyle w:val="Vietanivel1"/>
        <w:numPr>
          <w:ilvl w:val="0"/>
          <w:numId w:val="0"/>
        </w:numPr>
        <w:ind w:left="527"/>
        <w:rPr>
          <w:rFonts w:ascii="Times New Roman" w:eastAsia="Calibri" w:hAnsi="Times New Roman"/>
          <w:sz w:val="20"/>
          <w:lang w:eastAsia="en-US"/>
        </w:rPr>
      </w:pPr>
      <w:r w:rsidRPr="00877329">
        <w:rPr>
          <w:rFonts w:ascii="Times New Roman" w:eastAsia="Calibri" w:hAnsi="Times New Roman"/>
          <w:sz w:val="20"/>
          <w:lang w:eastAsia="en-US"/>
        </w:rPr>
        <w:t>Representan cada uno de los lugares físicos donde se llevan a cabo las actividades necesarias para la consecución de las funciones que tiene asignada el Conglomerado local.</w:t>
      </w:r>
    </w:p>
    <w:p w:rsidR="00877329" w:rsidRPr="00877329" w:rsidRDefault="00877329" w:rsidP="00877329">
      <w:pPr>
        <w:pStyle w:val="Vietanivel1"/>
        <w:numPr>
          <w:ilvl w:val="0"/>
          <w:numId w:val="0"/>
        </w:numPr>
        <w:ind w:left="527"/>
        <w:rPr>
          <w:rFonts w:ascii="Times New Roman" w:eastAsia="Calibri" w:hAnsi="Times New Roman"/>
          <w:sz w:val="20"/>
          <w:lang w:eastAsia="en-US"/>
        </w:rPr>
      </w:pPr>
    </w:p>
    <w:p w:rsidR="00877329" w:rsidRPr="00877329" w:rsidRDefault="00877329" w:rsidP="00877329">
      <w:pPr>
        <w:pStyle w:val="Vietanivel1"/>
        <w:jc w:val="left"/>
        <w:rPr>
          <w:rFonts w:ascii="Times New Roman" w:eastAsia="Calibri" w:hAnsi="Times New Roman"/>
          <w:sz w:val="20"/>
          <w:lang w:eastAsia="en-US"/>
        </w:rPr>
      </w:pPr>
      <w:r w:rsidRPr="00877329">
        <w:rPr>
          <w:rFonts w:ascii="Times New Roman" w:eastAsia="Calibri" w:hAnsi="Times New Roman"/>
          <w:sz w:val="20"/>
          <w:lang w:eastAsia="en-US"/>
        </w:rPr>
        <w:t>Actividades (apartado octavo)</w:t>
      </w:r>
    </w:p>
    <w:p w:rsidR="00877329" w:rsidRPr="00877329" w:rsidRDefault="00877329" w:rsidP="00877329">
      <w:pPr>
        <w:pStyle w:val="Vietanivel1"/>
        <w:numPr>
          <w:ilvl w:val="0"/>
          <w:numId w:val="0"/>
        </w:numPr>
        <w:ind w:left="527"/>
        <w:rPr>
          <w:rFonts w:ascii="Times New Roman" w:eastAsia="Calibri" w:hAnsi="Times New Roman"/>
          <w:sz w:val="20"/>
          <w:lang w:eastAsia="en-US"/>
        </w:rPr>
      </w:pPr>
      <w:r w:rsidRPr="00877329">
        <w:rPr>
          <w:rFonts w:ascii="Times New Roman" w:eastAsia="Calibri" w:hAnsi="Times New Roman"/>
          <w:sz w:val="20"/>
          <w:lang w:eastAsia="en-US"/>
        </w:rPr>
        <w:t xml:space="preserve">Representan las actividades que realiza y los servicios que presta el Conglomerado local. </w:t>
      </w:r>
    </w:p>
    <w:p w:rsidR="00877329" w:rsidRPr="00877329" w:rsidRDefault="00877329" w:rsidP="00877329">
      <w:pPr>
        <w:pStyle w:val="Vietanivel1"/>
        <w:numPr>
          <w:ilvl w:val="0"/>
          <w:numId w:val="0"/>
        </w:numPr>
        <w:ind w:left="527"/>
        <w:rPr>
          <w:rFonts w:ascii="Times New Roman" w:eastAsia="Calibri" w:hAnsi="Times New Roman"/>
          <w:sz w:val="20"/>
          <w:lang w:eastAsia="en-US"/>
        </w:rPr>
      </w:pPr>
    </w:p>
    <w:p w:rsidR="00877329" w:rsidRPr="00877329" w:rsidRDefault="00877329" w:rsidP="00877329">
      <w:pPr>
        <w:pStyle w:val="Vietanivel1"/>
        <w:jc w:val="left"/>
        <w:rPr>
          <w:rFonts w:ascii="Times New Roman" w:eastAsia="Calibri" w:hAnsi="Times New Roman"/>
          <w:sz w:val="20"/>
          <w:lang w:eastAsia="en-US"/>
        </w:rPr>
      </w:pPr>
      <w:r w:rsidRPr="00877329">
        <w:rPr>
          <w:rFonts w:ascii="Times New Roman" w:eastAsia="Calibri" w:hAnsi="Times New Roman"/>
          <w:sz w:val="20"/>
          <w:lang w:eastAsia="en-US"/>
        </w:rPr>
        <w:t>Criterios de reparto o claves de reparto (apartado noveno)</w:t>
      </w:r>
    </w:p>
    <w:p w:rsidR="00877329" w:rsidRPr="00877329" w:rsidRDefault="00877329" w:rsidP="00877329">
      <w:pPr>
        <w:pStyle w:val="Vietanivel1"/>
        <w:numPr>
          <w:ilvl w:val="0"/>
          <w:numId w:val="0"/>
        </w:numPr>
        <w:ind w:left="527"/>
        <w:rPr>
          <w:rFonts w:ascii="Times New Roman" w:eastAsia="Calibri" w:hAnsi="Times New Roman"/>
          <w:sz w:val="20"/>
          <w:lang w:eastAsia="en-US"/>
        </w:rPr>
      </w:pPr>
      <w:r w:rsidRPr="00877329">
        <w:rPr>
          <w:rFonts w:ascii="Times New Roman" w:eastAsia="Calibri" w:hAnsi="Times New Roman"/>
          <w:sz w:val="20"/>
          <w:lang w:eastAsia="en-US"/>
        </w:rPr>
        <w:t>Se materializan en las bases de reparto que constituyen la herramienta formal que permite la distribución del coste de los elementos entre los distintos objetos de coste -centros, actividades- considerados en el Conglomerado local, así como entre algunos de estos objetos de coste.</w:t>
      </w:r>
    </w:p>
    <w:p w:rsidR="00877329" w:rsidRPr="00877329" w:rsidRDefault="00877329" w:rsidP="00877329">
      <w:pPr>
        <w:tabs>
          <w:tab w:val="left" w:pos="2461"/>
        </w:tabs>
        <w:spacing w:before="0" w:after="0" w:line="240" w:lineRule="auto"/>
        <w:rPr>
          <w:rFonts w:ascii="Times New Roman" w:hAnsi="Times New Roman"/>
          <w:sz w:val="20"/>
          <w:szCs w:val="24"/>
          <w:lang w:val="es-ES"/>
        </w:rPr>
      </w:pPr>
    </w:p>
    <w:p w:rsidR="00877329" w:rsidRPr="00877329" w:rsidRDefault="00877329" w:rsidP="00877329">
      <w:pPr>
        <w:tabs>
          <w:tab w:val="left" w:pos="2461"/>
        </w:tabs>
        <w:spacing w:before="0" w:after="0" w:line="240" w:lineRule="auto"/>
        <w:rPr>
          <w:rFonts w:ascii="Times New Roman" w:hAnsi="Times New Roman"/>
          <w:sz w:val="20"/>
          <w:szCs w:val="24"/>
          <w:lang w:val="es-ES"/>
        </w:rPr>
      </w:pPr>
      <w:r w:rsidRPr="00877329">
        <w:rPr>
          <w:rFonts w:ascii="Times New Roman" w:hAnsi="Times New Roman"/>
          <w:sz w:val="20"/>
          <w:szCs w:val="24"/>
          <w:lang w:val="es-ES"/>
        </w:rPr>
        <w:t>Que se organizarán y desagregarán de acuerdo con “las estructuras de árbol con un primer nivel de multielementos sin necesidad de un elemento común y con un conjunto de desarrollo en elementos de nivel inferior que puede ser asimétrico, entendiendo como tal aquél que no acaba en el mismo nivel en todos los niveles” (apartado décimo).</w:t>
      </w:r>
    </w:p>
    <w:p w:rsidR="00877329" w:rsidRDefault="00877329" w:rsidP="00877329">
      <w:pPr>
        <w:spacing w:before="0" w:after="0" w:line="240" w:lineRule="auto"/>
        <w:rPr>
          <w:rFonts w:ascii="Times New Roman" w:hAnsi="Times New Roman"/>
          <w:sz w:val="20"/>
          <w:szCs w:val="24"/>
          <w:lang w:val="es-ES"/>
        </w:rPr>
      </w:pPr>
    </w:p>
    <w:p w:rsidR="00877329" w:rsidRPr="00877329" w:rsidRDefault="00877329" w:rsidP="00877329">
      <w:pPr>
        <w:spacing w:before="0" w:after="0" w:line="240" w:lineRule="auto"/>
        <w:rPr>
          <w:rFonts w:ascii="Times New Roman" w:hAnsi="Times New Roman"/>
          <w:b/>
          <w:sz w:val="20"/>
          <w:szCs w:val="24"/>
          <w:lang w:val="es-ES"/>
        </w:rPr>
      </w:pPr>
      <w:r w:rsidRPr="00877329">
        <w:rPr>
          <w:rFonts w:ascii="Times New Roman" w:hAnsi="Times New Roman"/>
          <w:b/>
          <w:sz w:val="20"/>
          <w:szCs w:val="24"/>
          <w:lang w:val="es-ES"/>
        </w:rPr>
        <w:t>2.2. PROCESO DE DETERMINACIÓN DE COSTES</w:t>
      </w:r>
    </w:p>
    <w:p w:rsidR="00877329" w:rsidRDefault="00877329" w:rsidP="00877329">
      <w:pPr>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El apartado tercero (sección 1. Capítulo II) de la Resolución de 28 de julio de 2011, de la Intervención General de la Administración del Estado, establece que el cálculo del costes de las actividades incluidas en los modelos recogidos en la propia resolución se efectuará de acuerdo con una metodología de carácter obligatoria, que prevé el siguiente conjunto de etapas de obligatorio cumplimiento:</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1. Determinación de Costes</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Se trata de incorporar desde los correspondientes sistemas origen de la información los costes agrupados en sus correspondientes categorías y debidamente periodificados.</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De acuerdo con los que se establece en el apartado decimotercero de la Resolución de 28 de julio de 2011, de la IGAE, para la correcta cuantificación de los costes deberán tenerse en cuenta las siguientes reglas:</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numPr>
          <w:ilvl w:val="0"/>
          <w:numId w:val="8"/>
        </w:numPr>
        <w:tabs>
          <w:tab w:val="left" w:pos="426"/>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Se recogerán en el sistema de contabilidad analítica todos los gastos correctamente periodificados de acuerdo con una aplicación estricta del Principio del Devengo, considerándose como costes los consumos necesarios para el funcionamiento de la organización.</w:t>
      </w:r>
    </w:p>
    <w:p w:rsidR="00934818" w:rsidRPr="00934818" w:rsidRDefault="00934818" w:rsidP="00934818">
      <w:pPr>
        <w:tabs>
          <w:tab w:val="left" w:pos="426"/>
        </w:tabs>
        <w:spacing w:before="0" w:after="0" w:line="240" w:lineRule="auto"/>
        <w:ind w:left="720"/>
        <w:rPr>
          <w:rFonts w:ascii="Times New Roman" w:hAnsi="Times New Roman"/>
          <w:sz w:val="20"/>
          <w:szCs w:val="24"/>
          <w:lang w:val="es-ES"/>
        </w:rPr>
      </w:pPr>
    </w:p>
    <w:p w:rsidR="00934818" w:rsidRPr="00934818" w:rsidRDefault="00934818" w:rsidP="00934818">
      <w:pPr>
        <w:tabs>
          <w:tab w:val="left" w:pos="426"/>
        </w:tabs>
        <w:spacing w:before="0" w:after="0" w:line="240" w:lineRule="auto"/>
        <w:ind w:left="720"/>
        <w:rPr>
          <w:rFonts w:ascii="Times New Roman" w:hAnsi="Times New Roman"/>
          <w:sz w:val="20"/>
          <w:szCs w:val="24"/>
          <w:lang w:val="es-ES"/>
        </w:rPr>
      </w:pPr>
      <w:r w:rsidRPr="00934818">
        <w:rPr>
          <w:rFonts w:ascii="Times New Roman" w:hAnsi="Times New Roman"/>
          <w:sz w:val="20"/>
          <w:szCs w:val="24"/>
          <w:lang w:val="es-ES"/>
        </w:rPr>
        <w:t>Por otra parte, se determinarán aquellos gastos que no correspondan a consumos efectivos de la entidad en estudio.</w:t>
      </w:r>
    </w:p>
    <w:p w:rsidR="00934818" w:rsidRPr="00934818" w:rsidRDefault="00934818" w:rsidP="00934818">
      <w:pPr>
        <w:tabs>
          <w:tab w:val="left" w:pos="426"/>
        </w:tabs>
        <w:spacing w:before="0" w:after="0" w:line="240" w:lineRule="auto"/>
        <w:ind w:left="720"/>
        <w:rPr>
          <w:rFonts w:ascii="Times New Roman" w:hAnsi="Times New Roman"/>
          <w:sz w:val="20"/>
          <w:szCs w:val="24"/>
          <w:lang w:val="es-ES"/>
        </w:rPr>
      </w:pPr>
    </w:p>
    <w:p w:rsidR="00934818" w:rsidRPr="00934818" w:rsidRDefault="00934818" w:rsidP="00934818">
      <w:pPr>
        <w:numPr>
          <w:ilvl w:val="0"/>
          <w:numId w:val="8"/>
        </w:numPr>
        <w:tabs>
          <w:tab w:val="left" w:pos="426"/>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Se incorporarán los importes derivados de la ejecución de gastos de otros entes que respondan a consumos efectivos de la entidad.</w:t>
      </w:r>
    </w:p>
    <w:p w:rsidR="00934818" w:rsidRPr="00934818" w:rsidRDefault="00934818" w:rsidP="00934818">
      <w:pPr>
        <w:tabs>
          <w:tab w:val="left" w:pos="426"/>
        </w:tabs>
        <w:spacing w:before="0" w:after="0" w:line="240" w:lineRule="auto"/>
        <w:ind w:left="720"/>
        <w:rPr>
          <w:rFonts w:ascii="Times New Roman" w:hAnsi="Times New Roman"/>
          <w:sz w:val="20"/>
          <w:szCs w:val="24"/>
          <w:lang w:val="es-ES"/>
        </w:rPr>
      </w:pPr>
    </w:p>
    <w:p w:rsidR="00934818" w:rsidRPr="00934818" w:rsidRDefault="00934818" w:rsidP="00934818">
      <w:pPr>
        <w:numPr>
          <w:ilvl w:val="0"/>
          <w:numId w:val="8"/>
        </w:numPr>
        <w:tabs>
          <w:tab w:val="left" w:pos="426"/>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Se incorporarán aquellos costes que se deriven del consumo del activo fijo y de la previsión social de funcionarios mediante los cálculos adicionales necesarios independientemente de la ejecución de su presupuesto de gastos.</w:t>
      </w:r>
    </w:p>
    <w:p w:rsidR="00934818" w:rsidRPr="00934818" w:rsidRDefault="00934818" w:rsidP="00934818">
      <w:pPr>
        <w:tabs>
          <w:tab w:val="left" w:pos="426"/>
        </w:tabs>
        <w:spacing w:before="0" w:after="0" w:line="240" w:lineRule="auto"/>
        <w:rPr>
          <w:rFonts w:ascii="Times New Roman" w:hAnsi="Times New Roman"/>
          <w:sz w:val="20"/>
          <w:szCs w:val="24"/>
          <w:lang w:val="es-ES"/>
        </w:rPr>
      </w:pPr>
    </w:p>
    <w:p w:rsidR="00934818" w:rsidRPr="00934818" w:rsidRDefault="00934818" w:rsidP="00934818">
      <w:pPr>
        <w:numPr>
          <w:ilvl w:val="0"/>
          <w:numId w:val="8"/>
        </w:numPr>
        <w:tabs>
          <w:tab w:val="left" w:pos="426"/>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La incorporación de los costes de amortización se producirá a través de la fuente de información que en cada caso se determine, y siempre de acuerdo con los criterios técnicos que determinen la efectiva incorporación del activo fijo al proceso productivo.</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En este sentido, es preciso tener en cuenta tanto para la determinación de los costes como para la propia incorporación de los datos de estructuras y vigencias que definen el modelo, como establece el apartado undécimo de la Resolución de 28 de julio de 2011, de la IGAE, que las fuentes de información de las que procederán aquéllos deberán ser los que permitan obtener una información más veraz de acuerdo con las necesidades del sistema de contabilidad analítica.</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Ello implica la necesidad de arbitrar mecanismo</w:t>
      </w:r>
      <w:r w:rsidR="00474223">
        <w:rPr>
          <w:rFonts w:ascii="Times New Roman" w:hAnsi="Times New Roman"/>
          <w:sz w:val="20"/>
          <w:szCs w:val="24"/>
          <w:lang w:val="es-ES"/>
        </w:rPr>
        <w:t>s</w:t>
      </w:r>
      <w:r w:rsidRPr="00934818">
        <w:rPr>
          <w:rFonts w:ascii="Times New Roman" w:hAnsi="Times New Roman"/>
          <w:sz w:val="20"/>
          <w:szCs w:val="24"/>
          <w:lang w:val="es-ES"/>
        </w:rPr>
        <w:t xml:space="preserve"> que hagan posible la incorporación de datos al Modelo de Contabilidad Analítica a partir de los sistemas de información del Conglomerado local que resulten más adecuados, garantizando la toma de los datos con el nivel de detalle suficiente para cumplir con las obligaciones de reporting introducido por la Resolución de 28 de julio de 2011,</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2. Asignación de Costes a Objetos de Coste</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Los costes deben ser asignados a los centros en los que se produce su consumo y, siempre que se disponga de información suficiente, también a las actividades para las que van a ser utilizados, produciéndose, en los casos que sea posible, una doble asociación coste-centro y coste-actividad.</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Esta asignación puede ser de dos tipos:</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474223" w:rsidP="00934818">
      <w:pPr>
        <w:numPr>
          <w:ilvl w:val="0"/>
          <w:numId w:val="7"/>
        </w:numPr>
        <w:tabs>
          <w:tab w:val="left" w:pos="720"/>
        </w:tabs>
        <w:spacing w:before="0" w:after="0" w:line="240" w:lineRule="auto"/>
        <w:rPr>
          <w:rFonts w:ascii="Times New Roman" w:hAnsi="Times New Roman"/>
          <w:sz w:val="20"/>
          <w:szCs w:val="24"/>
          <w:lang w:val="es-ES"/>
        </w:rPr>
      </w:pPr>
      <w:r>
        <w:rPr>
          <w:rFonts w:ascii="Times New Roman" w:hAnsi="Times New Roman"/>
          <w:sz w:val="20"/>
          <w:szCs w:val="24"/>
          <w:lang w:val="es-ES"/>
        </w:rPr>
        <w:t>Asignación d</w:t>
      </w:r>
      <w:r w:rsidR="00934818" w:rsidRPr="00934818">
        <w:rPr>
          <w:rFonts w:ascii="Times New Roman" w:hAnsi="Times New Roman"/>
          <w:sz w:val="20"/>
          <w:szCs w:val="24"/>
          <w:lang w:val="es-ES"/>
        </w:rPr>
        <w:t>irecta: realizada de manera inmediata e inequívoca en su cuantía.</w:t>
      </w:r>
    </w:p>
    <w:p w:rsidR="00934818" w:rsidRPr="00934818" w:rsidRDefault="00934818" w:rsidP="00934818">
      <w:pPr>
        <w:tabs>
          <w:tab w:val="left" w:pos="720"/>
        </w:tabs>
        <w:spacing w:before="0" w:after="0" w:line="240" w:lineRule="auto"/>
        <w:ind w:left="1080"/>
        <w:rPr>
          <w:rFonts w:ascii="Times New Roman" w:hAnsi="Times New Roman"/>
          <w:sz w:val="20"/>
          <w:szCs w:val="24"/>
          <w:lang w:val="es-ES"/>
        </w:rPr>
      </w:pPr>
    </w:p>
    <w:p w:rsidR="00934818" w:rsidRPr="00934818" w:rsidRDefault="00934818" w:rsidP="00934818">
      <w:pPr>
        <w:numPr>
          <w:ilvl w:val="0"/>
          <w:numId w:val="7"/>
        </w:numPr>
        <w:tabs>
          <w:tab w:val="left" w:pos="720"/>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Asignación indirecta: realizada mediante la aplicación de criterios o claves de reparto cuando no resulta posible la asignación directa.</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3. Fases de reparto</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El modelo prevé la posibilidad de repartos entre estructuras, contemplándose, en función de la desagregación de centros y actividades las siguientes posibilidades:</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3.1 Imputación de Costes de Centros de Nivel Superior a Centros de Último Nivel.</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3.2 Imputación de Costes Pendientes en Centros no asignados previamente a las Actividades realizadas por dicho centro.</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3.3 Imputación de Costes de Actividades Auxiliares de Nivel Superior a Actividades Auxiliares de último Nivel.</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3.4 Imputación de Costes de Actividades Auxiliares de Último Nivel a Centros no Auxiliares de Último Nivel.</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3.5 Imputación de Costes de Centros procedentes de Actividades Auxiliares a Actividades.</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3.6. Imputación de Costes de Actividades de Dirección, Administración y Generales y Asimiladas de Nivel Superior a Actividades DAG y Asimiladas de Último Nivel.</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3.7 Imputación de Costes de Actividades de Dirección, Administración y Generales y Asimiladas de Último Nivel a Actividades no DAG de Último Nivel.</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3.8 Imputación de Costes del resto de Actividades de Nivel Superior a Actividades de último Nivel.</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4. Asignación de Ingresos a Actividades</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 xml:space="preserve">Los ingresos se relacionarán con todas o con algunas de las actividades que se hayan definido como finalistas y asimiladas en la organización, existiendo la posibilidad de que ciertos ingresos no puedan ser individualizados ni siquiera a un determinado nivel de las actividades que conforman la estructura de la entidad. Obviamente, cuando se hace referencia al Conglomerado podrán asignarse los ingresos a las actividades correspondientes incluso en casos de transversalidad inter-Entidad, debiendo considerarse la </w:t>
      </w:r>
      <w:r w:rsidR="00474223">
        <w:rPr>
          <w:rFonts w:ascii="Times New Roman" w:hAnsi="Times New Roman"/>
          <w:sz w:val="20"/>
          <w:szCs w:val="24"/>
          <w:lang w:val="es-ES"/>
        </w:rPr>
        <w:t xml:space="preserve">posible </w:t>
      </w:r>
      <w:r w:rsidRPr="00934818">
        <w:rPr>
          <w:rFonts w:ascii="Times New Roman" w:hAnsi="Times New Roman"/>
          <w:sz w:val="20"/>
          <w:szCs w:val="24"/>
          <w:lang w:val="es-ES"/>
        </w:rPr>
        <w:t>existencia de transferencia de recursos monetarios entre entidades del Conglomerado.</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5. Determinación de Márgenes de Cobertura por Actividades</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 xml:space="preserve">En el caso de los ingresos que se hayan asociado con actividades, al nivel que se determine en cada caso, se procederá a obtener el grado de cobertura de costes mediante la comparación de dichos ingresos con los costes asociados a las actividades en cuestión, que cuando hablamos de datos consolidados mostrarán información veraz y relevante sobre dichos márgenes, incluso en el caso de servicios transversales inter-Entes, al resultar posible contraponer los ingresos asociados a un servicio público con los costes totales en los que se incurre para su prestación. </w:t>
      </w: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El proceso de determinación de márgenes implicará, en su caso, los correspondientes procesos de agregación tanto de costes como de ingresos.</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lastRenderedPageBreak/>
        <w:t>6. Determinación de Márgenes Globales</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Una vez determinado el margen de cobertura de cada actividad considerada individualmente se procederá al cálculo del margen global teniendo en cuenta aquellos ingresos que no pueden asociarse individualmente con ninguna actividad.</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De esta forma, tal y como se ha indicado, la metodología descrita en la Resolución de 28 de julio de 2011, obliga al Conglomerado local, no sólo a definir las estructuras del modelo de acuerdo a los requerimientos establecidos en la mencionada Resolución, sino a arbitrar los mecanismos de integración y cálculo adecuados para garantizar la incorporación de la información al modelo a partir de los diferentes sistemas de gestión del Ente, y su proceso de acuerdo con la metodología definida en dicha norma legal.</w:t>
      </w:r>
    </w:p>
    <w:p w:rsidR="00877329" w:rsidRDefault="00877329" w:rsidP="00934818">
      <w:pPr>
        <w:spacing w:before="0" w:after="0" w:line="240" w:lineRule="auto"/>
        <w:rPr>
          <w:rFonts w:ascii="Times New Roman" w:hAnsi="Times New Roman"/>
          <w:sz w:val="20"/>
          <w:szCs w:val="24"/>
          <w:lang w:val="es-ES"/>
        </w:rPr>
      </w:pPr>
    </w:p>
    <w:p w:rsidR="00474223" w:rsidRDefault="00474223" w:rsidP="00934818">
      <w:pPr>
        <w:spacing w:before="0" w:after="0" w:line="240" w:lineRule="auto"/>
        <w:rPr>
          <w:rFonts w:ascii="Times New Roman" w:hAnsi="Times New Roman"/>
          <w:sz w:val="20"/>
          <w:szCs w:val="24"/>
          <w:lang w:val="es-ES"/>
        </w:rPr>
      </w:pPr>
    </w:p>
    <w:p w:rsidR="00474223" w:rsidRDefault="00474223" w:rsidP="00934818">
      <w:pPr>
        <w:spacing w:before="0" w:after="0" w:line="240" w:lineRule="auto"/>
        <w:rPr>
          <w:rFonts w:ascii="Times New Roman" w:hAnsi="Times New Roman"/>
          <w:sz w:val="20"/>
          <w:szCs w:val="24"/>
          <w:lang w:val="es-ES"/>
        </w:rPr>
      </w:pPr>
    </w:p>
    <w:p w:rsidR="00934818" w:rsidRPr="0059158A" w:rsidRDefault="00934818" w:rsidP="00934818">
      <w:pPr>
        <w:spacing w:before="0" w:after="0" w:line="240" w:lineRule="auto"/>
        <w:rPr>
          <w:rFonts w:ascii="Times New Roman" w:hAnsi="Times New Roman"/>
          <w:b/>
          <w:sz w:val="20"/>
          <w:szCs w:val="24"/>
          <w:lang w:val="es-ES"/>
        </w:rPr>
      </w:pPr>
      <w:r w:rsidRPr="0059158A">
        <w:rPr>
          <w:rFonts w:ascii="Times New Roman" w:hAnsi="Times New Roman"/>
          <w:b/>
          <w:sz w:val="20"/>
          <w:szCs w:val="24"/>
          <w:lang w:val="es-ES"/>
        </w:rPr>
        <w:t>2.3. OUTPUTS INFORMATIVOS</w:t>
      </w:r>
    </w:p>
    <w:p w:rsid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tabs>
          <w:tab w:val="left" w:pos="2461"/>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Como se ha mencionado en anteriores líneas, de acuerdo a las estructuras que definen el Modelo de Contabilidad Analítica, y lo previsto tanto en la Resolución de 28 de julio como en la ICAL, cabe pensar en dos grandes grupos de outputs informativos:</w:t>
      </w:r>
    </w:p>
    <w:p w:rsidR="00934818" w:rsidRPr="00934818" w:rsidRDefault="00934818" w:rsidP="00934818">
      <w:pPr>
        <w:tabs>
          <w:tab w:val="left" w:pos="2461"/>
        </w:tabs>
        <w:spacing w:before="0" w:after="0" w:line="240" w:lineRule="auto"/>
        <w:rPr>
          <w:rFonts w:ascii="Times New Roman" w:hAnsi="Times New Roman"/>
          <w:sz w:val="20"/>
          <w:szCs w:val="24"/>
          <w:lang w:val="es-ES"/>
        </w:rPr>
      </w:pPr>
    </w:p>
    <w:p w:rsidR="00934818" w:rsidRPr="00934818" w:rsidRDefault="00934818" w:rsidP="00934818">
      <w:pPr>
        <w:numPr>
          <w:ilvl w:val="0"/>
          <w:numId w:val="7"/>
        </w:numPr>
        <w:tabs>
          <w:tab w:val="left" w:pos="720"/>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Informes de costes, ingresos y márgenes (nota 26 de la Memoria).</w:t>
      </w:r>
    </w:p>
    <w:p w:rsidR="00934818" w:rsidRPr="00934818" w:rsidRDefault="00934818" w:rsidP="00934818">
      <w:pPr>
        <w:tabs>
          <w:tab w:val="left" w:pos="720"/>
        </w:tabs>
        <w:spacing w:before="0" w:after="0" w:line="240" w:lineRule="auto"/>
        <w:ind w:left="1080"/>
        <w:rPr>
          <w:rFonts w:ascii="Times New Roman" w:hAnsi="Times New Roman"/>
          <w:sz w:val="20"/>
          <w:szCs w:val="24"/>
          <w:lang w:val="es-ES"/>
        </w:rPr>
      </w:pPr>
    </w:p>
    <w:p w:rsidR="00934818" w:rsidRPr="00934818" w:rsidRDefault="00934818" w:rsidP="00934818">
      <w:pPr>
        <w:numPr>
          <w:ilvl w:val="0"/>
          <w:numId w:val="7"/>
        </w:numPr>
        <w:tabs>
          <w:tab w:val="left" w:pos="720"/>
        </w:tabs>
        <w:spacing w:before="0" w:after="0" w:line="240" w:lineRule="auto"/>
        <w:rPr>
          <w:rFonts w:ascii="Times New Roman" w:hAnsi="Times New Roman"/>
          <w:sz w:val="20"/>
          <w:szCs w:val="24"/>
          <w:lang w:val="es-ES"/>
        </w:rPr>
      </w:pPr>
      <w:r w:rsidRPr="00934818">
        <w:rPr>
          <w:rFonts w:ascii="Times New Roman" w:hAnsi="Times New Roman"/>
          <w:sz w:val="20"/>
          <w:szCs w:val="24"/>
          <w:lang w:val="es-ES"/>
        </w:rPr>
        <w:t>Indicadores de gestión (nota 27 de la Memoria).</w:t>
      </w:r>
    </w:p>
    <w:p w:rsidR="00934818" w:rsidRDefault="00934818" w:rsidP="00934818">
      <w:pPr>
        <w:spacing w:before="0" w:after="0" w:line="240" w:lineRule="auto"/>
        <w:rPr>
          <w:rFonts w:ascii="Times New Roman" w:hAnsi="Times New Roman"/>
          <w:sz w:val="20"/>
          <w:szCs w:val="24"/>
          <w:lang w:val="es-ES"/>
        </w:rPr>
      </w:pPr>
    </w:p>
    <w:p w:rsidR="00934818" w:rsidRPr="0059158A" w:rsidRDefault="00934818" w:rsidP="00934818">
      <w:pPr>
        <w:spacing w:before="0" w:after="0" w:line="240" w:lineRule="auto"/>
        <w:rPr>
          <w:rFonts w:ascii="Times New Roman" w:hAnsi="Times New Roman"/>
          <w:b/>
          <w:sz w:val="20"/>
          <w:szCs w:val="24"/>
          <w:lang w:val="es-ES"/>
        </w:rPr>
      </w:pPr>
      <w:r w:rsidRPr="0059158A">
        <w:rPr>
          <w:rFonts w:ascii="Times New Roman" w:hAnsi="Times New Roman"/>
          <w:b/>
          <w:sz w:val="20"/>
          <w:szCs w:val="24"/>
          <w:lang w:val="es-ES"/>
        </w:rPr>
        <w:t>2.4. OBLIGACIONES DE REPORTING DE LA ICAL 2013: NOTAS 26 Y 27 DE LA MEMORIA DE LAS CUENTAS ANUALES INDIVIDUALES. INCORPORACIÓN A LA MEMORIA CONSOLIDADA</w:t>
      </w:r>
    </w:p>
    <w:p w:rsidR="00877329" w:rsidRPr="00934818" w:rsidRDefault="00877329" w:rsidP="00934818">
      <w:pPr>
        <w:spacing w:before="0" w:after="0" w:line="240" w:lineRule="auto"/>
        <w:rPr>
          <w:rFonts w:ascii="Times New Roman" w:hAnsi="Times New Roman"/>
          <w:sz w:val="20"/>
          <w:szCs w:val="20"/>
          <w:lang w:val="es-ES"/>
        </w:rPr>
      </w:pPr>
    </w:p>
    <w:p w:rsidR="00934818" w:rsidRPr="00934818" w:rsidRDefault="00934818" w:rsidP="00934818">
      <w:pPr>
        <w:tabs>
          <w:tab w:val="left" w:pos="2461"/>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Finalmente, el estudio de los requisitos introducidos por la normativa legal respecto al reporting informativo del Conglomerado local debe ser uno de los referentes claves para el estudio del Modelo de Contabilidad Analítica del Conglomerado local.</w:t>
      </w:r>
    </w:p>
    <w:p w:rsidR="00934818" w:rsidRPr="00934818" w:rsidRDefault="00934818" w:rsidP="00934818">
      <w:pPr>
        <w:tabs>
          <w:tab w:val="left" w:pos="2461"/>
        </w:tabs>
        <w:spacing w:before="0" w:after="0" w:line="240" w:lineRule="auto"/>
        <w:rPr>
          <w:rFonts w:ascii="Times New Roman" w:hAnsi="Times New Roman"/>
          <w:sz w:val="20"/>
          <w:szCs w:val="20"/>
          <w:lang w:val="es-ES"/>
        </w:rPr>
      </w:pPr>
    </w:p>
    <w:p w:rsidR="00934818" w:rsidRPr="00934818" w:rsidRDefault="00934818" w:rsidP="00934818">
      <w:pPr>
        <w:tabs>
          <w:tab w:val="left" w:pos="2461"/>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A estos efectos, es preciso indicar nuevamente que la Resolución de 28 de julio de 2011, establece los Estados e Informes de coste e indicadores de gestión obligatorios que deben incluirse para completar el contenido de las notas 26 y 27 de la Memoria de las Cuentas Anuales (ICAL 2103) y la metodología para su elaboración.</w:t>
      </w:r>
    </w:p>
    <w:p w:rsidR="00934818" w:rsidRPr="00934818" w:rsidRDefault="00934818" w:rsidP="00934818">
      <w:pPr>
        <w:tabs>
          <w:tab w:val="left" w:pos="2461"/>
        </w:tabs>
        <w:spacing w:before="0" w:after="0" w:line="240" w:lineRule="auto"/>
        <w:rPr>
          <w:rFonts w:ascii="Times New Roman" w:hAnsi="Times New Roman"/>
          <w:sz w:val="20"/>
          <w:szCs w:val="20"/>
          <w:lang w:val="es-ES"/>
        </w:rPr>
      </w:pPr>
    </w:p>
    <w:p w:rsidR="00934818" w:rsidRPr="00934818" w:rsidRDefault="00934818" w:rsidP="00934818">
      <w:pPr>
        <w:tabs>
          <w:tab w:val="left" w:pos="2461"/>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De esta forma, a efectos de informes de coste, la sección 2 del Capítulo II de la Resolución de 28 de julio de 2011, de la Intervención General de la Administración del Estado, establece los modelos de informes obligatorios a incluir en la Memoria de las Cuentas Anuales consolidadas</w:t>
      </w:r>
      <w:r w:rsidRPr="00474223">
        <w:rPr>
          <w:rFonts w:ascii="Times New Roman" w:hAnsi="Times New Roman"/>
          <w:sz w:val="20"/>
          <w:szCs w:val="20"/>
          <w:vertAlign w:val="superscript"/>
          <w:lang w:val="es-ES"/>
        </w:rPr>
        <w:footnoteReference w:id="2"/>
      </w:r>
      <w:r w:rsidRPr="00934818">
        <w:rPr>
          <w:rFonts w:ascii="Times New Roman" w:hAnsi="Times New Roman"/>
          <w:sz w:val="20"/>
          <w:szCs w:val="20"/>
          <w:lang w:val="es-ES"/>
        </w:rPr>
        <w:t>, en un formato con dos niveles de exigencia claramente diferenciados:</w:t>
      </w:r>
    </w:p>
    <w:p w:rsidR="00934818" w:rsidRPr="00934818" w:rsidRDefault="00934818" w:rsidP="00934818">
      <w:pPr>
        <w:tabs>
          <w:tab w:val="left" w:pos="2461"/>
        </w:tabs>
        <w:spacing w:before="0" w:after="0" w:line="240" w:lineRule="auto"/>
        <w:rPr>
          <w:rFonts w:ascii="Times New Roman" w:hAnsi="Times New Roman"/>
          <w:sz w:val="20"/>
          <w:szCs w:val="20"/>
          <w:lang w:val="es-ES"/>
        </w:rPr>
      </w:pPr>
    </w:p>
    <w:p w:rsidR="00934818" w:rsidRPr="00934818" w:rsidRDefault="00934818" w:rsidP="00934818">
      <w:pPr>
        <w:numPr>
          <w:ilvl w:val="0"/>
          <w:numId w:val="7"/>
        </w:numPr>
        <w:tabs>
          <w:tab w:val="left" w:pos="720"/>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Para la totalidad de las organizaciones integradas en el Sector Público Administrativo Estatal.</w:t>
      </w:r>
    </w:p>
    <w:p w:rsidR="00934818" w:rsidRPr="00934818" w:rsidRDefault="00934818" w:rsidP="00934818">
      <w:pPr>
        <w:tabs>
          <w:tab w:val="left" w:pos="720"/>
        </w:tabs>
        <w:spacing w:before="0" w:after="0" w:line="240" w:lineRule="auto"/>
        <w:ind w:left="1080"/>
        <w:rPr>
          <w:rFonts w:ascii="Times New Roman" w:hAnsi="Times New Roman"/>
          <w:sz w:val="20"/>
          <w:szCs w:val="20"/>
          <w:lang w:val="es-ES"/>
        </w:rPr>
      </w:pPr>
    </w:p>
    <w:p w:rsidR="00934818" w:rsidRPr="00934818" w:rsidRDefault="00934818" w:rsidP="00934818">
      <w:pPr>
        <w:numPr>
          <w:ilvl w:val="0"/>
          <w:numId w:val="7"/>
        </w:numPr>
        <w:tabs>
          <w:tab w:val="left" w:pos="720"/>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Para las organizaciones que realizan actividades relacionadas con la obtención de ingresos derivados de tasas y precios públicos, que es el caso de la problemática del Conglomerado local que nos ocupa.</w:t>
      </w:r>
    </w:p>
    <w:p w:rsidR="00934818" w:rsidRPr="00934818" w:rsidRDefault="00934818" w:rsidP="00934818">
      <w:pPr>
        <w:tabs>
          <w:tab w:val="left" w:pos="720"/>
        </w:tabs>
        <w:spacing w:before="0" w:after="0" w:line="240" w:lineRule="auto"/>
        <w:rPr>
          <w:rFonts w:ascii="Times New Roman" w:hAnsi="Times New Roman"/>
          <w:sz w:val="20"/>
          <w:szCs w:val="20"/>
          <w:lang w:val="es-ES"/>
        </w:rPr>
      </w:pPr>
    </w:p>
    <w:p w:rsidR="00934818" w:rsidRPr="00934818" w:rsidRDefault="00934818" w:rsidP="00934818">
      <w:pPr>
        <w:tabs>
          <w:tab w:val="left" w:pos="720"/>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Refiriéndonos, por tanto, exclusivamente a las segundas, es decir, sólo las organizaciones que realicen actividades relacionadas con la obtención de ingresos derivados de tasas y precios públicos, deberán informar de los costes, ingresos y márgenes de éstas, a través de los modelos «Resumen del coste por elementos de las actividades que implican la obtención de tasas y precios públicos», desarrollado en el apartado trigésimo octavo; «Resumen de costes por actividad-actividades que implican la obtención de tasas y precios públicos», determinado en el apartado trigésimo noveno; y «Resumen relacionando costes e ingresos de actividades con ingresos finalistas», fijado en el apartado cuadragésimo, mencionados en anteriores líneas.</w:t>
      </w:r>
    </w:p>
    <w:p w:rsidR="00934818" w:rsidRPr="00934818" w:rsidRDefault="00934818" w:rsidP="00934818">
      <w:pPr>
        <w:tabs>
          <w:tab w:val="left" w:pos="720"/>
        </w:tabs>
        <w:spacing w:before="0" w:after="0" w:line="240" w:lineRule="auto"/>
        <w:rPr>
          <w:rFonts w:ascii="Times New Roman" w:hAnsi="Times New Roman"/>
          <w:sz w:val="20"/>
          <w:szCs w:val="20"/>
          <w:lang w:val="es-ES"/>
        </w:rPr>
      </w:pPr>
    </w:p>
    <w:p w:rsidR="00934818" w:rsidRPr="00934818" w:rsidRDefault="00934818" w:rsidP="00934818">
      <w:pPr>
        <w:tabs>
          <w:tab w:val="left" w:pos="720"/>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Por su parte, y en relación a los indicadores de gestión a incluir en la nota 27 de la Memoria, Resolución de 28 de julio de 2011, de la Intervención General de la Administración del Estado, el Conglomerado local tendrá que incorporar indicadores de:</w:t>
      </w:r>
    </w:p>
    <w:p w:rsidR="00934818" w:rsidRPr="00934818" w:rsidRDefault="00934818" w:rsidP="00934818">
      <w:pPr>
        <w:tabs>
          <w:tab w:val="left" w:pos="720"/>
        </w:tabs>
        <w:spacing w:before="0" w:after="0" w:line="240" w:lineRule="auto"/>
        <w:rPr>
          <w:rFonts w:ascii="Times New Roman" w:hAnsi="Times New Roman"/>
          <w:sz w:val="20"/>
          <w:szCs w:val="20"/>
          <w:lang w:val="es-ES"/>
        </w:rPr>
      </w:pPr>
    </w:p>
    <w:p w:rsidR="00934818" w:rsidRPr="00934818" w:rsidRDefault="00934818" w:rsidP="00934818">
      <w:pPr>
        <w:numPr>
          <w:ilvl w:val="0"/>
          <w:numId w:val="7"/>
        </w:numPr>
        <w:tabs>
          <w:tab w:val="left" w:pos="720"/>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Eficacia (apartado cuadragésimo segundo a cuadragésimo cuarto):</w:t>
      </w:r>
    </w:p>
    <w:p w:rsidR="00934818" w:rsidRPr="00934818" w:rsidRDefault="00934818" w:rsidP="00934818">
      <w:pPr>
        <w:tabs>
          <w:tab w:val="left" w:pos="720"/>
        </w:tabs>
        <w:spacing w:before="0" w:after="0" w:line="240" w:lineRule="auto"/>
        <w:ind w:left="1080"/>
        <w:rPr>
          <w:rFonts w:ascii="Times New Roman" w:hAnsi="Times New Roman"/>
          <w:sz w:val="20"/>
          <w:szCs w:val="20"/>
          <w:lang w:val="es-ES"/>
        </w:rPr>
      </w:pPr>
    </w:p>
    <w:p w:rsidR="00934818" w:rsidRPr="00934818" w:rsidRDefault="00934818" w:rsidP="00934818">
      <w:pPr>
        <w:numPr>
          <w:ilvl w:val="1"/>
          <w:numId w:val="7"/>
        </w:numPr>
        <w:tabs>
          <w:tab w:val="left" w:pos="720"/>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Número de actuaciones realizadas/Número de actuaciones previstas (para cada actividad/servicio).</w:t>
      </w:r>
    </w:p>
    <w:p w:rsidR="00934818" w:rsidRPr="00934818" w:rsidRDefault="00934818" w:rsidP="00934818">
      <w:pPr>
        <w:tabs>
          <w:tab w:val="left" w:pos="720"/>
        </w:tabs>
        <w:spacing w:before="0" w:after="0" w:line="240" w:lineRule="auto"/>
        <w:ind w:left="1800"/>
        <w:rPr>
          <w:rFonts w:ascii="Times New Roman" w:hAnsi="Times New Roman"/>
          <w:sz w:val="20"/>
          <w:szCs w:val="20"/>
          <w:lang w:val="es-ES"/>
        </w:rPr>
      </w:pPr>
    </w:p>
    <w:p w:rsidR="00934818" w:rsidRPr="00934818" w:rsidRDefault="00934818" w:rsidP="00934818">
      <w:pPr>
        <w:numPr>
          <w:ilvl w:val="1"/>
          <w:numId w:val="7"/>
        </w:numPr>
        <w:tabs>
          <w:tab w:val="left" w:pos="720"/>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Plazo medio de espera para recibir cada uno de servicios públicos que presta.</w:t>
      </w:r>
    </w:p>
    <w:p w:rsidR="00934818" w:rsidRPr="00934818" w:rsidRDefault="00934818" w:rsidP="00934818">
      <w:pPr>
        <w:tabs>
          <w:tab w:val="left" w:pos="720"/>
        </w:tabs>
        <w:spacing w:before="0" w:after="0" w:line="240" w:lineRule="auto"/>
        <w:rPr>
          <w:rFonts w:ascii="Times New Roman" w:hAnsi="Times New Roman"/>
          <w:sz w:val="20"/>
          <w:szCs w:val="20"/>
          <w:lang w:val="es-ES"/>
        </w:rPr>
      </w:pPr>
    </w:p>
    <w:p w:rsidR="00934818" w:rsidRPr="00934818" w:rsidRDefault="00934818" w:rsidP="00934818">
      <w:pPr>
        <w:numPr>
          <w:ilvl w:val="1"/>
          <w:numId w:val="7"/>
        </w:numPr>
        <w:tabs>
          <w:tab w:val="left" w:pos="720"/>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Porcentaje de población cubierta por cada servicio público prestado.</w:t>
      </w:r>
    </w:p>
    <w:p w:rsidR="00934818" w:rsidRPr="00934818" w:rsidRDefault="00934818" w:rsidP="00934818">
      <w:pPr>
        <w:tabs>
          <w:tab w:val="left" w:pos="720"/>
        </w:tabs>
        <w:spacing w:before="0" w:after="0" w:line="240" w:lineRule="auto"/>
        <w:rPr>
          <w:rFonts w:ascii="Times New Roman" w:hAnsi="Times New Roman"/>
          <w:sz w:val="20"/>
          <w:szCs w:val="20"/>
          <w:lang w:val="es-ES"/>
        </w:rPr>
      </w:pPr>
    </w:p>
    <w:p w:rsidR="00934818" w:rsidRPr="00934818" w:rsidRDefault="00934818" w:rsidP="00934818">
      <w:pPr>
        <w:numPr>
          <w:ilvl w:val="1"/>
          <w:numId w:val="7"/>
        </w:numPr>
        <w:tabs>
          <w:tab w:val="left" w:pos="720"/>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Número de actuaciones realizadas año X/Número de actuaciones previstas año X</w:t>
      </w:r>
    </w:p>
    <w:p w:rsidR="00934818" w:rsidRPr="00934818" w:rsidRDefault="00934818" w:rsidP="00934818">
      <w:pPr>
        <w:tabs>
          <w:tab w:val="left" w:pos="720"/>
        </w:tabs>
        <w:spacing w:before="0" w:after="0" w:line="240" w:lineRule="auto"/>
        <w:ind w:left="1800"/>
        <w:rPr>
          <w:rFonts w:ascii="Times New Roman" w:hAnsi="Times New Roman"/>
          <w:sz w:val="20"/>
          <w:szCs w:val="20"/>
          <w:lang w:val="es-ES"/>
        </w:rPr>
      </w:pPr>
      <w:r w:rsidRPr="00934818">
        <w:rPr>
          <w:rFonts w:ascii="Times New Roman" w:hAnsi="Times New Roman"/>
          <w:sz w:val="20"/>
          <w:szCs w:val="20"/>
          <w:lang w:val="es-ES"/>
        </w:rPr>
        <w:t>(para cada actividad/servicio).</w:t>
      </w:r>
    </w:p>
    <w:p w:rsidR="00934818" w:rsidRPr="00934818" w:rsidRDefault="00934818" w:rsidP="00934818">
      <w:pPr>
        <w:tabs>
          <w:tab w:val="left" w:pos="720"/>
        </w:tabs>
        <w:spacing w:before="0" w:after="0" w:line="240" w:lineRule="auto"/>
        <w:ind w:left="1800"/>
        <w:rPr>
          <w:rFonts w:ascii="Times New Roman" w:hAnsi="Times New Roman"/>
          <w:sz w:val="20"/>
          <w:szCs w:val="20"/>
          <w:lang w:val="es-ES"/>
        </w:rPr>
      </w:pPr>
    </w:p>
    <w:p w:rsidR="00934818" w:rsidRPr="00934818" w:rsidRDefault="00934818" w:rsidP="00934818">
      <w:pPr>
        <w:numPr>
          <w:ilvl w:val="1"/>
          <w:numId w:val="7"/>
        </w:numPr>
        <w:tabs>
          <w:tab w:val="left" w:pos="720"/>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Número medio de actuaciones realizadas (serie años anteriores)/Número medio de actuaciones previstas (serie años anteriores)</w:t>
      </w:r>
    </w:p>
    <w:p w:rsidR="00934818" w:rsidRPr="00934818" w:rsidRDefault="00934818" w:rsidP="00934818">
      <w:pPr>
        <w:tabs>
          <w:tab w:val="left" w:pos="720"/>
        </w:tabs>
        <w:spacing w:before="0" w:after="0" w:line="240" w:lineRule="auto"/>
        <w:ind w:left="1800"/>
        <w:rPr>
          <w:rFonts w:ascii="Times New Roman" w:hAnsi="Times New Roman"/>
          <w:sz w:val="20"/>
          <w:szCs w:val="20"/>
          <w:lang w:val="es-ES"/>
        </w:rPr>
      </w:pPr>
      <w:r w:rsidRPr="00934818">
        <w:rPr>
          <w:rFonts w:ascii="Times New Roman" w:hAnsi="Times New Roman"/>
          <w:sz w:val="20"/>
          <w:szCs w:val="20"/>
          <w:lang w:val="es-ES"/>
        </w:rPr>
        <w:t>(para cada actividad/servicio).</w:t>
      </w:r>
    </w:p>
    <w:p w:rsidR="00934818" w:rsidRPr="00934818" w:rsidRDefault="00934818" w:rsidP="00934818">
      <w:pPr>
        <w:tabs>
          <w:tab w:val="left" w:pos="720"/>
        </w:tabs>
        <w:spacing w:before="0" w:after="0" w:line="240" w:lineRule="auto"/>
        <w:ind w:left="1800"/>
        <w:rPr>
          <w:rFonts w:ascii="Times New Roman" w:hAnsi="Times New Roman"/>
          <w:sz w:val="20"/>
          <w:szCs w:val="20"/>
          <w:lang w:val="es-ES"/>
        </w:rPr>
      </w:pPr>
    </w:p>
    <w:p w:rsidR="00934818" w:rsidRPr="00934818" w:rsidRDefault="00934818" w:rsidP="00934818">
      <w:pPr>
        <w:numPr>
          <w:ilvl w:val="0"/>
          <w:numId w:val="7"/>
        </w:numPr>
        <w:tabs>
          <w:tab w:val="left" w:pos="720"/>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Eficiencia (apartado cuadragésimo quinto a cuadragésimo octavo)</w:t>
      </w:r>
    </w:p>
    <w:p w:rsidR="00934818" w:rsidRPr="00934818" w:rsidRDefault="00934818" w:rsidP="00934818">
      <w:pPr>
        <w:tabs>
          <w:tab w:val="left" w:pos="720"/>
        </w:tabs>
        <w:spacing w:before="0" w:after="0" w:line="240" w:lineRule="auto"/>
        <w:ind w:left="1080"/>
        <w:rPr>
          <w:rFonts w:ascii="Times New Roman" w:hAnsi="Times New Roman"/>
          <w:sz w:val="20"/>
          <w:szCs w:val="20"/>
          <w:lang w:val="es-ES"/>
        </w:rPr>
      </w:pPr>
    </w:p>
    <w:p w:rsidR="00934818" w:rsidRPr="00934818" w:rsidRDefault="00934818" w:rsidP="00934818">
      <w:pPr>
        <w:numPr>
          <w:ilvl w:val="1"/>
          <w:numId w:val="7"/>
        </w:numPr>
        <w:tabs>
          <w:tab w:val="left" w:pos="720"/>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Coste de la actividad/Número de usuarios (para cada actividad/servicio).</w:t>
      </w:r>
    </w:p>
    <w:p w:rsidR="00934818" w:rsidRPr="00934818" w:rsidRDefault="00934818" w:rsidP="00934818">
      <w:pPr>
        <w:tabs>
          <w:tab w:val="left" w:pos="720"/>
        </w:tabs>
        <w:spacing w:before="0" w:after="0" w:line="240" w:lineRule="auto"/>
        <w:ind w:left="1800"/>
        <w:rPr>
          <w:rFonts w:ascii="Times New Roman" w:hAnsi="Times New Roman"/>
          <w:sz w:val="20"/>
          <w:szCs w:val="20"/>
          <w:lang w:val="es-ES"/>
        </w:rPr>
      </w:pPr>
    </w:p>
    <w:p w:rsidR="00934818" w:rsidRPr="00934818" w:rsidRDefault="00934818" w:rsidP="00934818">
      <w:pPr>
        <w:numPr>
          <w:ilvl w:val="1"/>
          <w:numId w:val="7"/>
        </w:numPr>
        <w:tabs>
          <w:tab w:val="left" w:pos="720"/>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Coste real de la actividad/Coste previsto de la actividad</w:t>
      </w:r>
    </w:p>
    <w:p w:rsidR="00934818" w:rsidRPr="00934818" w:rsidRDefault="00934818" w:rsidP="00934818">
      <w:pPr>
        <w:tabs>
          <w:tab w:val="left" w:pos="720"/>
        </w:tabs>
        <w:spacing w:before="0" w:after="0" w:line="240" w:lineRule="auto"/>
        <w:ind w:left="1800"/>
        <w:rPr>
          <w:rFonts w:ascii="Times New Roman" w:hAnsi="Times New Roman"/>
          <w:sz w:val="20"/>
          <w:szCs w:val="20"/>
          <w:lang w:val="es-ES"/>
        </w:rPr>
      </w:pPr>
      <w:r w:rsidRPr="00934818">
        <w:rPr>
          <w:rFonts w:ascii="Times New Roman" w:hAnsi="Times New Roman"/>
          <w:sz w:val="20"/>
          <w:szCs w:val="20"/>
          <w:lang w:val="es-ES"/>
        </w:rPr>
        <w:t>(para cada actividad/servicio).</w:t>
      </w:r>
    </w:p>
    <w:p w:rsidR="00934818" w:rsidRPr="00934818" w:rsidRDefault="00934818" w:rsidP="00934818">
      <w:pPr>
        <w:tabs>
          <w:tab w:val="left" w:pos="720"/>
        </w:tabs>
        <w:spacing w:before="0" w:after="0" w:line="240" w:lineRule="auto"/>
        <w:ind w:left="1800"/>
        <w:rPr>
          <w:rFonts w:ascii="Times New Roman" w:hAnsi="Times New Roman"/>
          <w:sz w:val="20"/>
          <w:szCs w:val="20"/>
          <w:lang w:val="es-ES"/>
        </w:rPr>
      </w:pPr>
    </w:p>
    <w:p w:rsidR="00934818" w:rsidRPr="00934818" w:rsidRDefault="00934818" w:rsidP="00934818">
      <w:pPr>
        <w:numPr>
          <w:ilvl w:val="1"/>
          <w:numId w:val="7"/>
        </w:numPr>
        <w:tabs>
          <w:tab w:val="left" w:pos="720"/>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Coste de la actividad/Número de unidades equivalentes producidas</w:t>
      </w:r>
    </w:p>
    <w:p w:rsidR="00934818" w:rsidRPr="00934818" w:rsidRDefault="00934818" w:rsidP="00934818">
      <w:pPr>
        <w:tabs>
          <w:tab w:val="left" w:pos="720"/>
        </w:tabs>
        <w:spacing w:before="0" w:after="0" w:line="240" w:lineRule="auto"/>
        <w:ind w:left="1800"/>
        <w:rPr>
          <w:rFonts w:ascii="Times New Roman" w:hAnsi="Times New Roman"/>
          <w:sz w:val="20"/>
          <w:szCs w:val="20"/>
          <w:lang w:val="es-ES"/>
        </w:rPr>
      </w:pPr>
      <w:r w:rsidRPr="00934818">
        <w:rPr>
          <w:rFonts w:ascii="Times New Roman" w:hAnsi="Times New Roman"/>
          <w:sz w:val="20"/>
          <w:szCs w:val="20"/>
          <w:lang w:val="es-ES"/>
        </w:rPr>
        <w:t>(para cada actividad/servicio).</w:t>
      </w:r>
    </w:p>
    <w:p w:rsidR="00934818" w:rsidRPr="00934818" w:rsidRDefault="00934818" w:rsidP="00934818">
      <w:pPr>
        <w:tabs>
          <w:tab w:val="left" w:pos="720"/>
        </w:tabs>
        <w:spacing w:before="0" w:after="0" w:line="240" w:lineRule="auto"/>
        <w:ind w:left="1800"/>
        <w:rPr>
          <w:rFonts w:ascii="Times New Roman" w:hAnsi="Times New Roman"/>
          <w:sz w:val="20"/>
          <w:szCs w:val="20"/>
          <w:lang w:val="es-ES"/>
        </w:rPr>
      </w:pPr>
    </w:p>
    <w:p w:rsidR="00934818" w:rsidRPr="00934818" w:rsidRDefault="00934818" w:rsidP="00934818">
      <w:pPr>
        <w:numPr>
          <w:ilvl w:val="0"/>
          <w:numId w:val="7"/>
        </w:numPr>
        <w:tabs>
          <w:tab w:val="left" w:pos="720"/>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Economía (apartado cuadragésimo noveno a quincuagésimo)</w:t>
      </w:r>
    </w:p>
    <w:p w:rsidR="00934818" w:rsidRPr="00934818" w:rsidRDefault="00934818" w:rsidP="00934818">
      <w:pPr>
        <w:tabs>
          <w:tab w:val="left" w:pos="720"/>
        </w:tabs>
        <w:spacing w:before="0" w:after="0" w:line="240" w:lineRule="auto"/>
        <w:ind w:left="1080"/>
        <w:rPr>
          <w:rFonts w:ascii="Times New Roman" w:hAnsi="Times New Roman"/>
          <w:sz w:val="20"/>
          <w:szCs w:val="20"/>
          <w:lang w:val="es-ES"/>
        </w:rPr>
      </w:pPr>
    </w:p>
    <w:p w:rsidR="00934818" w:rsidRPr="00934818" w:rsidRDefault="00934818" w:rsidP="00934818">
      <w:pPr>
        <w:numPr>
          <w:ilvl w:val="1"/>
          <w:numId w:val="7"/>
        </w:numPr>
        <w:tabs>
          <w:tab w:val="left" w:pos="720"/>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Precio o coste de adquisición factor de producción x/precio medio del factor x en el mercado.</w:t>
      </w:r>
    </w:p>
    <w:p w:rsidR="00934818" w:rsidRPr="00934818" w:rsidRDefault="00934818" w:rsidP="00934818">
      <w:pPr>
        <w:tabs>
          <w:tab w:val="left" w:pos="720"/>
        </w:tabs>
        <w:spacing w:before="0" w:after="0" w:line="240" w:lineRule="auto"/>
        <w:ind w:left="1800"/>
        <w:rPr>
          <w:rFonts w:ascii="Times New Roman" w:hAnsi="Times New Roman"/>
          <w:sz w:val="20"/>
          <w:szCs w:val="20"/>
          <w:lang w:val="es-ES"/>
        </w:rPr>
      </w:pPr>
    </w:p>
    <w:p w:rsidR="00934818" w:rsidRPr="00934818" w:rsidRDefault="00934818" w:rsidP="00934818">
      <w:pPr>
        <w:numPr>
          <w:ilvl w:val="0"/>
          <w:numId w:val="7"/>
        </w:numPr>
        <w:tabs>
          <w:tab w:val="left" w:pos="720"/>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Medios de producción (apartado quincuagésimo primero a quincuagésimo segundo)</w:t>
      </w:r>
    </w:p>
    <w:p w:rsidR="00934818" w:rsidRPr="00934818" w:rsidRDefault="00934818" w:rsidP="00934818">
      <w:pPr>
        <w:tabs>
          <w:tab w:val="left" w:pos="720"/>
        </w:tabs>
        <w:spacing w:before="0" w:after="0" w:line="240" w:lineRule="auto"/>
        <w:ind w:left="1080"/>
        <w:rPr>
          <w:rFonts w:ascii="Times New Roman" w:hAnsi="Times New Roman"/>
          <w:sz w:val="20"/>
          <w:szCs w:val="20"/>
          <w:lang w:val="es-ES"/>
        </w:rPr>
      </w:pPr>
    </w:p>
    <w:p w:rsidR="00934818" w:rsidRPr="00934818" w:rsidRDefault="00934818" w:rsidP="00934818">
      <w:pPr>
        <w:numPr>
          <w:ilvl w:val="1"/>
          <w:numId w:val="7"/>
        </w:numPr>
        <w:tabs>
          <w:tab w:val="left" w:pos="720"/>
        </w:tabs>
        <w:spacing w:before="0" w:after="0" w:line="240" w:lineRule="auto"/>
        <w:rPr>
          <w:rFonts w:ascii="Times New Roman" w:hAnsi="Times New Roman"/>
          <w:sz w:val="20"/>
          <w:szCs w:val="20"/>
          <w:lang w:val="es-ES"/>
        </w:rPr>
      </w:pPr>
      <w:r w:rsidRPr="00934818">
        <w:rPr>
          <w:rFonts w:ascii="Times New Roman" w:hAnsi="Times New Roman"/>
          <w:sz w:val="20"/>
          <w:szCs w:val="20"/>
          <w:lang w:val="es-ES"/>
        </w:rPr>
        <w:t>Coste de personal/Número de personas equivalentes.</w:t>
      </w:r>
    </w:p>
    <w:p w:rsidR="00934818" w:rsidRPr="00934818" w:rsidRDefault="00934818" w:rsidP="00934818">
      <w:pPr>
        <w:spacing w:before="0" w:after="0" w:line="240" w:lineRule="auto"/>
        <w:rPr>
          <w:rFonts w:ascii="Times New Roman" w:hAnsi="Times New Roman"/>
          <w:sz w:val="20"/>
          <w:szCs w:val="20"/>
          <w:lang w:val="es-ES"/>
        </w:rPr>
      </w:pPr>
    </w:p>
    <w:p w:rsidR="00934818" w:rsidRPr="0059158A" w:rsidRDefault="00934818" w:rsidP="00934818">
      <w:pPr>
        <w:spacing w:before="0" w:after="0" w:line="240" w:lineRule="auto"/>
        <w:rPr>
          <w:rFonts w:ascii="Times New Roman" w:hAnsi="Times New Roman"/>
          <w:b/>
          <w:sz w:val="20"/>
          <w:szCs w:val="20"/>
          <w:lang w:val="es-ES"/>
        </w:rPr>
      </w:pPr>
      <w:r w:rsidRPr="0059158A">
        <w:rPr>
          <w:rFonts w:ascii="Times New Roman" w:hAnsi="Times New Roman"/>
          <w:b/>
          <w:sz w:val="20"/>
          <w:szCs w:val="20"/>
          <w:lang w:val="es-ES"/>
        </w:rPr>
        <w:t xml:space="preserve">3. </w:t>
      </w:r>
      <w:r w:rsidR="00D504E2">
        <w:rPr>
          <w:rFonts w:ascii="Times New Roman" w:hAnsi="Times New Roman"/>
          <w:b/>
          <w:sz w:val="20"/>
          <w:szCs w:val="20"/>
          <w:lang w:val="es-ES"/>
        </w:rPr>
        <w:t xml:space="preserve">REFLEXIONES EN TORNO A LA FORMULACIÓN DE UN MODELO DE CONTABILIDAD ANALÍTICA CONSOLIDADO PARA </w:t>
      </w:r>
      <w:r w:rsidRPr="0059158A">
        <w:rPr>
          <w:rFonts w:ascii="Times New Roman" w:hAnsi="Times New Roman"/>
          <w:b/>
          <w:sz w:val="20"/>
          <w:szCs w:val="20"/>
          <w:lang w:val="es-ES"/>
        </w:rPr>
        <w:t>EL CONGLOMERADO LOCAL</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 xml:space="preserve">De acuerdo a lo anteriormente señalado, la premisa fundamental que debe presidir </w:t>
      </w:r>
      <w:r w:rsidR="00D504E2">
        <w:rPr>
          <w:rFonts w:ascii="Times New Roman" w:hAnsi="Times New Roman"/>
          <w:sz w:val="20"/>
          <w:szCs w:val="24"/>
          <w:lang w:val="es-ES"/>
        </w:rPr>
        <w:t>la formulación de procedimientos contables y</w:t>
      </w:r>
      <w:r w:rsidR="00E6115F">
        <w:rPr>
          <w:rFonts w:ascii="Times New Roman" w:hAnsi="Times New Roman"/>
          <w:sz w:val="20"/>
          <w:szCs w:val="24"/>
          <w:lang w:val="es-ES"/>
        </w:rPr>
        <w:t xml:space="preserve"> </w:t>
      </w:r>
      <w:r w:rsidRPr="00934818">
        <w:rPr>
          <w:rFonts w:ascii="Times New Roman" w:hAnsi="Times New Roman"/>
          <w:sz w:val="20"/>
          <w:szCs w:val="24"/>
          <w:lang w:val="es-ES"/>
        </w:rPr>
        <w:t>desarrollo</w:t>
      </w:r>
      <w:r w:rsidR="00D504E2">
        <w:rPr>
          <w:rFonts w:ascii="Times New Roman" w:hAnsi="Times New Roman"/>
          <w:sz w:val="20"/>
          <w:szCs w:val="24"/>
          <w:lang w:val="es-ES"/>
        </w:rPr>
        <w:t>s tecnológicos</w:t>
      </w:r>
      <w:r w:rsidRPr="00934818">
        <w:rPr>
          <w:rFonts w:ascii="Times New Roman" w:hAnsi="Times New Roman"/>
          <w:sz w:val="20"/>
          <w:szCs w:val="24"/>
          <w:lang w:val="es-ES"/>
        </w:rPr>
        <w:t xml:space="preserve"> </w:t>
      </w:r>
      <w:r w:rsidR="00E6115F">
        <w:rPr>
          <w:rFonts w:ascii="Times New Roman" w:hAnsi="Times New Roman"/>
          <w:sz w:val="20"/>
          <w:szCs w:val="24"/>
          <w:lang w:val="es-ES"/>
        </w:rPr>
        <w:t>de contabilidad analítica</w:t>
      </w:r>
      <w:r w:rsidRPr="00934818">
        <w:rPr>
          <w:rFonts w:ascii="Times New Roman" w:hAnsi="Times New Roman"/>
          <w:sz w:val="20"/>
          <w:szCs w:val="24"/>
          <w:lang w:val="es-ES"/>
        </w:rPr>
        <w:t xml:space="preserve"> es dotar a los Entes Locales de una potente herramienta que permita dar soporte al proceso de consolidación de los costes del conglomerado local de la forma más </w:t>
      </w:r>
      <w:r w:rsidR="00D504E2">
        <w:rPr>
          <w:rFonts w:ascii="Times New Roman" w:hAnsi="Times New Roman"/>
          <w:sz w:val="20"/>
          <w:szCs w:val="24"/>
          <w:lang w:val="es-ES"/>
        </w:rPr>
        <w:t xml:space="preserve">precisa y </w:t>
      </w:r>
      <w:r w:rsidRPr="00934818">
        <w:rPr>
          <w:rFonts w:ascii="Times New Roman" w:hAnsi="Times New Roman"/>
          <w:sz w:val="20"/>
          <w:szCs w:val="24"/>
          <w:lang w:val="es-ES"/>
        </w:rPr>
        <w:t>automática posible</w:t>
      </w:r>
      <w:r w:rsidR="00D504E2">
        <w:rPr>
          <w:rFonts w:ascii="Times New Roman" w:hAnsi="Times New Roman"/>
          <w:sz w:val="20"/>
          <w:szCs w:val="24"/>
          <w:lang w:val="es-ES"/>
        </w:rPr>
        <w:t>, que permita mantener la relevancia y fiabilidad de la información que reporta y el carácter coste-efectivo de su implantación</w:t>
      </w:r>
      <w:r w:rsidRPr="00934818">
        <w:rPr>
          <w:rFonts w:ascii="Times New Roman" w:hAnsi="Times New Roman"/>
          <w:sz w:val="20"/>
          <w:szCs w:val="24"/>
          <w:lang w:val="es-ES"/>
        </w:rPr>
        <w:t>.</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Como ya se ha indicado, el modelo consolidado es un modelo complementario e independiente al modelo que permite llevar a cabo la rendición de cuentas individuales del Ente Principal y de los diferentes Organismos Públicos, Empresas Públicas u otras organizaciones que integren el perímetro de consolidación. Ello implica que éstas deben continuar publicando sus estados contables individuales y que hay que desarrollar un modelo complementario que lance un nuevo cálculo para sus estructuras consolidadas.</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 xml:space="preserve">Para realizar este proceso, debe dotarse a la aplicación </w:t>
      </w:r>
      <w:r w:rsidR="00E6115F">
        <w:rPr>
          <w:rFonts w:ascii="Times New Roman" w:hAnsi="Times New Roman"/>
          <w:sz w:val="20"/>
          <w:szCs w:val="24"/>
          <w:lang w:val="es-ES"/>
        </w:rPr>
        <w:t xml:space="preserve">informática </w:t>
      </w:r>
      <w:r w:rsidRPr="00934818">
        <w:rPr>
          <w:rFonts w:ascii="Times New Roman" w:hAnsi="Times New Roman"/>
          <w:sz w:val="20"/>
          <w:szCs w:val="24"/>
          <w:lang w:val="es-ES"/>
        </w:rPr>
        <w:t xml:space="preserve">de funcionalidades para automatizar al máximo este proceso, generando las estructuras del modelo de manera automática y trasladando al mismo las bases y criterios de reparto ya </w:t>
      </w:r>
      <w:r w:rsidR="00E6115F">
        <w:rPr>
          <w:rFonts w:ascii="Times New Roman" w:hAnsi="Times New Roman"/>
          <w:sz w:val="20"/>
          <w:szCs w:val="24"/>
          <w:lang w:val="es-ES"/>
        </w:rPr>
        <w:t xml:space="preserve">definidos e </w:t>
      </w:r>
      <w:r w:rsidRPr="00934818">
        <w:rPr>
          <w:rFonts w:ascii="Times New Roman" w:hAnsi="Times New Roman"/>
          <w:sz w:val="20"/>
          <w:szCs w:val="24"/>
          <w:lang w:val="es-ES"/>
        </w:rPr>
        <w:t>incluidos para los Entes individuales.</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lastRenderedPageBreak/>
        <w:t xml:space="preserve">Ello implica que durante el </w:t>
      </w:r>
      <w:r w:rsidR="00E6115F">
        <w:rPr>
          <w:rFonts w:ascii="Times New Roman" w:hAnsi="Times New Roman"/>
          <w:sz w:val="20"/>
          <w:szCs w:val="24"/>
          <w:lang w:val="es-ES"/>
        </w:rPr>
        <w:t xml:space="preserve">propio </w:t>
      </w:r>
      <w:r w:rsidRPr="00934818">
        <w:rPr>
          <w:rFonts w:ascii="Times New Roman" w:hAnsi="Times New Roman"/>
          <w:sz w:val="20"/>
          <w:szCs w:val="24"/>
          <w:lang w:val="es-ES"/>
        </w:rPr>
        <w:t>proceso de diseño de los modelos individuales es preciso construir sus estructuras teniendo en cuanta la transversalidad de los servicios prestados entre Entes para facilitar la definición de las estructuras consolidadas.</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 xml:space="preserve">Además, resulta preciso arbitrar funcionalidades </w:t>
      </w:r>
      <w:r w:rsidR="00E6115F">
        <w:rPr>
          <w:rFonts w:ascii="Times New Roman" w:hAnsi="Times New Roman"/>
          <w:sz w:val="20"/>
          <w:szCs w:val="24"/>
          <w:lang w:val="es-ES"/>
        </w:rPr>
        <w:t xml:space="preserve">específicas </w:t>
      </w:r>
      <w:r w:rsidRPr="00934818">
        <w:rPr>
          <w:rFonts w:ascii="Times New Roman" w:hAnsi="Times New Roman"/>
          <w:sz w:val="20"/>
          <w:szCs w:val="24"/>
          <w:lang w:val="es-ES"/>
        </w:rPr>
        <w:t xml:space="preserve">para la incorporación de la información sobre costes de </w:t>
      </w:r>
      <w:r w:rsidR="00E6115F">
        <w:rPr>
          <w:rFonts w:ascii="Times New Roman" w:hAnsi="Times New Roman"/>
          <w:sz w:val="20"/>
          <w:szCs w:val="24"/>
          <w:lang w:val="es-ES"/>
        </w:rPr>
        <w:t xml:space="preserve">O.O.A.A., </w:t>
      </w:r>
      <w:r w:rsidRPr="00934818">
        <w:rPr>
          <w:rFonts w:ascii="Times New Roman" w:hAnsi="Times New Roman"/>
          <w:sz w:val="20"/>
          <w:szCs w:val="24"/>
          <w:lang w:val="es-ES"/>
        </w:rPr>
        <w:t>Empresas Públicas u otras entidades que no esté</w:t>
      </w:r>
      <w:r w:rsidR="00E6115F">
        <w:rPr>
          <w:rFonts w:ascii="Times New Roman" w:hAnsi="Times New Roman"/>
          <w:sz w:val="20"/>
          <w:szCs w:val="24"/>
          <w:lang w:val="es-ES"/>
        </w:rPr>
        <w:t>n</w:t>
      </w:r>
      <w:r w:rsidRPr="00934818">
        <w:rPr>
          <w:rFonts w:ascii="Times New Roman" w:hAnsi="Times New Roman"/>
          <w:sz w:val="20"/>
          <w:szCs w:val="24"/>
          <w:lang w:val="es-ES"/>
        </w:rPr>
        <w:t xml:space="preserve"> incluidas en la</w:t>
      </w:r>
      <w:r w:rsidR="00E6115F">
        <w:rPr>
          <w:rFonts w:ascii="Times New Roman" w:hAnsi="Times New Roman"/>
          <w:sz w:val="20"/>
          <w:szCs w:val="24"/>
          <w:lang w:val="es-ES"/>
        </w:rPr>
        <w:t>s</w:t>
      </w:r>
      <w:r w:rsidRPr="00934818">
        <w:rPr>
          <w:rFonts w:ascii="Times New Roman" w:hAnsi="Times New Roman"/>
          <w:sz w:val="20"/>
          <w:szCs w:val="24"/>
          <w:lang w:val="es-ES"/>
        </w:rPr>
        <w:t xml:space="preserve"> base</w:t>
      </w:r>
      <w:r w:rsidR="00E6115F">
        <w:rPr>
          <w:rFonts w:ascii="Times New Roman" w:hAnsi="Times New Roman"/>
          <w:sz w:val="20"/>
          <w:szCs w:val="24"/>
          <w:lang w:val="es-ES"/>
        </w:rPr>
        <w:t>s</w:t>
      </w:r>
      <w:r w:rsidRPr="00934818">
        <w:rPr>
          <w:rFonts w:ascii="Times New Roman" w:hAnsi="Times New Roman"/>
          <w:sz w:val="20"/>
          <w:szCs w:val="24"/>
          <w:lang w:val="es-ES"/>
        </w:rPr>
        <w:t xml:space="preserve"> de datos de la herramienta de contabilidad analítica </w:t>
      </w:r>
      <w:r w:rsidR="00E6115F">
        <w:rPr>
          <w:rFonts w:ascii="Times New Roman" w:hAnsi="Times New Roman"/>
          <w:sz w:val="20"/>
          <w:szCs w:val="24"/>
          <w:lang w:val="es-ES"/>
        </w:rPr>
        <w:t>que estuviera implantada en el Ente Local y sobre la que se</w:t>
      </w:r>
      <w:r w:rsidRPr="00934818">
        <w:rPr>
          <w:rFonts w:ascii="Times New Roman" w:hAnsi="Times New Roman"/>
          <w:sz w:val="20"/>
          <w:szCs w:val="24"/>
          <w:lang w:val="es-ES"/>
        </w:rPr>
        <w:t xml:space="preserve"> h</w:t>
      </w:r>
      <w:r w:rsidR="00E6115F">
        <w:rPr>
          <w:rFonts w:ascii="Times New Roman" w:hAnsi="Times New Roman"/>
          <w:sz w:val="20"/>
          <w:szCs w:val="24"/>
          <w:lang w:val="es-ES"/>
        </w:rPr>
        <w:t>ubiese realizado el cálculo de costes</w:t>
      </w:r>
      <w:r w:rsidRPr="00934818">
        <w:rPr>
          <w:rFonts w:ascii="Times New Roman" w:hAnsi="Times New Roman"/>
          <w:sz w:val="20"/>
          <w:szCs w:val="24"/>
          <w:lang w:val="es-ES"/>
        </w:rPr>
        <w:t>.</w:t>
      </w:r>
    </w:p>
    <w:p w:rsidR="00934818" w:rsidRPr="00934818" w:rsidRDefault="00934818" w:rsidP="00934818">
      <w:pPr>
        <w:spacing w:before="0" w:after="0" w:line="240" w:lineRule="auto"/>
        <w:rPr>
          <w:rFonts w:ascii="Times New Roman" w:hAnsi="Times New Roman"/>
          <w:sz w:val="20"/>
          <w:szCs w:val="24"/>
          <w:lang w:val="es-ES"/>
        </w:rPr>
      </w:pPr>
    </w:p>
    <w:p w:rsidR="00E6115F" w:rsidRDefault="00E6115F" w:rsidP="00934818">
      <w:pPr>
        <w:spacing w:before="0" w:after="0" w:line="240" w:lineRule="auto"/>
        <w:rPr>
          <w:rFonts w:ascii="Times New Roman" w:hAnsi="Times New Roman"/>
          <w:sz w:val="20"/>
          <w:szCs w:val="24"/>
          <w:lang w:val="es-ES"/>
        </w:rPr>
      </w:pPr>
      <w:r>
        <w:rPr>
          <w:rFonts w:ascii="Times New Roman" w:hAnsi="Times New Roman"/>
          <w:sz w:val="20"/>
          <w:szCs w:val="24"/>
          <w:lang w:val="es-ES"/>
        </w:rPr>
        <w:t>Es decir, a</w:t>
      </w:r>
      <w:r w:rsidR="00934818" w:rsidRPr="00934818">
        <w:rPr>
          <w:rFonts w:ascii="Times New Roman" w:hAnsi="Times New Roman"/>
          <w:sz w:val="20"/>
          <w:szCs w:val="24"/>
          <w:lang w:val="es-ES"/>
        </w:rPr>
        <w:t xml:space="preserve"> este respecto, </w:t>
      </w:r>
      <w:r>
        <w:rPr>
          <w:rFonts w:ascii="Times New Roman" w:hAnsi="Times New Roman"/>
          <w:sz w:val="20"/>
          <w:szCs w:val="24"/>
          <w:lang w:val="es-ES"/>
        </w:rPr>
        <w:t>los Entes Locales que hayan implantado su contabilidad analítica</w:t>
      </w:r>
      <w:r w:rsidR="00934818" w:rsidRPr="00934818">
        <w:rPr>
          <w:rFonts w:ascii="Times New Roman" w:hAnsi="Times New Roman"/>
          <w:sz w:val="20"/>
          <w:szCs w:val="24"/>
          <w:lang w:val="es-ES"/>
        </w:rPr>
        <w:t xml:space="preserve"> </w:t>
      </w:r>
      <w:r>
        <w:rPr>
          <w:rFonts w:ascii="Times New Roman" w:hAnsi="Times New Roman"/>
          <w:sz w:val="20"/>
          <w:szCs w:val="24"/>
          <w:lang w:val="es-ES"/>
        </w:rPr>
        <w:t>podrán enfrentarse a diferentes escenarios:</w:t>
      </w:r>
    </w:p>
    <w:p w:rsidR="00E6115F" w:rsidRDefault="00E6115F" w:rsidP="00934818">
      <w:pPr>
        <w:spacing w:before="0" w:after="0" w:line="240" w:lineRule="auto"/>
        <w:rPr>
          <w:rFonts w:ascii="Times New Roman" w:hAnsi="Times New Roman"/>
          <w:sz w:val="20"/>
          <w:szCs w:val="24"/>
          <w:lang w:val="es-ES"/>
        </w:rPr>
      </w:pPr>
    </w:p>
    <w:p w:rsidR="00E6115F" w:rsidRDefault="00E6115F" w:rsidP="00E6115F">
      <w:pPr>
        <w:pStyle w:val="Prrafodelista"/>
        <w:numPr>
          <w:ilvl w:val="0"/>
          <w:numId w:val="4"/>
        </w:numPr>
        <w:rPr>
          <w:rFonts w:ascii="Times New Roman" w:hAnsi="Times New Roman"/>
          <w:sz w:val="20"/>
        </w:rPr>
      </w:pPr>
      <w:r>
        <w:rPr>
          <w:rFonts w:ascii="Times New Roman" w:hAnsi="Times New Roman"/>
          <w:sz w:val="20"/>
        </w:rPr>
        <w:t>D</w:t>
      </w:r>
      <w:r w:rsidRPr="00E6115F">
        <w:rPr>
          <w:rFonts w:ascii="Times New Roman" w:hAnsi="Times New Roman"/>
          <w:sz w:val="20"/>
        </w:rPr>
        <w:t>ispon</w:t>
      </w:r>
      <w:r>
        <w:rPr>
          <w:rFonts w:ascii="Times New Roman" w:hAnsi="Times New Roman"/>
          <w:sz w:val="20"/>
        </w:rPr>
        <w:t>er</w:t>
      </w:r>
      <w:r w:rsidRPr="00E6115F">
        <w:rPr>
          <w:rFonts w:ascii="Times New Roman" w:hAnsi="Times New Roman"/>
          <w:sz w:val="20"/>
        </w:rPr>
        <w:t xml:space="preserve"> de</w:t>
      </w:r>
      <w:r w:rsidR="00934818" w:rsidRPr="00E6115F">
        <w:rPr>
          <w:rFonts w:ascii="Times New Roman" w:hAnsi="Times New Roman"/>
          <w:sz w:val="20"/>
        </w:rPr>
        <w:t xml:space="preserve"> </w:t>
      </w:r>
      <w:r>
        <w:rPr>
          <w:rFonts w:ascii="Times New Roman" w:hAnsi="Times New Roman"/>
          <w:sz w:val="20"/>
        </w:rPr>
        <w:t xml:space="preserve">la </w:t>
      </w:r>
      <w:r w:rsidR="00934818" w:rsidRPr="00E6115F">
        <w:rPr>
          <w:rFonts w:ascii="Times New Roman" w:hAnsi="Times New Roman"/>
          <w:sz w:val="20"/>
        </w:rPr>
        <w:t xml:space="preserve">información </w:t>
      </w:r>
      <w:r>
        <w:rPr>
          <w:rFonts w:ascii="Times New Roman" w:hAnsi="Times New Roman"/>
          <w:sz w:val="20"/>
        </w:rPr>
        <w:t>del modelo en una única base de datos procesable desde</w:t>
      </w:r>
      <w:r w:rsidRPr="00E6115F">
        <w:rPr>
          <w:rFonts w:ascii="Times New Roman" w:hAnsi="Times New Roman"/>
          <w:sz w:val="20"/>
        </w:rPr>
        <w:t xml:space="preserve"> su herramienta de contabilidad analítica (Ente Principal y sus O.O.A.A. dependientes)</w:t>
      </w:r>
      <w:r>
        <w:rPr>
          <w:rFonts w:ascii="Times New Roman" w:hAnsi="Times New Roman"/>
          <w:sz w:val="20"/>
        </w:rPr>
        <w:t>.</w:t>
      </w:r>
    </w:p>
    <w:p w:rsidR="00E6115F" w:rsidRDefault="00E6115F" w:rsidP="00E6115F">
      <w:pPr>
        <w:pStyle w:val="Prrafodelista"/>
        <w:ind w:left="720"/>
        <w:rPr>
          <w:rFonts w:ascii="Times New Roman" w:hAnsi="Times New Roman"/>
          <w:sz w:val="20"/>
        </w:rPr>
      </w:pPr>
    </w:p>
    <w:p w:rsidR="00E6115F" w:rsidRDefault="006F18CF" w:rsidP="00E6115F">
      <w:pPr>
        <w:pStyle w:val="Prrafodelista"/>
        <w:numPr>
          <w:ilvl w:val="0"/>
          <w:numId w:val="4"/>
        </w:numPr>
        <w:rPr>
          <w:rFonts w:ascii="Times New Roman" w:hAnsi="Times New Roman"/>
          <w:sz w:val="20"/>
        </w:rPr>
      </w:pPr>
      <w:r>
        <w:rPr>
          <w:rFonts w:ascii="Times New Roman" w:hAnsi="Times New Roman"/>
          <w:sz w:val="20"/>
        </w:rPr>
        <w:t>Utilizar herramientas diferentes para soportar los</w:t>
      </w:r>
      <w:r w:rsidR="00E6115F">
        <w:rPr>
          <w:rFonts w:ascii="Times New Roman" w:hAnsi="Times New Roman"/>
          <w:sz w:val="20"/>
        </w:rPr>
        <w:t xml:space="preserve"> modelos contables independientes </w:t>
      </w:r>
      <w:r>
        <w:rPr>
          <w:rFonts w:ascii="Times New Roman" w:hAnsi="Times New Roman"/>
          <w:sz w:val="20"/>
        </w:rPr>
        <w:t>del</w:t>
      </w:r>
      <w:r w:rsidR="00E6115F">
        <w:rPr>
          <w:rFonts w:ascii="Times New Roman" w:hAnsi="Times New Roman"/>
          <w:sz w:val="20"/>
        </w:rPr>
        <w:t xml:space="preserve"> Ente Principal y los O.O.A.A. en bases de datos individualizadas.</w:t>
      </w:r>
    </w:p>
    <w:p w:rsidR="006F18CF" w:rsidRDefault="006F18CF" w:rsidP="006F18CF">
      <w:pPr>
        <w:spacing w:before="0" w:after="0" w:line="240" w:lineRule="auto"/>
        <w:rPr>
          <w:rFonts w:ascii="Times New Roman" w:hAnsi="Times New Roman"/>
          <w:sz w:val="20"/>
          <w:szCs w:val="24"/>
          <w:lang w:val="es-ES"/>
        </w:rPr>
      </w:pPr>
      <w:r w:rsidRPr="006F18CF">
        <w:rPr>
          <w:rFonts w:ascii="Times New Roman" w:hAnsi="Times New Roman"/>
          <w:sz w:val="20"/>
          <w:szCs w:val="24"/>
          <w:lang w:val="es-ES"/>
        </w:rPr>
        <w:t>De esta forma, en el segundo caso, sería preciso que la herramienta de contabilidad analítica del Ente Principal permitiese la importación de las estructuras y datos monetarios y no monetarios de tales entes dependientes para la formulación del modelo consolidado del Conglomerado Local.</w:t>
      </w:r>
    </w:p>
    <w:p w:rsidR="006F18CF" w:rsidRPr="006F18CF" w:rsidRDefault="006F18CF" w:rsidP="006F18CF">
      <w:pPr>
        <w:spacing w:before="0" w:after="0" w:line="240" w:lineRule="auto"/>
        <w:rPr>
          <w:rFonts w:ascii="Times New Roman" w:hAnsi="Times New Roman"/>
          <w:sz w:val="20"/>
          <w:szCs w:val="24"/>
          <w:lang w:val="es-ES"/>
        </w:rPr>
      </w:pPr>
    </w:p>
    <w:p w:rsidR="006F18CF" w:rsidRPr="006F18CF" w:rsidRDefault="006F18CF" w:rsidP="006F18CF">
      <w:pPr>
        <w:spacing w:before="0" w:after="0" w:line="240" w:lineRule="auto"/>
        <w:rPr>
          <w:rFonts w:ascii="Times New Roman" w:hAnsi="Times New Roman"/>
          <w:sz w:val="20"/>
          <w:szCs w:val="24"/>
          <w:lang w:val="es-ES"/>
        </w:rPr>
      </w:pPr>
      <w:r w:rsidRPr="006F18CF">
        <w:rPr>
          <w:rFonts w:ascii="Times New Roman" w:hAnsi="Times New Roman"/>
          <w:sz w:val="20"/>
          <w:szCs w:val="24"/>
          <w:lang w:val="es-ES"/>
        </w:rPr>
        <w:t>En cualquier caso, pueden existir otras organizaciones no incluidas en sus bases de datos por aplicar modelos contables diferentes y no homogéneos (Empresas Públicas y otras entidades) para los que, en ningùn caso se dispondría de más información que la introducida en el modelo mediante las funcionalidades anteriormente descritas.</w:t>
      </w:r>
    </w:p>
    <w:p w:rsidR="006F18CF" w:rsidRDefault="006F18CF" w:rsidP="006F18CF">
      <w:pPr>
        <w:spacing w:before="0" w:after="0" w:line="240" w:lineRule="auto"/>
        <w:rPr>
          <w:rFonts w:ascii="Times New Roman" w:hAnsi="Times New Roman"/>
          <w:sz w:val="20"/>
          <w:szCs w:val="24"/>
          <w:lang w:val="es-ES"/>
        </w:rPr>
      </w:pPr>
    </w:p>
    <w:p w:rsidR="006F18CF" w:rsidRDefault="006F18CF" w:rsidP="006F18CF">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Por ello, sería preciso incluir, con el nivel de detalle que se determine, la información sobre coste de tales entidades que se vaya a incorporar en el modelo consolidado (con su detalle por estructuras –elementos, centros, actividades, …</w:t>
      </w:r>
      <w:proofErr w:type="gramStart"/>
      <w:r w:rsidRPr="00934818">
        <w:rPr>
          <w:rFonts w:ascii="Times New Roman" w:hAnsi="Times New Roman"/>
          <w:sz w:val="20"/>
          <w:szCs w:val="24"/>
          <w:lang w:val="es-ES"/>
        </w:rPr>
        <w:t>.)</w:t>
      </w:r>
      <w:proofErr w:type="gramEnd"/>
      <w:r w:rsidRPr="00934818">
        <w:rPr>
          <w:rFonts w:ascii="Times New Roman" w:hAnsi="Times New Roman"/>
          <w:sz w:val="20"/>
          <w:szCs w:val="24"/>
          <w:lang w:val="es-ES"/>
        </w:rPr>
        <w:t xml:space="preserve"> de forma que en el modelo consolidado no se lleve cabo cálculo alguno más que su inclusión para el reparto de los costes generales o funcionales DAG del Ente Principal</w:t>
      </w:r>
      <w:r>
        <w:rPr>
          <w:rFonts w:ascii="Times New Roman" w:hAnsi="Times New Roman"/>
          <w:sz w:val="20"/>
          <w:szCs w:val="24"/>
          <w:lang w:val="es-ES"/>
        </w:rPr>
        <w:t>.</w:t>
      </w:r>
    </w:p>
    <w:p w:rsidR="006F18CF" w:rsidRDefault="006F18CF" w:rsidP="006F18CF">
      <w:pPr>
        <w:spacing w:before="0" w:after="0" w:line="240" w:lineRule="auto"/>
        <w:rPr>
          <w:rFonts w:ascii="Times New Roman" w:hAnsi="Times New Roman"/>
          <w:sz w:val="20"/>
          <w:szCs w:val="24"/>
          <w:lang w:val="es-ES"/>
        </w:rPr>
      </w:pPr>
    </w:p>
    <w:p w:rsidR="006F18CF" w:rsidRDefault="006F18CF" w:rsidP="006F18CF">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Para ello, resulta necesario incluir como etiqueta de la información de dicho Ente, el área o áreas con las que se vincula en el Ente Principal, a efectos de considerarlo para la generación del mapa de procesos de tales áreas en el modelo consolidado y, por tanto, del reparto de los costes asociados a éstas</w:t>
      </w:r>
      <w:r>
        <w:rPr>
          <w:rFonts w:ascii="Times New Roman" w:hAnsi="Times New Roman"/>
          <w:sz w:val="20"/>
          <w:szCs w:val="24"/>
          <w:lang w:val="es-ES"/>
        </w:rPr>
        <w:t>.</w:t>
      </w:r>
    </w:p>
    <w:p w:rsidR="006F18CF" w:rsidRPr="006F18CF" w:rsidRDefault="006F18CF" w:rsidP="006F18CF">
      <w:pPr>
        <w:spacing w:before="0" w:after="0" w:line="240" w:lineRule="auto"/>
        <w:rPr>
          <w:rFonts w:ascii="Times New Roman" w:hAnsi="Times New Roman"/>
          <w:sz w:val="20"/>
          <w:szCs w:val="24"/>
          <w:lang w:val="es-ES"/>
        </w:rPr>
      </w:pPr>
    </w:p>
    <w:p w:rsidR="00E6115F" w:rsidRDefault="006F18CF" w:rsidP="006F18CF">
      <w:pPr>
        <w:spacing w:before="0" w:after="0" w:line="240" w:lineRule="auto"/>
        <w:rPr>
          <w:rFonts w:ascii="Times New Roman" w:hAnsi="Times New Roman"/>
          <w:sz w:val="20"/>
          <w:szCs w:val="24"/>
          <w:lang w:val="es-ES"/>
        </w:rPr>
      </w:pPr>
      <w:r w:rsidRPr="006F18CF">
        <w:rPr>
          <w:rFonts w:ascii="Times New Roman" w:hAnsi="Times New Roman"/>
          <w:sz w:val="20"/>
          <w:szCs w:val="24"/>
          <w:lang w:val="es-ES"/>
        </w:rPr>
        <w:t xml:space="preserve">Una vez superada la integración de los datos en una única base de datos que de soporte al modelo consolidado, será posible </w:t>
      </w:r>
      <w:r w:rsidR="00934818" w:rsidRPr="006F18CF">
        <w:rPr>
          <w:rFonts w:ascii="Times New Roman" w:hAnsi="Times New Roman"/>
          <w:sz w:val="20"/>
          <w:szCs w:val="24"/>
          <w:lang w:val="es-ES"/>
        </w:rPr>
        <w:t xml:space="preserve">realizar los cálculos e imputaciones de coste </w:t>
      </w:r>
      <w:r w:rsidRPr="006F18CF">
        <w:rPr>
          <w:rFonts w:ascii="Times New Roman" w:hAnsi="Times New Roman"/>
          <w:sz w:val="20"/>
          <w:szCs w:val="24"/>
          <w:lang w:val="es-ES"/>
        </w:rPr>
        <w:t>de dicho modelo a partir de la</w:t>
      </w:r>
      <w:r w:rsidR="00934818" w:rsidRPr="006F18CF">
        <w:rPr>
          <w:rFonts w:ascii="Times New Roman" w:hAnsi="Times New Roman"/>
          <w:sz w:val="20"/>
          <w:szCs w:val="24"/>
          <w:lang w:val="es-ES"/>
        </w:rPr>
        <w:t>s bases, mapas y criterios incluidos en la aplicación</w:t>
      </w:r>
      <w:r w:rsidR="00E6115F" w:rsidRPr="006F18CF">
        <w:rPr>
          <w:rFonts w:ascii="Times New Roman" w:hAnsi="Times New Roman"/>
          <w:sz w:val="20"/>
          <w:szCs w:val="24"/>
          <w:lang w:val="es-ES"/>
        </w:rPr>
        <w:t>.</w:t>
      </w:r>
    </w:p>
    <w:p w:rsidR="006F18CF" w:rsidRPr="006F18CF" w:rsidRDefault="006F18CF" w:rsidP="006F18CF">
      <w:pPr>
        <w:spacing w:before="0" w:after="0" w:line="240" w:lineRule="auto"/>
        <w:rPr>
          <w:rFonts w:ascii="Times New Roman" w:hAnsi="Times New Roman"/>
          <w:sz w:val="20"/>
          <w:szCs w:val="24"/>
          <w:lang w:val="es-ES"/>
        </w:rPr>
      </w:pPr>
    </w:p>
    <w:p w:rsidR="006F18CF" w:rsidRDefault="00934818" w:rsidP="006F18CF">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Finalmente, será preciso configurar en la herramienta, trabajando en el modelo consolidado, el mapa de procesos resultante de la configuración de las estructuras consolidadas.</w:t>
      </w:r>
    </w:p>
    <w:p w:rsidR="006F18CF" w:rsidRDefault="006F18CF" w:rsidP="006F18CF">
      <w:pPr>
        <w:spacing w:before="0" w:after="0" w:line="240" w:lineRule="auto"/>
        <w:rPr>
          <w:rFonts w:ascii="Times New Roman" w:hAnsi="Times New Roman"/>
          <w:sz w:val="20"/>
          <w:szCs w:val="24"/>
          <w:lang w:val="es-ES"/>
        </w:rPr>
      </w:pPr>
    </w:p>
    <w:p w:rsidR="00934818" w:rsidRPr="00934818" w:rsidRDefault="00934818" w:rsidP="006F18CF">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Entendemos que este proceso también debe ser automatizado en la mayor medida posible mediante la creación de etiquetas específicas en la herramienta que permitan identificar, en la mayor medida posible, las relaciones entre Entes desde la propia configuración de los modelos de contabilidad analítica individuales.</w:t>
      </w:r>
    </w:p>
    <w:p w:rsidR="00934818" w:rsidRPr="00934818" w:rsidRDefault="00934818" w:rsidP="006F18CF">
      <w:pPr>
        <w:spacing w:before="0" w:after="0" w:line="240" w:lineRule="auto"/>
        <w:rPr>
          <w:rFonts w:ascii="Times New Roman" w:hAnsi="Times New Roman"/>
          <w:sz w:val="20"/>
          <w:szCs w:val="24"/>
          <w:lang w:val="es-ES"/>
        </w:rPr>
      </w:pPr>
    </w:p>
    <w:p w:rsidR="00934818" w:rsidRPr="0059158A" w:rsidRDefault="00934818" w:rsidP="00934818">
      <w:pPr>
        <w:spacing w:before="0" w:after="0" w:line="240" w:lineRule="auto"/>
        <w:rPr>
          <w:rFonts w:ascii="Times New Roman" w:hAnsi="Times New Roman"/>
          <w:b/>
          <w:sz w:val="20"/>
          <w:szCs w:val="24"/>
          <w:lang w:val="es-ES"/>
        </w:rPr>
      </w:pPr>
      <w:r w:rsidRPr="0059158A">
        <w:rPr>
          <w:rFonts w:ascii="Times New Roman" w:hAnsi="Times New Roman"/>
          <w:b/>
          <w:sz w:val="20"/>
          <w:szCs w:val="24"/>
          <w:lang w:val="es-ES"/>
        </w:rPr>
        <w:t>3.1. ELEMENTOS DE COSTE</w:t>
      </w:r>
    </w:p>
    <w:p w:rsid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La primera estructura consolidada a la que hay que atender es la de elementos de coste. A priori parece resultar una de las que menos dificultades presentan para la consolidación.</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De una parte, porque constituyen un listado de consumos de base normalizada, cuya estructura viene definida a dos niveles por la propia Resolución de 28 de julio de 2011</w:t>
      </w:r>
      <w:r w:rsidR="00802956">
        <w:rPr>
          <w:rFonts w:ascii="Times New Roman" w:hAnsi="Times New Roman"/>
          <w:sz w:val="20"/>
          <w:szCs w:val="24"/>
          <w:lang w:val="es-ES"/>
        </w:rPr>
        <w:t>. D</w:t>
      </w:r>
      <w:r w:rsidRPr="00934818">
        <w:rPr>
          <w:rFonts w:ascii="Times New Roman" w:hAnsi="Times New Roman"/>
          <w:sz w:val="20"/>
          <w:szCs w:val="24"/>
          <w:lang w:val="es-ES"/>
        </w:rPr>
        <w:t xml:space="preserve">e la otra, porque cuando se diseña la misma en los modelos individuales puede incluirse un protocolo y lógica de codificación homogénea para el conglomerado. </w:t>
      </w:r>
    </w:p>
    <w:p w:rsidR="00934818" w:rsidRPr="00934818" w:rsidRDefault="00934818" w:rsidP="00934818">
      <w:pPr>
        <w:spacing w:before="0" w:after="0" w:line="240" w:lineRule="auto"/>
        <w:rPr>
          <w:rFonts w:ascii="Times New Roman" w:hAnsi="Times New Roman"/>
          <w:sz w:val="20"/>
          <w:szCs w:val="24"/>
          <w:lang w:val="es-ES"/>
        </w:rPr>
      </w:pPr>
    </w:p>
    <w:p w:rsid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Ello facilitaría tanto la propia configuración consolidada de esta estructura</w:t>
      </w:r>
      <w:r w:rsidR="00802956">
        <w:rPr>
          <w:rFonts w:ascii="Times New Roman" w:hAnsi="Times New Roman"/>
          <w:sz w:val="20"/>
          <w:szCs w:val="24"/>
          <w:lang w:val="es-ES"/>
        </w:rPr>
        <w:t>,</w:t>
      </w:r>
      <w:r w:rsidRPr="00934818">
        <w:rPr>
          <w:rFonts w:ascii="Times New Roman" w:hAnsi="Times New Roman"/>
          <w:sz w:val="20"/>
          <w:szCs w:val="24"/>
          <w:lang w:val="es-ES"/>
        </w:rPr>
        <w:t xml:space="preserve"> que podría generarse automáticamente mediante la conjunción de las estructuras definidas en los modelos individuales</w:t>
      </w:r>
      <w:r w:rsidR="00802956">
        <w:rPr>
          <w:rFonts w:ascii="Times New Roman" w:hAnsi="Times New Roman"/>
          <w:sz w:val="20"/>
          <w:szCs w:val="24"/>
          <w:lang w:val="es-ES"/>
        </w:rPr>
        <w:t>,</w:t>
      </w:r>
      <w:r w:rsidRPr="00934818">
        <w:rPr>
          <w:rFonts w:ascii="Times New Roman" w:hAnsi="Times New Roman"/>
          <w:sz w:val="20"/>
          <w:szCs w:val="24"/>
          <w:lang w:val="es-ES"/>
        </w:rPr>
        <w:t xml:space="preserve"> como la incorporación de los valores asociados a las mismas, representativos de la agregación de los datos vinculados a cada estructura en los correspondientes modelos individuales.</w:t>
      </w:r>
    </w:p>
    <w:p w:rsidR="00802956" w:rsidRPr="00934818" w:rsidRDefault="00802956"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Sin embargo, aparecen varias dificultades asociadas a este planteamiento:</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numPr>
          <w:ilvl w:val="0"/>
          <w:numId w:val="9"/>
        </w:num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 xml:space="preserve">La posible falta de disciplina al definir y codificar las estructuras individuales de elementos de coste de cada Ente. </w:t>
      </w:r>
    </w:p>
    <w:p w:rsidR="00934818" w:rsidRPr="00934818" w:rsidRDefault="00934818" w:rsidP="00934818">
      <w:pPr>
        <w:spacing w:before="0" w:after="0" w:line="240" w:lineRule="auto"/>
        <w:ind w:left="1440"/>
        <w:rPr>
          <w:rFonts w:ascii="Times New Roman" w:hAnsi="Times New Roman"/>
          <w:sz w:val="20"/>
          <w:szCs w:val="24"/>
          <w:lang w:val="es-ES"/>
        </w:rPr>
      </w:pPr>
    </w:p>
    <w:p w:rsidR="00934818" w:rsidRPr="00934818" w:rsidRDefault="00934818" w:rsidP="00934818">
      <w:pPr>
        <w:spacing w:before="0" w:after="0" w:line="240" w:lineRule="auto"/>
        <w:ind w:left="1440"/>
        <w:rPr>
          <w:rFonts w:ascii="Times New Roman" w:hAnsi="Times New Roman"/>
          <w:sz w:val="20"/>
          <w:szCs w:val="24"/>
          <w:lang w:val="es-ES"/>
        </w:rPr>
      </w:pPr>
      <w:r w:rsidRPr="00934818">
        <w:rPr>
          <w:rFonts w:ascii="Times New Roman" w:hAnsi="Times New Roman"/>
          <w:sz w:val="20"/>
          <w:szCs w:val="24"/>
          <w:lang w:val="es-ES"/>
        </w:rPr>
        <w:t xml:space="preserve">Debemos entender que este problema, a pesar de su importancia, no merece especial consideración en </w:t>
      </w:r>
      <w:r w:rsidR="00802956">
        <w:rPr>
          <w:rFonts w:ascii="Times New Roman" w:hAnsi="Times New Roman"/>
          <w:sz w:val="20"/>
          <w:szCs w:val="24"/>
          <w:lang w:val="es-ES"/>
        </w:rPr>
        <w:t>el análisis funcional de las herramientas tecnológicas pero si en los procedimientos contables que se definan durante los procesos de implantación de modelos de contabilidad analítica en los Entes Locales</w:t>
      </w:r>
      <w:r w:rsidRPr="00934818">
        <w:rPr>
          <w:rFonts w:ascii="Times New Roman" w:hAnsi="Times New Roman"/>
          <w:sz w:val="20"/>
          <w:szCs w:val="24"/>
          <w:lang w:val="es-ES"/>
        </w:rPr>
        <w:t xml:space="preserve">, en la medida en que una incorrecta definición puede ser evitada y corregida en el Ente, lo que afectaría a su modelo individual y que, en todo caso, exigiría prever mecanismos para corregir tales inconsistencias que pudieran haberse cometido en ejercicios pasados, cuestión que </w:t>
      </w:r>
      <w:r w:rsidR="00802956">
        <w:rPr>
          <w:rFonts w:ascii="Times New Roman" w:hAnsi="Times New Roman"/>
          <w:sz w:val="20"/>
          <w:szCs w:val="24"/>
          <w:lang w:val="es-ES"/>
        </w:rPr>
        <w:t>igualmente debería ser abordada</w:t>
      </w:r>
      <w:r w:rsidRPr="00934818">
        <w:rPr>
          <w:rFonts w:ascii="Times New Roman" w:hAnsi="Times New Roman"/>
          <w:sz w:val="20"/>
          <w:szCs w:val="24"/>
          <w:lang w:val="es-ES"/>
        </w:rPr>
        <w:t xml:space="preserve"> para </w:t>
      </w:r>
      <w:r w:rsidR="00802956">
        <w:rPr>
          <w:rFonts w:ascii="Times New Roman" w:hAnsi="Times New Roman"/>
          <w:sz w:val="20"/>
          <w:szCs w:val="24"/>
          <w:lang w:val="es-ES"/>
        </w:rPr>
        <w:t xml:space="preserve">los </w:t>
      </w:r>
      <w:r w:rsidRPr="00934818">
        <w:rPr>
          <w:rFonts w:ascii="Times New Roman" w:hAnsi="Times New Roman"/>
          <w:sz w:val="20"/>
          <w:szCs w:val="24"/>
          <w:lang w:val="es-ES"/>
        </w:rPr>
        <w:t xml:space="preserve">modelos individuales en </w:t>
      </w:r>
      <w:r w:rsidR="00802956">
        <w:rPr>
          <w:rFonts w:ascii="Times New Roman" w:hAnsi="Times New Roman"/>
          <w:sz w:val="20"/>
          <w:szCs w:val="24"/>
          <w:lang w:val="es-ES"/>
        </w:rPr>
        <w:t xml:space="preserve">sus </w:t>
      </w:r>
      <w:r w:rsidRPr="00934818">
        <w:rPr>
          <w:rFonts w:ascii="Times New Roman" w:hAnsi="Times New Roman"/>
          <w:sz w:val="20"/>
          <w:szCs w:val="24"/>
          <w:lang w:val="es-ES"/>
        </w:rPr>
        <w:t>diferentes estructuras (actividades, ….).</w:t>
      </w:r>
    </w:p>
    <w:p w:rsidR="00934818" w:rsidRPr="00934818" w:rsidRDefault="00934818" w:rsidP="00934818">
      <w:pPr>
        <w:spacing w:before="0" w:after="0" w:line="240" w:lineRule="auto"/>
        <w:ind w:left="1440"/>
        <w:rPr>
          <w:rFonts w:ascii="Times New Roman" w:hAnsi="Times New Roman"/>
          <w:sz w:val="20"/>
          <w:szCs w:val="24"/>
          <w:lang w:val="es-ES"/>
        </w:rPr>
      </w:pPr>
    </w:p>
    <w:p w:rsidR="00934818" w:rsidRPr="00934818" w:rsidRDefault="00934818" w:rsidP="00934818">
      <w:pPr>
        <w:numPr>
          <w:ilvl w:val="0"/>
          <w:numId w:val="9"/>
        </w:num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 xml:space="preserve">La posible falta de homogeneidad en las estructuras de elementos de costes de </w:t>
      </w:r>
      <w:r w:rsidR="00802956">
        <w:rPr>
          <w:rFonts w:ascii="Times New Roman" w:hAnsi="Times New Roman"/>
          <w:sz w:val="20"/>
          <w:szCs w:val="24"/>
          <w:lang w:val="es-ES"/>
        </w:rPr>
        <w:t xml:space="preserve">las diferentes </w:t>
      </w:r>
      <w:r w:rsidRPr="00934818">
        <w:rPr>
          <w:rFonts w:ascii="Times New Roman" w:hAnsi="Times New Roman"/>
          <w:sz w:val="20"/>
          <w:szCs w:val="24"/>
          <w:lang w:val="es-ES"/>
        </w:rPr>
        <w:t>Entidades</w:t>
      </w:r>
      <w:r w:rsidR="00802956">
        <w:rPr>
          <w:rFonts w:ascii="Times New Roman" w:hAnsi="Times New Roman"/>
          <w:sz w:val="20"/>
          <w:szCs w:val="24"/>
          <w:lang w:val="es-ES"/>
        </w:rPr>
        <w:t xml:space="preserve"> que integran el perímetro de consolidación</w:t>
      </w:r>
      <w:r w:rsidRPr="00934818">
        <w:rPr>
          <w:rFonts w:ascii="Times New Roman" w:hAnsi="Times New Roman"/>
          <w:sz w:val="20"/>
          <w:szCs w:val="24"/>
          <w:lang w:val="es-ES"/>
        </w:rPr>
        <w:t xml:space="preserve"> (Empresas Públicas u otras organizaciones).</w:t>
      </w:r>
    </w:p>
    <w:p w:rsidR="00934818" w:rsidRPr="00934818" w:rsidRDefault="00934818" w:rsidP="00934818">
      <w:pPr>
        <w:spacing w:before="0" w:after="0" w:line="240" w:lineRule="auto"/>
        <w:ind w:left="1440"/>
        <w:rPr>
          <w:rFonts w:ascii="Times New Roman" w:hAnsi="Times New Roman"/>
          <w:sz w:val="20"/>
          <w:szCs w:val="24"/>
          <w:lang w:val="es-ES"/>
        </w:rPr>
      </w:pPr>
    </w:p>
    <w:p w:rsidR="00934818" w:rsidRPr="00934818" w:rsidRDefault="00934818" w:rsidP="00934818">
      <w:pPr>
        <w:spacing w:before="0" w:after="0" w:line="240" w:lineRule="auto"/>
        <w:ind w:left="1440"/>
        <w:rPr>
          <w:rFonts w:ascii="Times New Roman" w:hAnsi="Times New Roman"/>
          <w:sz w:val="20"/>
          <w:szCs w:val="24"/>
          <w:lang w:val="es-ES"/>
        </w:rPr>
      </w:pPr>
      <w:r w:rsidRPr="00934818">
        <w:rPr>
          <w:rFonts w:ascii="Times New Roman" w:hAnsi="Times New Roman"/>
          <w:sz w:val="20"/>
          <w:szCs w:val="24"/>
          <w:lang w:val="es-ES"/>
        </w:rPr>
        <w:t xml:space="preserve">En este caso, sería preciso reestructurar la información de </w:t>
      </w:r>
      <w:r w:rsidR="00802956">
        <w:rPr>
          <w:rFonts w:ascii="Times New Roman" w:hAnsi="Times New Roman"/>
          <w:sz w:val="20"/>
          <w:szCs w:val="24"/>
          <w:lang w:val="es-ES"/>
        </w:rPr>
        <w:t>tales</w:t>
      </w:r>
      <w:r w:rsidRPr="00934818">
        <w:rPr>
          <w:rFonts w:ascii="Times New Roman" w:hAnsi="Times New Roman"/>
          <w:sz w:val="20"/>
          <w:szCs w:val="24"/>
          <w:lang w:val="es-ES"/>
        </w:rPr>
        <w:t xml:space="preserve"> Entidades durante el propio proceso de incorporación de su información al modelo </w:t>
      </w:r>
      <w:r w:rsidR="00802956">
        <w:rPr>
          <w:rFonts w:ascii="Times New Roman" w:hAnsi="Times New Roman"/>
          <w:sz w:val="20"/>
          <w:szCs w:val="24"/>
          <w:lang w:val="es-ES"/>
        </w:rPr>
        <w:t>o</w:t>
      </w:r>
      <w:r w:rsidRPr="00934818">
        <w:rPr>
          <w:rFonts w:ascii="Times New Roman" w:hAnsi="Times New Roman"/>
          <w:sz w:val="20"/>
          <w:szCs w:val="24"/>
          <w:lang w:val="es-ES"/>
        </w:rPr>
        <w:t xml:space="preserve">, en </w:t>
      </w:r>
      <w:r w:rsidR="00802956">
        <w:rPr>
          <w:rFonts w:ascii="Times New Roman" w:hAnsi="Times New Roman"/>
          <w:sz w:val="20"/>
          <w:szCs w:val="24"/>
          <w:lang w:val="es-ES"/>
        </w:rPr>
        <w:t>caso de no resultar posible</w:t>
      </w:r>
      <w:r w:rsidRPr="00934818">
        <w:rPr>
          <w:rFonts w:ascii="Times New Roman" w:hAnsi="Times New Roman"/>
          <w:sz w:val="20"/>
          <w:szCs w:val="24"/>
          <w:lang w:val="es-ES"/>
        </w:rPr>
        <w:t>, permitir que su información se presente como una partida independiente dentro de cada una de las partida específicas de esta estructura del modelo (costes de personal, costes de adquisición de bienes y servicios,…).</w:t>
      </w:r>
    </w:p>
    <w:p w:rsidR="00934818" w:rsidRPr="00934818" w:rsidRDefault="00934818" w:rsidP="00934818">
      <w:pPr>
        <w:spacing w:before="0" w:after="0" w:line="240" w:lineRule="auto"/>
        <w:ind w:left="1440"/>
        <w:rPr>
          <w:rFonts w:ascii="Times New Roman" w:hAnsi="Times New Roman"/>
          <w:sz w:val="20"/>
          <w:szCs w:val="24"/>
          <w:lang w:val="es-ES"/>
        </w:rPr>
      </w:pPr>
    </w:p>
    <w:p w:rsidR="00934818" w:rsidRPr="00934818" w:rsidRDefault="00934818" w:rsidP="00934818">
      <w:pPr>
        <w:numPr>
          <w:ilvl w:val="0"/>
          <w:numId w:val="9"/>
        </w:num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La existencia de cesión de recursos entre Entes. Ello implica que existan costes no incorporables en el Ente al que se adscribe el recurso e incorporables en el Ente usuario funcional de los mismos.</w:t>
      </w:r>
    </w:p>
    <w:p w:rsidR="00934818" w:rsidRPr="00934818" w:rsidRDefault="00934818" w:rsidP="00934818">
      <w:pPr>
        <w:spacing w:before="0" w:after="0" w:line="240" w:lineRule="auto"/>
        <w:ind w:left="1440"/>
        <w:rPr>
          <w:rFonts w:ascii="Times New Roman" w:hAnsi="Times New Roman"/>
          <w:sz w:val="20"/>
          <w:szCs w:val="24"/>
          <w:lang w:val="es-ES"/>
        </w:rPr>
      </w:pPr>
    </w:p>
    <w:p w:rsidR="00934818" w:rsidRPr="00934818" w:rsidRDefault="00934818" w:rsidP="00934818">
      <w:pPr>
        <w:spacing w:before="0" w:after="0" w:line="240" w:lineRule="auto"/>
        <w:ind w:left="1440"/>
        <w:rPr>
          <w:rFonts w:ascii="Times New Roman" w:hAnsi="Times New Roman"/>
          <w:sz w:val="20"/>
          <w:szCs w:val="24"/>
          <w:lang w:val="es-ES"/>
        </w:rPr>
      </w:pPr>
      <w:r w:rsidRPr="00934818">
        <w:rPr>
          <w:rFonts w:ascii="Times New Roman" w:hAnsi="Times New Roman"/>
          <w:sz w:val="20"/>
          <w:szCs w:val="24"/>
          <w:lang w:val="es-ES"/>
        </w:rPr>
        <w:t>En realidad esta problemática deber</w:t>
      </w:r>
      <w:r w:rsidR="00802956">
        <w:rPr>
          <w:rFonts w:ascii="Times New Roman" w:hAnsi="Times New Roman"/>
          <w:sz w:val="20"/>
          <w:szCs w:val="24"/>
          <w:lang w:val="es-ES"/>
        </w:rPr>
        <w:t>ía</w:t>
      </w:r>
      <w:r w:rsidRPr="00934818">
        <w:rPr>
          <w:rFonts w:ascii="Times New Roman" w:hAnsi="Times New Roman"/>
          <w:sz w:val="20"/>
          <w:szCs w:val="24"/>
          <w:lang w:val="es-ES"/>
        </w:rPr>
        <w:t xml:space="preserve"> estar solucionada en su origen en los propios modelos individuales, en la medida en que:</w:t>
      </w:r>
    </w:p>
    <w:p w:rsidR="00934818" w:rsidRPr="00934818" w:rsidRDefault="00934818" w:rsidP="00934818">
      <w:pPr>
        <w:spacing w:before="0" w:after="0" w:line="240" w:lineRule="auto"/>
        <w:ind w:left="1440"/>
        <w:rPr>
          <w:rFonts w:ascii="Times New Roman" w:hAnsi="Times New Roman"/>
          <w:sz w:val="20"/>
          <w:szCs w:val="24"/>
          <w:lang w:val="es-ES"/>
        </w:rPr>
      </w:pPr>
    </w:p>
    <w:p w:rsidR="00934818" w:rsidRPr="00934818" w:rsidRDefault="00934818" w:rsidP="00934818">
      <w:pPr>
        <w:numPr>
          <w:ilvl w:val="1"/>
          <w:numId w:val="9"/>
        </w:num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 xml:space="preserve">En el ente cedente tales costes no </w:t>
      </w:r>
      <w:r w:rsidR="00802956">
        <w:rPr>
          <w:rFonts w:ascii="Times New Roman" w:hAnsi="Times New Roman"/>
          <w:sz w:val="20"/>
          <w:szCs w:val="24"/>
          <w:lang w:val="es-ES"/>
        </w:rPr>
        <w:t>aparezcan</w:t>
      </w:r>
      <w:r w:rsidRPr="00934818">
        <w:rPr>
          <w:rFonts w:ascii="Times New Roman" w:hAnsi="Times New Roman"/>
          <w:sz w:val="20"/>
          <w:szCs w:val="24"/>
          <w:lang w:val="es-ES"/>
        </w:rPr>
        <w:t xml:space="preserve"> en la estructura de elementos de coste de su modelo individual por no constituir recursos aplicados que represente costes imputables a las actividades realizados por el mismo.</w:t>
      </w:r>
    </w:p>
    <w:p w:rsidR="00934818" w:rsidRPr="00934818" w:rsidRDefault="00934818" w:rsidP="00934818">
      <w:pPr>
        <w:spacing w:before="0" w:after="0" w:line="240" w:lineRule="auto"/>
        <w:ind w:left="2160"/>
        <w:rPr>
          <w:rFonts w:ascii="Times New Roman" w:hAnsi="Times New Roman"/>
          <w:sz w:val="20"/>
          <w:szCs w:val="24"/>
          <w:lang w:val="es-ES"/>
        </w:rPr>
      </w:pPr>
    </w:p>
    <w:p w:rsidR="00934818" w:rsidRPr="00934818" w:rsidRDefault="00934818" w:rsidP="00934818">
      <w:pPr>
        <w:numPr>
          <w:ilvl w:val="1"/>
          <w:numId w:val="9"/>
        </w:num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 xml:space="preserve">En el ente </w:t>
      </w:r>
      <w:r w:rsidR="00802956">
        <w:rPr>
          <w:rFonts w:ascii="Times New Roman" w:hAnsi="Times New Roman"/>
          <w:sz w:val="20"/>
          <w:szCs w:val="24"/>
          <w:lang w:val="es-ES"/>
        </w:rPr>
        <w:t>receptor tales costes se incluya</w:t>
      </w:r>
      <w:r w:rsidRPr="00934818">
        <w:rPr>
          <w:rFonts w:ascii="Times New Roman" w:hAnsi="Times New Roman"/>
          <w:sz w:val="20"/>
          <w:szCs w:val="24"/>
          <w:lang w:val="es-ES"/>
        </w:rPr>
        <w:t>n en la estructura de elementos de coste de su modelo individual por constituir recursos aplicados que representan costes imputables a las actividades realizados por el mismo.</w:t>
      </w:r>
    </w:p>
    <w:p w:rsidR="00934818" w:rsidRPr="00934818" w:rsidRDefault="00934818" w:rsidP="00934818">
      <w:pPr>
        <w:pStyle w:val="Prrafodelista"/>
        <w:rPr>
          <w:rFonts w:ascii="Times New Roman" w:eastAsia="Calibri" w:hAnsi="Times New Roman"/>
          <w:sz w:val="20"/>
          <w:lang w:eastAsia="en-US"/>
        </w:rPr>
      </w:pPr>
    </w:p>
    <w:p w:rsidR="00934818" w:rsidRPr="00934818" w:rsidRDefault="00934818" w:rsidP="00802956">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En este sentido es preciso considerar que nos referimos a cesiones no monetarias (personal, inmuebles</w:t>
      </w:r>
      <w:proofErr w:type="gramStart"/>
      <w:r w:rsidRPr="00934818">
        <w:rPr>
          <w:rFonts w:ascii="Times New Roman" w:hAnsi="Times New Roman"/>
          <w:sz w:val="20"/>
          <w:szCs w:val="24"/>
          <w:lang w:val="es-ES"/>
        </w:rPr>
        <w:t>, …</w:t>
      </w:r>
      <w:proofErr w:type="gramEnd"/>
      <w:r w:rsidRPr="00934818">
        <w:rPr>
          <w:rFonts w:ascii="Times New Roman" w:hAnsi="Times New Roman"/>
          <w:sz w:val="20"/>
          <w:szCs w:val="24"/>
          <w:lang w:val="es-ES"/>
        </w:rPr>
        <w:t>) y no a transferencias monetarias intragrupo.</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Por otra parte, es preciso considerar que, aunque a efectos de formar la estructura de elementos de coste, se hable de agregación de valores, el modelo debe mantener siempre el etiquetado del Ente de procedencia del coste, en la medida en que para la posterior imputación de sus costes a las restantes estructuras (centros y actividades) debe utilizarse en cada caso, las equivalencias, mapas y criterios utilizados originalmente en el Ente individual.</w:t>
      </w:r>
    </w:p>
    <w:p w:rsidR="00934818" w:rsidRPr="00934818" w:rsidRDefault="00934818" w:rsidP="00934818">
      <w:pPr>
        <w:spacing w:before="0" w:after="0" w:line="240" w:lineRule="auto"/>
        <w:rPr>
          <w:rFonts w:ascii="Times New Roman" w:hAnsi="Times New Roman"/>
          <w:sz w:val="20"/>
          <w:szCs w:val="24"/>
          <w:lang w:val="es-ES"/>
        </w:rPr>
      </w:pPr>
    </w:p>
    <w:p w:rsidR="00934818" w:rsidRPr="0059158A" w:rsidRDefault="00934818" w:rsidP="00934818">
      <w:pPr>
        <w:spacing w:before="0" w:after="0" w:line="240" w:lineRule="auto"/>
        <w:rPr>
          <w:rFonts w:ascii="Times New Roman" w:hAnsi="Times New Roman"/>
          <w:b/>
          <w:sz w:val="20"/>
          <w:szCs w:val="24"/>
          <w:lang w:val="es-ES"/>
        </w:rPr>
      </w:pPr>
      <w:r w:rsidRPr="0059158A">
        <w:rPr>
          <w:rFonts w:ascii="Times New Roman" w:hAnsi="Times New Roman"/>
          <w:b/>
          <w:sz w:val="20"/>
          <w:szCs w:val="24"/>
          <w:lang w:val="es-ES"/>
        </w:rPr>
        <w:t>3.2. CENTROS DE COSTE</w:t>
      </w:r>
    </w:p>
    <w:p w:rsid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La siguiente estructura objeto de análisis es la estructura de centros. A priori, resulta la menos problemática de definir a nivel consolidado</w:t>
      </w:r>
      <w:r w:rsidR="00802956">
        <w:rPr>
          <w:rFonts w:ascii="Times New Roman" w:hAnsi="Times New Roman"/>
          <w:sz w:val="20"/>
          <w:szCs w:val="24"/>
          <w:lang w:val="es-ES"/>
        </w:rPr>
        <w:t xml:space="preserve"> respecto a las estructuras de elementos de coste y de actividades</w:t>
      </w:r>
      <w:r w:rsidRPr="00934818">
        <w:rPr>
          <w:rFonts w:ascii="Times New Roman" w:hAnsi="Times New Roman"/>
          <w:sz w:val="20"/>
          <w:szCs w:val="24"/>
          <w:lang w:val="es-ES"/>
        </w:rPr>
        <w:t>.</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Ello es debido a que:</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numPr>
          <w:ilvl w:val="0"/>
          <w:numId w:val="9"/>
        </w:num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Para el caso de los elementos de coste es preciso considerar que los diferentes consumos efectuados por cada ente deben clasificarse en apartados homogéneos de acuerdo a una estructura definida por la Resolución de 28 de julio de 2011.</w:t>
      </w:r>
    </w:p>
    <w:p w:rsidR="00934818" w:rsidRPr="00934818" w:rsidRDefault="00934818" w:rsidP="00934818">
      <w:pPr>
        <w:spacing w:before="0" w:after="0" w:line="240" w:lineRule="auto"/>
        <w:ind w:left="1440"/>
        <w:rPr>
          <w:rFonts w:ascii="Times New Roman" w:hAnsi="Times New Roman"/>
          <w:sz w:val="20"/>
          <w:szCs w:val="24"/>
          <w:lang w:val="es-ES"/>
        </w:rPr>
      </w:pPr>
    </w:p>
    <w:p w:rsidR="00934818" w:rsidRPr="00934818" w:rsidRDefault="00934818" w:rsidP="00934818">
      <w:pPr>
        <w:numPr>
          <w:ilvl w:val="0"/>
          <w:numId w:val="9"/>
        </w:num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lastRenderedPageBreak/>
        <w:t>Para el caso de las actividades, resulta necesario tener en cuenta que no constituyen estructuras completamente independientes sino que existen actividades de corte transversal que implican la participación de diferentes áreas y centros tanto del Ente Principal como de otras posibles organizaciones responsables de la prestación del servicio (O.O.A.A., Empresas Públicas,…).</w:t>
      </w:r>
    </w:p>
    <w:p w:rsidR="00934818" w:rsidRPr="00934818" w:rsidRDefault="00934818" w:rsidP="00934818">
      <w:pPr>
        <w:pStyle w:val="Prrafodelista"/>
        <w:rPr>
          <w:rFonts w:ascii="Times New Roman" w:eastAsia="Calibri" w:hAnsi="Times New Roman"/>
          <w:sz w:val="20"/>
          <w:lang w:eastAsia="en-US"/>
        </w:rPr>
      </w:pPr>
    </w:p>
    <w:p w:rsidR="00934818" w:rsidRPr="00934818" w:rsidRDefault="00934818" w:rsidP="00934818">
      <w:pPr>
        <w:numPr>
          <w:ilvl w:val="0"/>
          <w:numId w:val="9"/>
        </w:num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Sin embargo, los centros representan estructuras y unidades organizativas que, de acuerdo con la propia definición de la Resolución, constituyen “lugares físicos dónde, como consecuencia del «proceso productivo», se consume toda una serie de recursos que se incorporan a las actividades”.</w:t>
      </w:r>
    </w:p>
    <w:p w:rsidR="00934818" w:rsidRPr="00934818" w:rsidRDefault="00934818" w:rsidP="00934818">
      <w:pPr>
        <w:spacing w:before="0" w:after="0" w:line="240" w:lineRule="auto"/>
        <w:ind w:left="1440"/>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 xml:space="preserve">Ello hace pensar que individualizados los centros para los modelos específicos de cada Ente, podría generarse de manera automática la estructura de centros del modelo consolidado, en cuanto cada uno de dichos centros forma parte de la estructura organizativa </w:t>
      </w:r>
      <w:r w:rsidR="00802956">
        <w:rPr>
          <w:rFonts w:ascii="Times New Roman" w:hAnsi="Times New Roman"/>
          <w:sz w:val="20"/>
          <w:szCs w:val="24"/>
          <w:lang w:val="es-ES"/>
        </w:rPr>
        <w:t xml:space="preserve">integral </w:t>
      </w:r>
      <w:r w:rsidRPr="00934818">
        <w:rPr>
          <w:rFonts w:ascii="Times New Roman" w:hAnsi="Times New Roman"/>
          <w:sz w:val="20"/>
          <w:szCs w:val="24"/>
          <w:lang w:val="es-ES"/>
        </w:rPr>
        <w:t>del conglomerado local.</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No obstante, las únicas salvedades a considerar provendrían de la conveniencia y necesidad de agrupar los centros de esta forma definidos</w:t>
      </w:r>
      <w:r w:rsidR="00802956">
        <w:rPr>
          <w:rFonts w:ascii="Times New Roman" w:hAnsi="Times New Roman"/>
          <w:sz w:val="20"/>
          <w:szCs w:val="24"/>
          <w:lang w:val="es-ES"/>
        </w:rPr>
        <w:t>,</w:t>
      </w:r>
      <w:r w:rsidRPr="00934818">
        <w:rPr>
          <w:rFonts w:ascii="Times New Roman" w:hAnsi="Times New Roman"/>
          <w:sz w:val="20"/>
          <w:szCs w:val="24"/>
          <w:lang w:val="es-ES"/>
        </w:rPr>
        <w:t xml:space="preserve"> de acuerdo con la propia estructura de áreas del Ente Principal.</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 xml:space="preserve">Es decir, el mandato municipal implica una serie de competencias y servicios que, una vez asumidos, pueden prestarse a través de medios propios o instrumentales que conforman un área de acción homogénea, cuyos costes, además, conforman un </w:t>
      </w:r>
      <w:r w:rsidR="00802956">
        <w:rPr>
          <w:rFonts w:ascii="Times New Roman" w:hAnsi="Times New Roman"/>
          <w:sz w:val="20"/>
          <w:szCs w:val="24"/>
          <w:lang w:val="es-ES"/>
        </w:rPr>
        <w:t>conjunto de recursos consumidos</w:t>
      </w:r>
      <w:r w:rsidRPr="00934818">
        <w:rPr>
          <w:rFonts w:ascii="Times New Roman" w:hAnsi="Times New Roman"/>
          <w:sz w:val="20"/>
          <w:szCs w:val="24"/>
          <w:lang w:val="es-ES"/>
        </w:rPr>
        <w:t xml:space="preserve"> vinculable a las correspondientes actividades en las que se concreta el “proceso productivo” de prestación de los correspondientes servicios. </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 xml:space="preserve">Además, y al igual que se indicó para el caso de los elementos de coste, resulta preciso mantener el etiquetado de la adscripción del centro al Ente de origen en el modelo consolidado, a efectos de garantizar, no sólo una adecuada explotación de la información, sino que la imputación de costes pendientes en el centro, se realice </w:t>
      </w:r>
      <w:r w:rsidR="00802956">
        <w:rPr>
          <w:rFonts w:ascii="Times New Roman" w:hAnsi="Times New Roman"/>
          <w:sz w:val="20"/>
          <w:szCs w:val="24"/>
          <w:lang w:val="es-ES"/>
        </w:rPr>
        <w:t>en función</w:t>
      </w:r>
      <w:r w:rsidRPr="00934818">
        <w:rPr>
          <w:rFonts w:ascii="Times New Roman" w:hAnsi="Times New Roman"/>
          <w:sz w:val="20"/>
          <w:szCs w:val="24"/>
          <w:lang w:val="es-ES"/>
        </w:rPr>
        <w:t xml:space="preserve"> de las bases, mapas y criterios utilizados en el modelo individual, con excepción de los que, por su carácter de soporte DAG o auxiliar general, deban aplicar el nuevo mapa de procesos definido para el modelo consolidado.</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 xml:space="preserve">Por todo ello, </w:t>
      </w:r>
      <w:r w:rsidR="00802956">
        <w:rPr>
          <w:rFonts w:ascii="Times New Roman" w:hAnsi="Times New Roman"/>
          <w:sz w:val="20"/>
          <w:szCs w:val="24"/>
          <w:lang w:val="es-ES"/>
        </w:rPr>
        <w:t>las soluciones tecnológicas utilizadas</w:t>
      </w:r>
      <w:r w:rsidRPr="00934818">
        <w:rPr>
          <w:rFonts w:ascii="Times New Roman" w:hAnsi="Times New Roman"/>
          <w:sz w:val="20"/>
          <w:szCs w:val="24"/>
          <w:lang w:val="es-ES"/>
        </w:rPr>
        <w:t xml:space="preserve"> </w:t>
      </w:r>
      <w:proofErr w:type="gramStart"/>
      <w:r w:rsidRPr="00934818">
        <w:rPr>
          <w:rFonts w:ascii="Times New Roman" w:hAnsi="Times New Roman"/>
          <w:sz w:val="20"/>
          <w:szCs w:val="24"/>
          <w:lang w:val="es-ES"/>
        </w:rPr>
        <w:t>debe</w:t>
      </w:r>
      <w:proofErr w:type="gramEnd"/>
      <w:r w:rsidRPr="00934818">
        <w:rPr>
          <w:rFonts w:ascii="Times New Roman" w:hAnsi="Times New Roman"/>
          <w:sz w:val="20"/>
          <w:szCs w:val="24"/>
          <w:lang w:val="es-ES"/>
        </w:rPr>
        <w:t xml:space="preserve"> incluir funcionalidades para la generación automática de la estructura de centros del modelo consolidado y para el etiquetado de los centros en el modelo consolidado para identificar la procedencia en origen de cada centro respecto al Ente del que forma parte. </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Dicho etiquetado en origen sería la base para la posterior agrupación de centros en el modelo consolidado, debiendo indicarse en la misma en qué área de competencias municipales se integra cada centro en el modelo consolidado.</w:t>
      </w:r>
    </w:p>
    <w:p w:rsidR="00934818" w:rsidRPr="00934818" w:rsidRDefault="00934818" w:rsidP="00934818">
      <w:pPr>
        <w:spacing w:before="0" w:after="0" w:line="240" w:lineRule="auto"/>
        <w:rPr>
          <w:rFonts w:ascii="Times New Roman" w:hAnsi="Times New Roman"/>
          <w:sz w:val="20"/>
          <w:szCs w:val="24"/>
          <w:lang w:val="es-ES"/>
        </w:rPr>
      </w:pPr>
    </w:p>
    <w:p w:rsidR="00934818" w:rsidRPr="0059158A" w:rsidRDefault="00934818" w:rsidP="00934818">
      <w:pPr>
        <w:spacing w:before="0" w:after="0" w:line="240" w:lineRule="auto"/>
        <w:rPr>
          <w:rFonts w:ascii="Times New Roman" w:hAnsi="Times New Roman"/>
          <w:b/>
          <w:sz w:val="20"/>
          <w:szCs w:val="24"/>
          <w:lang w:val="es-ES"/>
        </w:rPr>
      </w:pPr>
      <w:r w:rsidRPr="0059158A">
        <w:rPr>
          <w:rFonts w:ascii="Times New Roman" w:hAnsi="Times New Roman"/>
          <w:b/>
          <w:sz w:val="20"/>
          <w:szCs w:val="24"/>
          <w:lang w:val="es-ES"/>
        </w:rPr>
        <w:t>3.3. ACTIVIDADES</w:t>
      </w:r>
    </w:p>
    <w:p w:rsid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La siguiente estructura objeto de análisis es la de actividades, que constituye el agregado contable representativo del portador de coste último del modelo en cuanto debe acumular el coste total de los consumos realizados por el centro en el desarrollo de sus competencias.</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De esta forma, y al igual que para estructuras anteriores, resulta preciso reflexionar sobre la integración de tales prestaciones en un modelo consolidado representativo de la realidad de la totalidad del conglomerado local.</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En este sentido, y como se apuntó anteriormente, la principal dificultad viene determinada de que la mencionada estructura no conforma un conjunto absolutamente individualizable e independiente en el conjunto de Entes que integran el conglomerado local.</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Al contrario, resulta habitual que la prestación de un determinado servicio presente carácter transversal por la participación de diferentes agentes de la organización, dentro de un mismo Ente, o lo que complica aún más la cuestión, dentro de diferentes Entes del conglomerado.</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Ello implica la necesidad de considerar dicha transversalidad en el desarrollo de los procesos de integración de las estructuras de actividades para la formulación del modelo consolidado.</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 xml:space="preserve">Por otra parte, y con independencia de la existencia o no de tales transversalidades, la estructura de actividades de cada Ente y, por supuesto, del Ente Principal, no está conformada exclusivamente por las actividades </w:t>
      </w:r>
      <w:r w:rsidRPr="00934818">
        <w:rPr>
          <w:rFonts w:ascii="Times New Roman" w:hAnsi="Times New Roman"/>
          <w:sz w:val="20"/>
          <w:szCs w:val="24"/>
          <w:lang w:val="es-ES"/>
        </w:rPr>
        <w:lastRenderedPageBreak/>
        <w:t>finalistas representativas de las prestaciones que constituyen el objeto o razón de ser final de la Entidad Local, o las asimiladas a éstas en términos de constituir portadores finales del coste, sino que existen otras prestaciones o actividades que representan un soporte general, operacional o funcional del conglomerado o funcional de algunas áreas de éste y que, por tanto, deben distribuir sus costes a las correspondientes actividades finalistas o asimiladas, estén o no localizadas en el Ente prestador de tales actividades.</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Y ello obliga, al igual que la transversalidad, a reflexionar sobre la forma en que puedan integrarse tales actividades en la correspondiente estructura consolidada para el conglomerado.</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 xml:space="preserve">En conclusión, es preciso definir </w:t>
      </w:r>
      <w:r w:rsidR="006B0AF1">
        <w:rPr>
          <w:rFonts w:ascii="Times New Roman" w:hAnsi="Times New Roman"/>
          <w:sz w:val="20"/>
          <w:szCs w:val="24"/>
          <w:lang w:val="es-ES"/>
        </w:rPr>
        <w:t xml:space="preserve">procedimientos contables para la formulación de su modelo consolidado y </w:t>
      </w:r>
      <w:r w:rsidRPr="00934818">
        <w:rPr>
          <w:rFonts w:ascii="Times New Roman" w:hAnsi="Times New Roman"/>
          <w:sz w:val="20"/>
          <w:szCs w:val="24"/>
          <w:lang w:val="es-ES"/>
        </w:rPr>
        <w:t xml:space="preserve">funcionalidades </w:t>
      </w:r>
      <w:r w:rsidR="006B0AF1">
        <w:rPr>
          <w:rFonts w:ascii="Times New Roman" w:hAnsi="Times New Roman"/>
          <w:sz w:val="20"/>
          <w:szCs w:val="24"/>
          <w:lang w:val="es-ES"/>
        </w:rPr>
        <w:t xml:space="preserve">tecnológicas en sus sistemas informáticos </w:t>
      </w:r>
      <w:r w:rsidRPr="00934818">
        <w:rPr>
          <w:rFonts w:ascii="Times New Roman" w:hAnsi="Times New Roman"/>
          <w:sz w:val="20"/>
          <w:szCs w:val="24"/>
          <w:lang w:val="es-ES"/>
        </w:rPr>
        <w:t xml:space="preserve">para </w:t>
      </w:r>
      <w:r w:rsidR="006B0AF1">
        <w:rPr>
          <w:rFonts w:ascii="Times New Roman" w:hAnsi="Times New Roman"/>
          <w:sz w:val="20"/>
          <w:szCs w:val="24"/>
          <w:lang w:val="es-ES"/>
        </w:rPr>
        <w:t>una</w:t>
      </w:r>
      <w:r w:rsidRPr="00934818">
        <w:rPr>
          <w:rFonts w:ascii="Times New Roman" w:hAnsi="Times New Roman"/>
          <w:sz w:val="20"/>
          <w:szCs w:val="24"/>
          <w:lang w:val="es-ES"/>
        </w:rPr>
        <w:t xml:space="preserve"> generación </w:t>
      </w:r>
      <w:r w:rsidR="006B0AF1">
        <w:rPr>
          <w:rFonts w:ascii="Times New Roman" w:hAnsi="Times New Roman"/>
          <w:sz w:val="20"/>
          <w:szCs w:val="24"/>
          <w:lang w:val="es-ES"/>
        </w:rPr>
        <w:t xml:space="preserve">y mantenimiento </w:t>
      </w:r>
      <w:r w:rsidRPr="00934818">
        <w:rPr>
          <w:rFonts w:ascii="Times New Roman" w:hAnsi="Times New Roman"/>
          <w:sz w:val="20"/>
          <w:szCs w:val="24"/>
          <w:lang w:val="es-ES"/>
        </w:rPr>
        <w:t>automátic</w:t>
      </w:r>
      <w:r w:rsidR="006B0AF1">
        <w:rPr>
          <w:rFonts w:ascii="Times New Roman" w:hAnsi="Times New Roman"/>
          <w:sz w:val="20"/>
          <w:szCs w:val="24"/>
          <w:lang w:val="es-ES"/>
        </w:rPr>
        <w:t>o</w:t>
      </w:r>
      <w:r w:rsidRPr="00934818">
        <w:rPr>
          <w:rFonts w:ascii="Times New Roman" w:hAnsi="Times New Roman"/>
          <w:sz w:val="20"/>
          <w:szCs w:val="24"/>
          <w:lang w:val="es-ES"/>
        </w:rPr>
        <w:t xml:space="preserve"> de la estructura de actividades que integre las actividades de cada uno de los Entes individuales que conforman el conglomerado.</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 xml:space="preserve">A tales efectos, cuando una actividad se preste en régimen de transversalidad, proponemos, para facilitar el proceso de integración de la correspondiente base de datos de actividades codificarlas y denominarlas de manera homogénea en cada Ente, manteniendo la denominación original de cada Ente al nivel de desagregación en el que se hayan creado en cada Ente. </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Tales actividades se integrarían directamente en el modelo consolidado, que generaría automáticamente una actividad de máximo nivel de agregación, representativa y perfectamente identificable con la actividad agregada correspondiente en el modelo individual del Ente que se considere como principal responsable de la actividad, lo que obligaría a incluir en el etiquetado de la actividad transversal, no sólo el Ente de procedencia, sino si se califica como responsable principal de la coordinación de la actividad.</w:t>
      </w:r>
    </w:p>
    <w:p w:rsidR="00934818" w:rsidRPr="00934818" w:rsidRDefault="00934818" w:rsidP="00934818">
      <w:pPr>
        <w:spacing w:before="0" w:after="0" w:line="240" w:lineRule="auto"/>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Además, por debajo de dicho nivel y como desagregado de la anterior, sería preciso crear una actividad agregada de nivel superior que agrupase a las actividades individuales consideradas en cada modelo.</w:t>
      </w:r>
    </w:p>
    <w:p w:rsidR="00934818" w:rsidRPr="00934818" w:rsidRDefault="00934818" w:rsidP="00934818">
      <w:pPr>
        <w:spacing w:before="0" w:after="0" w:line="240" w:lineRule="auto"/>
        <w:jc w:val="right"/>
        <w:rPr>
          <w:rFonts w:ascii="Times New Roman" w:hAnsi="Times New Roman"/>
          <w:sz w:val="20"/>
          <w:szCs w:val="24"/>
          <w:lang w:val="es-ES"/>
        </w:rPr>
      </w:pPr>
    </w:p>
    <w:p w:rsidR="00934818" w:rsidRPr="00934818" w:rsidRDefault="00934818" w:rsidP="00934818">
      <w:pPr>
        <w:spacing w:before="0" w:after="0" w:line="240" w:lineRule="auto"/>
        <w:rPr>
          <w:rFonts w:ascii="Times New Roman" w:hAnsi="Times New Roman"/>
          <w:sz w:val="20"/>
          <w:szCs w:val="24"/>
          <w:lang w:val="es-ES"/>
        </w:rPr>
      </w:pPr>
      <w:r w:rsidRPr="00934818">
        <w:rPr>
          <w:rFonts w:ascii="Times New Roman" w:hAnsi="Times New Roman"/>
          <w:sz w:val="20"/>
          <w:szCs w:val="24"/>
          <w:lang w:val="es-ES"/>
        </w:rPr>
        <w:t xml:space="preserve">Para ello, sería preciso </w:t>
      </w:r>
      <w:r w:rsidR="006B0AF1">
        <w:rPr>
          <w:rFonts w:ascii="Times New Roman" w:hAnsi="Times New Roman"/>
          <w:sz w:val="20"/>
          <w:szCs w:val="24"/>
          <w:lang w:val="es-ES"/>
        </w:rPr>
        <w:t>desarrollar</w:t>
      </w:r>
      <w:r w:rsidRPr="00934818">
        <w:rPr>
          <w:rFonts w:ascii="Times New Roman" w:hAnsi="Times New Roman"/>
          <w:sz w:val="20"/>
          <w:szCs w:val="24"/>
          <w:lang w:val="es-ES"/>
        </w:rPr>
        <w:t xml:space="preserve"> funcionalidades </w:t>
      </w:r>
      <w:r w:rsidR="006B0AF1">
        <w:rPr>
          <w:rFonts w:ascii="Times New Roman" w:hAnsi="Times New Roman"/>
          <w:sz w:val="20"/>
          <w:szCs w:val="24"/>
          <w:lang w:val="es-ES"/>
        </w:rPr>
        <w:t>que permitan</w:t>
      </w:r>
      <w:r w:rsidRPr="00934818">
        <w:rPr>
          <w:rFonts w:ascii="Times New Roman" w:hAnsi="Times New Roman"/>
          <w:sz w:val="20"/>
          <w:szCs w:val="24"/>
          <w:lang w:val="es-ES"/>
        </w:rPr>
        <w:t xml:space="preserve"> etiquetar las actividades transversales de los modelos individuales indicando la actividad raíz con la que se vincula.</w:t>
      </w:r>
    </w:p>
    <w:p w:rsidR="00934818" w:rsidRPr="00934818" w:rsidRDefault="00934818" w:rsidP="00934818">
      <w:pPr>
        <w:spacing w:before="0" w:after="0" w:line="240" w:lineRule="auto"/>
        <w:ind w:right="5527"/>
        <w:rPr>
          <w:rFonts w:ascii="Times New Roman" w:hAnsi="Times New Roman"/>
          <w:sz w:val="20"/>
          <w:szCs w:val="24"/>
          <w:lang w:val="es-ES"/>
        </w:rPr>
      </w:pPr>
    </w:p>
    <w:p w:rsidR="00934818" w:rsidRPr="0059158A" w:rsidRDefault="00934818" w:rsidP="00934818">
      <w:pPr>
        <w:spacing w:before="0" w:after="0" w:line="240" w:lineRule="auto"/>
        <w:rPr>
          <w:rFonts w:ascii="Times New Roman" w:hAnsi="Times New Roman"/>
          <w:b/>
          <w:sz w:val="20"/>
          <w:szCs w:val="24"/>
          <w:lang w:val="es-ES"/>
        </w:rPr>
      </w:pPr>
      <w:r w:rsidRPr="0059158A">
        <w:rPr>
          <w:rFonts w:ascii="Times New Roman" w:hAnsi="Times New Roman"/>
          <w:b/>
          <w:sz w:val="20"/>
          <w:szCs w:val="24"/>
          <w:lang w:val="es-ES"/>
        </w:rPr>
        <w:t>3.4. INVENTARIO DE ACTIVIDADES POR CENTRO Y MAPA DE PROCESOS</w:t>
      </w:r>
    </w:p>
    <w:p w:rsidR="00934818" w:rsidRDefault="00934818" w:rsidP="00934818">
      <w:pPr>
        <w:spacing w:before="0" w:after="0" w:line="240" w:lineRule="auto"/>
        <w:rPr>
          <w:rFonts w:ascii="Times New Roman" w:hAnsi="Times New Roman"/>
          <w:sz w:val="20"/>
          <w:szCs w:val="24"/>
          <w:lang w:val="es-ES"/>
        </w:rPr>
      </w:pPr>
    </w:p>
    <w:p w:rsidR="006800B4" w:rsidRPr="006800B4" w:rsidRDefault="006800B4" w:rsidP="006800B4">
      <w:pPr>
        <w:spacing w:before="0" w:after="0" w:line="240" w:lineRule="auto"/>
        <w:rPr>
          <w:rFonts w:ascii="Times New Roman" w:hAnsi="Times New Roman"/>
          <w:sz w:val="20"/>
          <w:szCs w:val="24"/>
          <w:lang w:val="es-ES"/>
        </w:rPr>
      </w:pPr>
      <w:r w:rsidRPr="006800B4">
        <w:rPr>
          <w:rFonts w:ascii="Times New Roman" w:hAnsi="Times New Roman"/>
          <w:sz w:val="20"/>
          <w:szCs w:val="24"/>
          <w:lang w:val="es-ES"/>
        </w:rPr>
        <w:t>Analizada la configuración de las estructuras del modelo, es preciso atender a las relaciones entre ellas y, por tanto, a la definición de los inventarios de actividades por centro y a los mapas de proceso del modelo consolidado.</w:t>
      </w:r>
    </w:p>
    <w:p w:rsidR="006800B4" w:rsidRPr="006800B4" w:rsidRDefault="006800B4" w:rsidP="006800B4">
      <w:pPr>
        <w:spacing w:before="0" w:after="0" w:line="240" w:lineRule="auto"/>
        <w:rPr>
          <w:rFonts w:ascii="Times New Roman" w:hAnsi="Times New Roman"/>
          <w:sz w:val="20"/>
          <w:szCs w:val="24"/>
          <w:lang w:val="es-ES"/>
        </w:rPr>
      </w:pPr>
    </w:p>
    <w:p w:rsidR="00934818" w:rsidRPr="0059158A" w:rsidRDefault="006800B4" w:rsidP="00934818">
      <w:pPr>
        <w:spacing w:before="0" w:after="0" w:line="240" w:lineRule="auto"/>
        <w:rPr>
          <w:rFonts w:ascii="Times New Roman" w:hAnsi="Times New Roman"/>
          <w:b/>
          <w:sz w:val="20"/>
          <w:szCs w:val="24"/>
        </w:rPr>
      </w:pPr>
      <w:r w:rsidRPr="0059158A">
        <w:rPr>
          <w:rFonts w:ascii="Times New Roman" w:hAnsi="Times New Roman"/>
          <w:b/>
          <w:sz w:val="20"/>
          <w:szCs w:val="24"/>
        </w:rPr>
        <w:t>3.4.1. INVENTARIO DE ACTIVIDADES POR CENTRO</w:t>
      </w:r>
    </w:p>
    <w:p w:rsidR="006800B4" w:rsidRDefault="006800B4" w:rsidP="00934818">
      <w:pPr>
        <w:spacing w:before="0" w:after="0" w:line="240" w:lineRule="auto"/>
        <w:rPr>
          <w:rFonts w:ascii="Times New Roman" w:hAnsi="Times New Roman"/>
          <w:sz w:val="20"/>
          <w:szCs w:val="24"/>
        </w:rPr>
      </w:pPr>
    </w:p>
    <w:p w:rsidR="006800B4" w:rsidRPr="006800B4" w:rsidRDefault="006800B4" w:rsidP="006800B4">
      <w:pPr>
        <w:spacing w:before="0" w:after="0" w:line="240" w:lineRule="auto"/>
        <w:ind w:right="-1"/>
        <w:rPr>
          <w:rFonts w:ascii="Times New Roman" w:hAnsi="Times New Roman"/>
          <w:sz w:val="20"/>
          <w:szCs w:val="24"/>
          <w:lang w:val="es-ES"/>
        </w:rPr>
      </w:pPr>
      <w:r w:rsidRPr="006800B4">
        <w:rPr>
          <w:rFonts w:ascii="Times New Roman" w:hAnsi="Times New Roman"/>
          <w:sz w:val="20"/>
          <w:szCs w:val="24"/>
          <w:lang w:val="es-ES"/>
        </w:rPr>
        <w:t>En relación a los inventarios de actividades por centro, es preciso vincular las actividades definidas en el modelo a su máximo nivel de desagregación con los centros.</w:t>
      </w:r>
    </w:p>
    <w:p w:rsidR="006800B4" w:rsidRPr="006800B4" w:rsidRDefault="006800B4" w:rsidP="006800B4">
      <w:pPr>
        <w:spacing w:before="0" w:after="0" w:line="240" w:lineRule="auto"/>
        <w:ind w:right="-1"/>
        <w:rPr>
          <w:rFonts w:ascii="Times New Roman" w:hAnsi="Times New Roman"/>
          <w:sz w:val="20"/>
          <w:szCs w:val="24"/>
          <w:lang w:val="es-ES"/>
        </w:rPr>
      </w:pPr>
    </w:p>
    <w:p w:rsidR="006800B4" w:rsidRPr="006800B4" w:rsidRDefault="006800B4" w:rsidP="006800B4">
      <w:pPr>
        <w:spacing w:before="0" w:after="0" w:line="240" w:lineRule="auto"/>
        <w:ind w:right="-1"/>
        <w:rPr>
          <w:rFonts w:ascii="Times New Roman" w:hAnsi="Times New Roman"/>
          <w:sz w:val="20"/>
          <w:szCs w:val="24"/>
          <w:lang w:val="es-ES"/>
        </w:rPr>
      </w:pPr>
      <w:r w:rsidRPr="006800B4">
        <w:rPr>
          <w:rFonts w:ascii="Times New Roman" w:hAnsi="Times New Roman"/>
          <w:sz w:val="20"/>
          <w:szCs w:val="24"/>
          <w:lang w:val="es-ES"/>
        </w:rPr>
        <w:t>En consecuencia, no se presentan especiales dificultades en este ámbito al definir el modelo consolidado, en la medida en que se relacionan centro de último nivel y, por tanto, localizados exclusivamente en uno de los Entes que forman el conglomerado, con independencia de las posibles agrupaciones a las que se hubiesen adscrito, con actividades también a su máximo nivel de desagregación y, por tanto, también exclusivamen</w:t>
      </w:r>
      <w:r w:rsidR="006B0AF1">
        <w:rPr>
          <w:rFonts w:ascii="Times New Roman" w:hAnsi="Times New Roman"/>
          <w:sz w:val="20"/>
          <w:szCs w:val="24"/>
          <w:lang w:val="es-ES"/>
        </w:rPr>
        <w:t xml:space="preserve">te vinculadas a uno de los Entes, con independencia de que se relaciones con varios centros del Ente o con centros de varios Entes en caso de transversalidad </w:t>
      </w:r>
      <w:proofErr w:type="spellStart"/>
      <w:r w:rsidR="006B0AF1">
        <w:rPr>
          <w:rFonts w:ascii="Times New Roman" w:hAnsi="Times New Roman"/>
          <w:sz w:val="20"/>
          <w:szCs w:val="24"/>
          <w:lang w:val="es-ES"/>
        </w:rPr>
        <w:t>intra</w:t>
      </w:r>
      <w:proofErr w:type="spellEnd"/>
      <w:r w:rsidR="006B0AF1">
        <w:rPr>
          <w:rFonts w:ascii="Times New Roman" w:hAnsi="Times New Roman"/>
          <w:sz w:val="20"/>
          <w:szCs w:val="24"/>
          <w:lang w:val="es-ES"/>
        </w:rPr>
        <w:t xml:space="preserve"> o </w:t>
      </w:r>
      <w:proofErr w:type="spellStart"/>
      <w:r w:rsidR="006B0AF1">
        <w:rPr>
          <w:rFonts w:ascii="Times New Roman" w:hAnsi="Times New Roman"/>
          <w:sz w:val="20"/>
          <w:szCs w:val="24"/>
          <w:lang w:val="es-ES"/>
        </w:rPr>
        <w:t>interEnte</w:t>
      </w:r>
      <w:proofErr w:type="spellEnd"/>
      <w:r w:rsidRPr="006800B4">
        <w:rPr>
          <w:rFonts w:ascii="Times New Roman" w:hAnsi="Times New Roman"/>
          <w:sz w:val="20"/>
          <w:szCs w:val="24"/>
          <w:lang w:val="es-ES"/>
        </w:rPr>
        <w:t xml:space="preserve">. </w:t>
      </w:r>
    </w:p>
    <w:p w:rsidR="006800B4" w:rsidRPr="006800B4" w:rsidRDefault="006800B4" w:rsidP="006800B4">
      <w:pPr>
        <w:spacing w:before="0" w:after="0" w:line="240" w:lineRule="auto"/>
        <w:ind w:right="-1"/>
        <w:rPr>
          <w:rFonts w:ascii="Times New Roman" w:hAnsi="Times New Roman"/>
          <w:sz w:val="20"/>
          <w:szCs w:val="24"/>
          <w:lang w:val="es-ES"/>
        </w:rPr>
      </w:pPr>
    </w:p>
    <w:p w:rsidR="006800B4" w:rsidRPr="006800B4" w:rsidRDefault="006800B4" w:rsidP="006800B4">
      <w:pPr>
        <w:spacing w:before="0" w:after="0" w:line="240" w:lineRule="auto"/>
        <w:ind w:right="-1"/>
        <w:rPr>
          <w:rFonts w:ascii="Times New Roman" w:hAnsi="Times New Roman"/>
          <w:sz w:val="20"/>
          <w:szCs w:val="24"/>
          <w:lang w:val="es-ES"/>
        </w:rPr>
      </w:pPr>
      <w:r w:rsidRPr="006800B4">
        <w:rPr>
          <w:rFonts w:ascii="Times New Roman" w:hAnsi="Times New Roman"/>
          <w:sz w:val="20"/>
          <w:szCs w:val="24"/>
          <w:lang w:val="es-ES"/>
        </w:rPr>
        <w:t xml:space="preserve">De esta forma, en la medida en que, incluso en el caso de transversalidad, </w:t>
      </w:r>
      <w:r w:rsidR="001C20EB">
        <w:rPr>
          <w:rFonts w:ascii="Times New Roman" w:hAnsi="Times New Roman"/>
          <w:sz w:val="20"/>
          <w:szCs w:val="24"/>
          <w:lang w:val="es-ES"/>
        </w:rPr>
        <w:t>se hubiese</w:t>
      </w:r>
      <w:r w:rsidRPr="006800B4">
        <w:rPr>
          <w:rFonts w:ascii="Times New Roman" w:hAnsi="Times New Roman"/>
          <w:sz w:val="20"/>
          <w:szCs w:val="24"/>
          <w:lang w:val="es-ES"/>
        </w:rPr>
        <w:t xml:space="preserve"> optado por mantener en la estructura de actividades, actividades representativas de las prestaciones individuales de cada Ente, al nivel de máxima desagregación, se tratará de actividades definidas en el modelo consolidado relacionadas con centros también definidos en el modelo y con una total correspondencia con las correspondientes centros y actividades de cada modelo individual.</w:t>
      </w:r>
    </w:p>
    <w:p w:rsidR="006800B4" w:rsidRPr="006800B4" w:rsidRDefault="006800B4" w:rsidP="006800B4">
      <w:pPr>
        <w:spacing w:before="0" w:after="0" w:line="240" w:lineRule="auto"/>
        <w:ind w:right="-1"/>
        <w:rPr>
          <w:rFonts w:ascii="Times New Roman" w:hAnsi="Times New Roman"/>
          <w:sz w:val="20"/>
          <w:szCs w:val="24"/>
          <w:lang w:val="es-ES"/>
        </w:rPr>
      </w:pPr>
    </w:p>
    <w:p w:rsidR="006800B4" w:rsidRPr="006800B4" w:rsidRDefault="006800B4" w:rsidP="006800B4">
      <w:pPr>
        <w:spacing w:before="0" w:after="0" w:line="240" w:lineRule="auto"/>
        <w:ind w:right="-1"/>
        <w:rPr>
          <w:rFonts w:ascii="Times New Roman" w:hAnsi="Times New Roman"/>
          <w:sz w:val="20"/>
          <w:szCs w:val="24"/>
          <w:lang w:val="es-ES"/>
        </w:rPr>
      </w:pPr>
      <w:r w:rsidRPr="006800B4">
        <w:rPr>
          <w:rFonts w:ascii="Times New Roman" w:hAnsi="Times New Roman"/>
          <w:sz w:val="20"/>
          <w:szCs w:val="24"/>
          <w:lang w:val="es-ES"/>
        </w:rPr>
        <w:t>De esta forma, podrá generarse automáticamente el inventario de actividades por centros del modelo consolidado a partir de la incorporación al mismo de las correspondientes relaciones de los modelos individuales.</w:t>
      </w:r>
    </w:p>
    <w:p w:rsidR="006800B4" w:rsidRDefault="006800B4" w:rsidP="00934818">
      <w:pPr>
        <w:spacing w:before="0" w:after="0" w:line="240" w:lineRule="auto"/>
        <w:rPr>
          <w:rFonts w:ascii="Times New Roman" w:hAnsi="Times New Roman"/>
          <w:sz w:val="20"/>
          <w:szCs w:val="24"/>
        </w:rPr>
      </w:pPr>
    </w:p>
    <w:p w:rsidR="006800B4" w:rsidRPr="0059158A" w:rsidRDefault="006800B4" w:rsidP="00934818">
      <w:pPr>
        <w:spacing w:before="0" w:after="0" w:line="240" w:lineRule="auto"/>
        <w:rPr>
          <w:rFonts w:ascii="Times New Roman" w:hAnsi="Times New Roman"/>
          <w:b/>
          <w:sz w:val="20"/>
          <w:szCs w:val="24"/>
        </w:rPr>
      </w:pPr>
      <w:r w:rsidRPr="0059158A">
        <w:rPr>
          <w:rFonts w:ascii="Times New Roman" w:hAnsi="Times New Roman"/>
          <w:b/>
          <w:sz w:val="20"/>
          <w:szCs w:val="24"/>
        </w:rPr>
        <w:t>3.4.2. MAPA DE PROCESOS</w:t>
      </w:r>
    </w:p>
    <w:p w:rsidR="00934818" w:rsidRDefault="00934818" w:rsidP="00934818">
      <w:pPr>
        <w:spacing w:before="0" w:after="0" w:line="240" w:lineRule="auto"/>
        <w:rPr>
          <w:rFonts w:ascii="Times New Roman" w:hAnsi="Times New Roman"/>
          <w:sz w:val="20"/>
          <w:szCs w:val="24"/>
          <w:lang w:val="es-ES"/>
        </w:rPr>
      </w:pPr>
    </w:p>
    <w:p w:rsidR="006800B4" w:rsidRPr="006800B4" w:rsidRDefault="006800B4" w:rsidP="006800B4">
      <w:pPr>
        <w:spacing w:before="0" w:after="0" w:line="240" w:lineRule="auto"/>
        <w:ind w:right="-1"/>
        <w:rPr>
          <w:rFonts w:ascii="Times New Roman" w:hAnsi="Times New Roman"/>
          <w:sz w:val="20"/>
          <w:szCs w:val="24"/>
          <w:lang w:val="es-ES"/>
        </w:rPr>
      </w:pPr>
      <w:r w:rsidRPr="006800B4">
        <w:rPr>
          <w:rFonts w:ascii="Times New Roman" w:hAnsi="Times New Roman"/>
          <w:sz w:val="20"/>
          <w:szCs w:val="24"/>
          <w:lang w:val="es-ES"/>
        </w:rPr>
        <w:t>Tras la configuración del inventario de actividades por centros ha</w:t>
      </w:r>
      <w:r w:rsidR="001C20EB">
        <w:rPr>
          <w:rFonts w:ascii="Times New Roman" w:hAnsi="Times New Roman"/>
          <w:sz w:val="20"/>
          <w:szCs w:val="24"/>
          <w:lang w:val="es-ES"/>
        </w:rPr>
        <w:t>brá</w:t>
      </w:r>
      <w:r w:rsidRPr="006800B4">
        <w:rPr>
          <w:rFonts w:ascii="Times New Roman" w:hAnsi="Times New Roman"/>
          <w:sz w:val="20"/>
          <w:szCs w:val="24"/>
          <w:lang w:val="es-ES"/>
        </w:rPr>
        <w:t xml:space="preserve"> sido posible establecer las relaciones entre ambas estructuras que permitan canalizar los costes pendientes de reparto en los centros hacia las actividades asociadas a los mismos.</w:t>
      </w:r>
    </w:p>
    <w:p w:rsidR="006800B4" w:rsidRPr="006800B4" w:rsidRDefault="006800B4" w:rsidP="006800B4">
      <w:pPr>
        <w:spacing w:before="0" w:after="0" w:line="240" w:lineRule="auto"/>
        <w:ind w:right="5527"/>
        <w:rPr>
          <w:rFonts w:ascii="Times New Roman" w:hAnsi="Times New Roman"/>
          <w:sz w:val="20"/>
          <w:szCs w:val="24"/>
          <w:lang w:val="es-ES"/>
        </w:rPr>
      </w:pPr>
    </w:p>
    <w:p w:rsidR="006800B4" w:rsidRPr="006800B4" w:rsidRDefault="006800B4" w:rsidP="006800B4">
      <w:pPr>
        <w:spacing w:before="0" w:after="0" w:line="240" w:lineRule="auto"/>
        <w:ind w:right="-1"/>
        <w:rPr>
          <w:rFonts w:ascii="Times New Roman" w:hAnsi="Times New Roman"/>
          <w:sz w:val="20"/>
          <w:szCs w:val="24"/>
          <w:lang w:val="es-ES"/>
        </w:rPr>
      </w:pPr>
      <w:r w:rsidRPr="006800B4">
        <w:rPr>
          <w:rFonts w:ascii="Times New Roman" w:hAnsi="Times New Roman"/>
          <w:sz w:val="20"/>
          <w:szCs w:val="24"/>
          <w:lang w:val="es-ES"/>
        </w:rPr>
        <w:t xml:space="preserve">Sin embargo, el proceso de formación de costes no queda completo en la medida en que la estructura de actividades no incluye únicamente actividades finalistas y asimiladas que constituyen portadores últimos del coste, sino que, por el contrario, existen actividades auxiliares, DAG y de Organización (y, en su caso, anexas) cuyo coste es preciso repercutir sobre aquellas de acuerdo con las premisas del modelo de la Resolución. </w:t>
      </w:r>
    </w:p>
    <w:p w:rsidR="006800B4" w:rsidRPr="006800B4" w:rsidRDefault="006800B4" w:rsidP="006800B4">
      <w:pPr>
        <w:spacing w:before="0" w:after="0" w:line="240" w:lineRule="auto"/>
        <w:ind w:right="-1"/>
        <w:rPr>
          <w:rFonts w:ascii="Times New Roman" w:hAnsi="Times New Roman"/>
          <w:sz w:val="20"/>
          <w:szCs w:val="24"/>
          <w:lang w:val="es-ES"/>
        </w:rPr>
      </w:pPr>
    </w:p>
    <w:p w:rsidR="006800B4" w:rsidRPr="006800B4" w:rsidRDefault="006800B4" w:rsidP="006800B4">
      <w:pPr>
        <w:spacing w:before="0" w:after="0" w:line="240" w:lineRule="auto"/>
        <w:ind w:right="-1"/>
        <w:rPr>
          <w:rFonts w:ascii="Times New Roman" w:hAnsi="Times New Roman"/>
          <w:sz w:val="20"/>
          <w:szCs w:val="24"/>
          <w:lang w:val="es-ES"/>
        </w:rPr>
      </w:pPr>
      <w:r w:rsidRPr="006800B4">
        <w:rPr>
          <w:rFonts w:ascii="Times New Roman" w:hAnsi="Times New Roman"/>
          <w:sz w:val="20"/>
          <w:szCs w:val="24"/>
          <w:lang w:val="es-ES"/>
        </w:rPr>
        <w:t>En concreto, las actividades auxiliares deberán vincularse con los centros beneficiarios de las prestaciones que ofertan en la organización, y las actividades DAG y Organización (y, en su caso, anexas), con las actividades finalistas y asimiladas que representa los portadores finales del coste completo del modelo.</w:t>
      </w:r>
    </w:p>
    <w:p w:rsidR="006800B4" w:rsidRPr="006800B4" w:rsidRDefault="006800B4" w:rsidP="006800B4">
      <w:pPr>
        <w:spacing w:before="0" w:after="0" w:line="240" w:lineRule="auto"/>
        <w:ind w:right="-1"/>
        <w:rPr>
          <w:rFonts w:ascii="Times New Roman" w:hAnsi="Times New Roman"/>
          <w:sz w:val="20"/>
          <w:szCs w:val="24"/>
          <w:lang w:val="es-ES"/>
        </w:rPr>
      </w:pPr>
    </w:p>
    <w:p w:rsidR="006800B4" w:rsidRPr="006800B4" w:rsidRDefault="006800B4" w:rsidP="006800B4">
      <w:pPr>
        <w:spacing w:before="0" w:after="0" w:line="240" w:lineRule="auto"/>
        <w:ind w:right="-1"/>
        <w:rPr>
          <w:rFonts w:ascii="Times New Roman" w:hAnsi="Times New Roman"/>
          <w:sz w:val="20"/>
          <w:szCs w:val="24"/>
          <w:lang w:val="es-ES"/>
        </w:rPr>
      </w:pPr>
      <w:r w:rsidRPr="006800B4">
        <w:rPr>
          <w:rFonts w:ascii="Times New Roman" w:hAnsi="Times New Roman"/>
          <w:sz w:val="20"/>
          <w:szCs w:val="24"/>
          <w:lang w:val="es-ES"/>
        </w:rPr>
        <w:t>En consecuencia, resulta necesario en este punto abordar la configuración del mapa de procesos del modelo consolidado que permita la imputación del coste de tales actividades a los objetos de coste finales.</w:t>
      </w:r>
    </w:p>
    <w:p w:rsidR="006800B4" w:rsidRPr="006800B4" w:rsidRDefault="006800B4" w:rsidP="006800B4">
      <w:pPr>
        <w:spacing w:before="0" w:after="0" w:line="240" w:lineRule="auto"/>
        <w:ind w:right="-1"/>
        <w:rPr>
          <w:rFonts w:ascii="Times New Roman" w:hAnsi="Times New Roman"/>
          <w:sz w:val="20"/>
          <w:szCs w:val="24"/>
          <w:lang w:val="es-ES"/>
        </w:rPr>
      </w:pPr>
    </w:p>
    <w:p w:rsidR="006800B4" w:rsidRPr="006800B4" w:rsidRDefault="006800B4" w:rsidP="006800B4">
      <w:pPr>
        <w:spacing w:before="0" w:after="0" w:line="240" w:lineRule="auto"/>
        <w:ind w:right="-1"/>
        <w:rPr>
          <w:rFonts w:ascii="Times New Roman" w:hAnsi="Times New Roman"/>
          <w:sz w:val="20"/>
          <w:szCs w:val="24"/>
          <w:lang w:val="es-ES"/>
        </w:rPr>
      </w:pPr>
      <w:r w:rsidRPr="006800B4">
        <w:rPr>
          <w:rFonts w:ascii="Times New Roman" w:hAnsi="Times New Roman"/>
          <w:sz w:val="20"/>
          <w:szCs w:val="24"/>
          <w:lang w:val="es-ES"/>
        </w:rPr>
        <w:t>Este constituye, junto a la problemática de la transversalidad, uno de los aspectos claves del modelo de contabilidad analítica consolidado, en la medida en que permite imputar los costes generales del Ente a las distintas actividades y servicios, con independencia de que se presten por parte del Ente Principal o cualquier</w:t>
      </w:r>
      <w:r w:rsidR="001C20EB">
        <w:rPr>
          <w:rFonts w:ascii="Times New Roman" w:hAnsi="Times New Roman"/>
          <w:sz w:val="20"/>
          <w:szCs w:val="24"/>
          <w:lang w:val="es-ES"/>
        </w:rPr>
        <w:t>a</w:t>
      </w:r>
      <w:r w:rsidRPr="006800B4">
        <w:rPr>
          <w:rFonts w:ascii="Times New Roman" w:hAnsi="Times New Roman"/>
          <w:sz w:val="20"/>
          <w:szCs w:val="24"/>
          <w:lang w:val="es-ES"/>
        </w:rPr>
        <w:t xml:space="preserve"> de las Entidades que conforman el conglomerado local, evitando imputaciones cruzadas de coste que sesguen y distorsionen los costes de las prestaciones en razón de qué Ente efectúa la prestación.</w:t>
      </w:r>
    </w:p>
    <w:p w:rsidR="006800B4" w:rsidRPr="006800B4" w:rsidRDefault="006800B4" w:rsidP="006800B4">
      <w:pPr>
        <w:spacing w:before="0" w:after="0" w:line="240" w:lineRule="auto"/>
        <w:ind w:right="-1"/>
        <w:rPr>
          <w:rFonts w:ascii="Times New Roman" w:hAnsi="Times New Roman"/>
          <w:sz w:val="20"/>
          <w:szCs w:val="24"/>
          <w:lang w:val="es-ES"/>
        </w:rPr>
      </w:pPr>
    </w:p>
    <w:p w:rsidR="006800B4" w:rsidRPr="006800B4" w:rsidRDefault="006800B4" w:rsidP="006800B4">
      <w:pPr>
        <w:spacing w:before="0" w:after="0" w:line="240" w:lineRule="auto"/>
        <w:ind w:right="-1"/>
        <w:rPr>
          <w:rFonts w:ascii="Times New Roman" w:hAnsi="Times New Roman"/>
          <w:sz w:val="20"/>
          <w:szCs w:val="24"/>
          <w:lang w:val="es-ES"/>
        </w:rPr>
      </w:pPr>
      <w:r w:rsidRPr="006800B4">
        <w:rPr>
          <w:rFonts w:ascii="Times New Roman" w:hAnsi="Times New Roman"/>
          <w:sz w:val="20"/>
          <w:szCs w:val="24"/>
          <w:lang w:val="es-ES"/>
        </w:rPr>
        <w:t>De esta forma, la definición del modelo consolidado obliga, como uno de sus apartados más importantes, a redefinir el mapa de procesos de tales entidades para reflejar las relaciones reales que caracterizan al conglomerado.</w:t>
      </w:r>
    </w:p>
    <w:p w:rsidR="006800B4" w:rsidRPr="006800B4" w:rsidRDefault="006800B4" w:rsidP="006800B4">
      <w:pPr>
        <w:spacing w:before="0" w:after="0" w:line="240" w:lineRule="auto"/>
        <w:ind w:right="-1"/>
        <w:rPr>
          <w:rFonts w:ascii="Times New Roman" w:hAnsi="Times New Roman"/>
          <w:sz w:val="20"/>
          <w:szCs w:val="24"/>
          <w:lang w:val="es-ES"/>
        </w:rPr>
      </w:pPr>
    </w:p>
    <w:p w:rsidR="006800B4" w:rsidRPr="0059158A" w:rsidRDefault="006800B4" w:rsidP="00934818">
      <w:pPr>
        <w:spacing w:before="0" w:after="0" w:line="240" w:lineRule="auto"/>
        <w:rPr>
          <w:rFonts w:ascii="Times New Roman" w:hAnsi="Times New Roman"/>
          <w:b/>
          <w:sz w:val="20"/>
          <w:szCs w:val="24"/>
          <w:lang w:val="es-ES"/>
        </w:rPr>
      </w:pPr>
      <w:r w:rsidRPr="0059158A">
        <w:rPr>
          <w:rFonts w:ascii="Times New Roman" w:hAnsi="Times New Roman"/>
          <w:b/>
          <w:sz w:val="20"/>
          <w:szCs w:val="24"/>
          <w:lang w:val="es-ES"/>
        </w:rPr>
        <w:t>3.4.2.1. ACTIVIDADES AUXILIARES</w:t>
      </w:r>
    </w:p>
    <w:p w:rsidR="006800B4" w:rsidRDefault="006800B4" w:rsidP="00934818">
      <w:pPr>
        <w:spacing w:before="0" w:after="0" w:line="240" w:lineRule="auto"/>
        <w:rPr>
          <w:rFonts w:ascii="Times New Roman" w:hAnsi="Times New Roman"/>
          <w:sz w:val="20"/>
          <w:szCs w:val="24"/>
          <w:lang w:val="es-ES"/>
        </w:rPr>
      </w:pPr>
    </w:p>
    <w:p w:rsidR="006800B4" w:rsidRPr="006800B4" w:rsidRDefault="006800B4" w:rsidP="006800B4">
      <w:pPr>
        <w:spacing w:before="0" w:after="0" w:line="240" w:lineRule="auto"/>
        <w:ind w:right="-1"/>
        <w:rPr>
          <w:rFonts w:ascii="Times New Roman" w:hAnsi="Times New Roman"/>
          <w:sz w:val="20"/>
          <w:szCs w:val="24"/>
          <w:lang w:val="es-ES"/>
        </w:rPr>
      </w:pPr>
      <w:r w:rsidRPr="006800B4">
        <w:rPr>
          <w:rFonts w:ascii="Times New Roman" w:hAnsi="Times New Roman"/>
          <w:sz w:val="20"/>
          <w:szCs w:val="24"/>
          <w:lang w:val="es-ES"/>
        </w:rPr>
        <w:t>Respecto al tratamiento y distribución del coste asociado a las actividades auxiliares, puede ocurrir con cierta frecuencia que determinados servicios (informática, mantenimiento,…) se presten de manera centralizada por el Ente Principal u otro ente diferenciado, a todas o a algunas de las Entidades que forman parte del conglomerado local.</w:t>
      </w:r>
    </w:p>
    <w:p w:rsidR="006800B4" w:rsidRPr="006800B4" w:rsidRDefault="006800B4" w:rsidP="006800B4">
      <w:pPr>
        <w:spacing w:before="0" w:after="0" w:line="240" w:lineRule="auto"/>
        <w:ind w:right="-1"/>
        <w:rPr>
          <w:rFonts w:ascii="Times New Roman" w:hAnsi="Times New Roman"/>
          <w:sz w:val="20"/>
          <w:szCs w:val="24"/>
          <w:lang w:val="es-ES"/>
        </w:rPr>
      </w:pPr>
    </w:p>
    <w:p w:rsidR="006800B4" w:rsidRPr="006800B4" w:rsidRDefault="006800B4" w:rsidP="006800B4">
      <w:pPr>
        <w:spacing w:before="0" w:after="0" w:line="240" w:lineRule="auto"/>
        <w:ind w:right="-1"/>
        <w:rPr>
          <w:rFonts w:ascii="Times New Roman" w:hAnsi="Times New Roman"/>
          <w:sz w:val="20"/>
          <w:szCs w:val="24"/>
          <w:lang w:val="es-ES"/>
        </w:rPr>
      </w:pPr>
      <w:r w:rsidRPr="006800B4">
        <w:rPr>
          <w:rFonts w:ascii="Times New Roman" w:hAnsi="Times New Roman"/>
          <w:sz w:val="20"/>
          <w:szCs w:val="24"/>
          <w:lang w:val="es-ES"/>
        </w:rPr>
        <w:t>En este caso, resulta preciso considerar, para el reparto de sus prestaciones, la totalidad de los beneficiarios de las mismas, al objeto de evitar repartos cruzados de coste que distorsionen el coste completo de los correspondientes servicios, por razón del Ente que ofrece la correspondiente prestación.</w:t>
      </w:r>
    </w:p>
    <w:p w:rsidR="006800B4" w:rsidRPr="006800B4" w:rsidRDefault="006800B4" w:rsidP="006800B4">
      <w:pPr>
        <w:spacing w:before="0" w:after="0" w:line="240" w:lineRule="auto"/>
        <w:ind w:right="-1"/>
        <w:rPr>
          <w:rFonts w:ascii="Times New Roman" w:hAnsi="Times New Roman"/>
          <w:sz w:val="20"/>
          <w:szCs w:val="24"/>
          <w:lang w:val="es-ES"/>
        </w:rPr>
      </w:pPr>
    </w:p>
    <w:p w:rsidR="006800B4" w:rsidRDefault="006800B4" w:rsidP="006800B4">
      <w:pPr>
        <w:spacing w:before="0" w:after="0" w:line="240" w:lineRule="auto"/>
        <w:rPr>
          <w:rFonts w:ascii="Times New Roman" w:hAnsi="Times New Roman"/>
          <w:sz w:val="20"/>
          <w:szCs w:val="24"/>
          <w:lang w:val="es-ES"/>
        </w:rPr>
      </w:pPr>
      <w:r w:rsidRPr="006800B4">
        <w:rPr>
          <w:rFonts w:ascii="Times New Roman" w:hAnsi="Times New Roman"/>
          <w:sz w:val="20"/>
          <w:szCs w:val="24"/>
          <w:lang w:val="es-ES"/>
        </w:rPr>
        <w:t>De esta forma, entendemos que, desde la propia modelización de los estados individuales deberían etiquetarse, los centros usuarios de las correspondientes prestaciones, para permitir generar en función de dichas etiquetas, y de manera automática, el mapa de procesos de las actividades auxiliares, efectuándose un reparto a todos los centros beneficiarios de una determinada prestación</w:t>
      </w:r>
      <w:r>
        <w:rPr>
          <w:rFonts w:ascii="Times New Roman" w:hAnsi="Times New Roman"/>
          <w:sz w:val="20"/>
          <w:szCs w:val="24"/>
          <w:lang w:val="es-ES"/>
        </w:rPr>
        <w:t>.</w:t>
      </w:r>
    </w:p>
    <w:p w:rsidR="006800B4" w:rsidRDefault="006800B4" w:rsidP="006800B4">
      <w:pPr>
        <w:spacing w:before="0" w:after="0" w:line="240" w:lineRule="auto"/>
        <w:rPr>
          <w:rFonts w:ascii="Times New Roman" w:hAnsi="Times New Roman"/>
          <w:sz w:val="20"/>
          <w:szCs w:val="24"/>
          <w:lang w:val="es-ES"/>
        </w:rPr>
      </w:pPr>
    </w:p>
    <w:p w:rsidR="006800B4" w:rsidRPr="0059158A" w:rsidRDefault="006800B4" w:rsidP="00934818">
      <w:pPr>
        <w:spacing w:before="0" w:after="0" w:line="240" w:lineRule="auto"/>
        <w:rPr>
          <w:rFonts w:ascii="Times New Roman" w:hAnsi="Times New Roman"/>
          <w:b/>
          <w:sz w:val="20"/>
          <w:szCs w:val="24"/>
          <w:lang w:val="es-ES"/>
        </w:rPr>
      </w:pPr>
      <w:r w:rsidRPr="0059158A">
        <w:rPr>
          <w:rFonts w:ascii="Times New Roman" w:hAnsi="Times New Roman"/>
          <w:b/>
          <w:sz w:val="20"/>
          <w:szCs w:val="24"/>
          <w:lang w:val="es-ES"/>
        </w:rPr>
        <w:t>3.4.2.2. ACTIVIDADES DAG</w:t>
      </w:r>
      <w:r w:rsidR="001C20EB">
        <w:rPr>
          <w:rFonts w:ascii="Times New Roman" w:hAnsi="Times New Roman"/>
          <w:b/>
          <w:sz w:val="20"/>
          <w:szCs w:val="24"/>
          <w:lang w:val="es-ES"/>
        </w:rPr>
        <w:t xml:space="preserve"> Y DE ORGANIZACIÓN</w:t>
      </w:r>
    </w:p>
    <w:p w:rsidR="006800B4" w:rsidRPr="006800B4" w:rsidRDefault="006800B4" w:rsidP="006800B4">
      <w:pPr>
        <w:spacing w:before="0" w:after="0" w:line="240" w:lineRule="auto"/>
        <w:rPr>
          <w:rFonts w:ascii="Times New Roman" w:hAnsi="Times New Roman"/>
          <w:sz w:val="20"/>
          <w:szCs w:val="20"/>
          <w:lang w:val="es-ES"/>
        </w:rPr>
      </w:pPr>
    </w:p>
    <w:p w:rsidR="006800B4" w:rsidRPr="006800B4" w:rsidRDefault="006800B4" w:rsidP="006800B4">
      <w:pPr>
        <w:spacing w:before="0" w:after="0" w:line="240" w:lineRule="auto"/>
        <w:ind w:right="-1"/>
        <w:rPr>
          <w:rFonts w:ascii="Times New Roman" w:hAnsi="Times New Roman"/>
          <w:sz w:val="20"/>
          <w:szCs w:val="20"/>
          <w:lang w:val="es-ES"/>
        </w:rPr>
      </w:pPr>
      <w:r w:rsidRPr="006800B4">
        <w:rPr>
          <w:rFonts w:ascii="Times New Roman" w:hAnsi="Times New Roman"/>
          <w:sz w:val="20"/>
          <w:szCs w:val="20"/>
          <w:lang w:val="es-ES"/>
        </w:rPr>
        <w:t>En lo que se refiere al tratamiento y distribución del coste asociado a las actividades DAG y organización (y, en su caso, anexas), entendemos que, desde la propia modelización de los estados individuales deberían etiquetarse, como se ha indicado anteriormente, las áreas competenciales con las que se relacionan las correspondientes actividades, para permitir generar en función de dichas etiquetas, y de manera automática, el mapa de procesos de las actividades que tengan carácter funcional, efectuándose un reparto a todas las actividades finalistas y asimiladas de las actividades DAG de carácter general.</w:t>
      </w:r>
    </w:p>
    <w:p w:rsidR="006800B4" w:rsidRPr="006800B4" w:rsidRDefault="006800B4" w:rsidP="006800B4">
      <w:pPr>
        <w:spacing w:before="0" w:after="0" w:line="240" w:lineRule="auto"/>
        <w:ind w:right="-1"/>
        <w:rPr>
          <w:rFonts w:ascii="Times New Roman" w:hAnsi="Times New Roman"/>
          <w:sz w:val="20"/>
          <w:szCs w:val="20"/>
          <w:lang w:val="es-ES"/>
        </w:rPr>
      </w:pPr>
    </w:p>
    <w:p w:rsidR="006800B4" w:rsidRPr="006800B4" w:rsidRDefault="006800B4" w:rsidP="006800B4">
      <w:pPr>
        <w:spacing w:before="0" w:after="0" w:line="240" w:lineRule="auto"/>
        <w:ind w:right="-1"/>
        <w:rPr>
          <w:rFonts w:ascii="Times New Roman" w:hAnsi="Times New Roman"/>
          <w:sz w:val="20"/>
          <w:szCs w:val="20"/>
          <w:lang w:val="es-ES"/>
        </w:rPr>
      </w:pPr>
      <w:r w:rsidRPr="006800B4">
        <w:rPr>
          <w:rFonts w:ascii="Times New Roman" w:hAnsi="Times New Roman"/>
          <w:sz w:val="20"/>
          <w:szCs w:val="20"/>
          <w:lang w:val="es-ES"/>
        </w:rPr>
        <w:t>Para ello, resulta necesario identificar con otra etiqueta complementaria las actividades DAG de carácter general, para la que se aplica un mapa de proceso y un ámbito de reparto universal</w:t>
      </w:r>
      <w:r w:rsidRPr="001C20EB">
        <w:rPr>
          <w:rFonts w:ascii="Times New Roman" w:hAnsi="Times New Roman"/>
          <w:sz w:val="20"/>
          <w:szCs w:val="20"/>
          <w:vertAlign w:val="superscript"/>
          <w:lang w:val="es-ES"/>
        </w:rPr>
        <w:footnoteReference w:id="3"/>
      </w:r>
      <w:r w:rsidRPr="006800B4">
        <w:rPr>
          <w:rFonts w:ascii="Times New Roman" w:hAnsi="Times New Roman"/>
          <w:sz w:val="20"/>
          <w:szCs w:val="20"/>
          <w:lang w:val="es-ES"/>
        </w:rPr>
        <w:t>, frente a las calificadas como funcionales para las que habría que aplicar el mapa de proceso y el ámbito de reparto derivado de las etiquetas asociadas al ámbito competencial anteriormente descrit</w:t>
      </w:r>
      <w:r w:rsidR="001C20EB">
        <w:rPr>
          <w:rFonts w:ascii="Times New Roman" w:hAnsi="Times New Roman"/>
          <w:sz w:val="20"/>
          <w:szCs w:val="20"/>
          <w:lang w:val="es-ES"/>
        </w:rPr>
        <w:t>o</w:t>
      </w:r>
      <w:r w:rsidRPr="006800B4">
        <w:rPr>
          <w:rFonts w:ascii="Times New Roman" w:hAnsi="Times New Roman"/>
          <w:sz w:val="20"/>
          <w:szCs w:val="20"/>
          <w:lang w:val="es-ES"/>
        </w:rPr>
        <w:t>.</w:t>
      </w:r>
    </w:p>
    <w:p w:rsidR="006800B4" w:rsidRPr="006800B4" w:rsidRDefault="006800B4" w:rsidP="006800B4">
      <w:pPr>
        <w:spacing w:before="0" w:after="0" w:line="240" w:lineRule="auto"/>
        <w:ind w:right="-1"/>
        <w:rPr>
          <w:rFonts w:ascii="Times New Roman" w:hAnsi="Times New Roman"/>
          <w:sz w:val="20"/>
          <w:szCs w:val="20"/>
          <w:lang w:val="es-ES"/>
        </w:rPr>
      </w:pPr>
    </w:p>
    <w:p w:rsidR="0059158A" w:rsidRPr="0059158A" w:rsidRDefault="0059158A" w:rsidP="006800B4">
      <w:pPr>
        <w:spacing w:before="0" w:after="0" w:line="240" w:lineRule="auto"/>
        <w:rPr>
          <w:rFonts w:ascii="Times New Roman" w:hAnsi="Times New Roman"/>
          <w:b/>
          <w:sz w:val="20"/>
          <w:szCs w:val="20"/>
          <w:lang w:val="es-ES"/>
        </w:rPr>
      </w:pPr>
      <w:r w:rsidRPr="0059158A">
        <w:rPr>
          <w:rFonts w:ascii="Times New Roman" w:hAnsi="Times New Roman"/>
          <w:b/>
          <w:sz w:val="20"/>
          <w:szCs w:val="20"/>
          <w:lang w:val="es-ES"/>
        </w:rPr>
        <w:t>3.5. BASES Y CRITERIOS DE REPARTO</w:t>
      </w:r>
    </w:p>
    <w:p w:rsidR="0059158A" w:rsidRDefault="0059158A" w:rsidP="006800B4">
      <w:pPr>
        <w:spacing w:before="0" w:after="0" w:line="240" w:lineRule="auto"/>
        <w:rPr>
          <w:rFonts w:ascii="Times New Roman" w:hAnsi="Times New Roman"/>
          <w:sz w:val="20"/>
          <w:szCs w:val="20"/>
          <w:lang w:val="es-ES"/>
        </w:rPr>
      </w:pPr>
    </w:p>
    <w:p w:rsidR="0059158A" w:rsidRPr="0059158A" w:rsidRDefault="0059158A" w:rsidP="0059158A">
      <w:pPr>
        <w:spacing w:before="0" w:after="0" w:line="240" w:lineRule="auto"/>
        <w:ind w:right="-1"/>
        <w:rPr>
          <w:rFonts w:ascii="Times New Roman" w:hAnsi="Times New Roman"/>
          <w:sz w:val="20"/>
          <w:szCs w:val="20"/>
          <w:lang w:val="es-ES"/>
        </w:rPr>
      </w:pPr>
      <w:r w:rsidRPr="0059158A">
        <w:rPr>
          <w:rFonts w:ascii="Times New Roman" w:hAnsi="Times New Roman"/>
          <w:sz w:val="20"/>
          <w:szCs w:val="20"/>
          <w:lang w:val="es-ES"/>
        </w:rPr>
        <w:t>A priori, esta cuestión no presenta especiales dificultades porque, en la medida en que se incorporan desde el modelo las estructuras de elementos, centros y actividades con la etiqueta de su centro de origen, pueden mantenerse las bases y criterios de reparto asociados a las diferentes estructuras y equivalencias definidas en cada modelo individual, que tendrían que importarse al modelo consolidado.</w:t>
      </w:r>
    </w:p>
    <w:p w:rsidR="0059158A" w:rsidRPr="0059158A" w:rsidRDefault="0059158A" w:rsidP="0059158A">
      <w:pPr>
        <w:spacing w:before="0" w:after="0" w:line="240" w:lineRule="auto"/>
        <w:ind w:right="-1"/>
        <w:rPr>
          <w:rFonts w:ascii="Times New Roman" w:hAnsi="Times New Roman"/>
          <w:sz w:val="20"/>
          <w:szCs w:val="20"/>
          <w:lang w:val="es-ES"/>
        </w:rPr>
      </w:pPr>
    </w:p>
    <w:p w:rsidR="0059158A" w:rsidRPr="0059158A" w:rsidRDefault="0059158A" w:rsidP="0059158A">
      <w:pPr>
        <w:spacing w:before="0" w:after="0" w:line="240" w:lineRule="auto"/>
        <w:ind w:right="-1"/>
        <w:rPr>
          <w:rFonts w:ascii="Times New Roman" w:hAnsi="Times New Roman"/>
          <w:sz w:val="20"/>
          <w:szCs w:val="20"/>
          <w:lang w:val="es-ES"/>
        </w:rPr>
      </w:pPr>
      <w:r w:rsidRPr="0059158A">
        <w:rPr>
          <w:rFonts w:ascii="Times New Roman" w:hAnsi="Times New Roman"/>
          <w:sz w:val="20"/>
          <w:szCs w:val="20"/>
          <w:lang w:val="es-ES"/>
        </w:rPr>
        <w:t>Los únicos repartos que se verían afectados “ex novo” en el modelo consolidado serían los correspondientes a las actividades de soporte que pasarían a afectar potencialmente a toda la organización o a la parte o área que funcionalmente les corresponda. Esta es una cuestión que afecta al mapa de procesos del modelo consolidado, cuestión tratada en el apartado anterior.</w:t>
      </w:r>
    </w:p>
    <w:p w:rsidR="0059158A" w:rsidRPr="0059158A" w:rsidRDefault="0059158A" w:rsidP="0059158A">
      <w:pPr>
        <w:spacing w:before="0" w:after="0" w:line="240" w:lineRule="auto"/>
        <w:ind w:right="-1"/>
        <w:rPr>
          <w:rFonts w:ascii="Times New Roman" w:hAnsi="Times New Roman"/>
          <w:sz w:val="20"/>
          <w:szCs w:val="20"/>
          <w:lang w:val="es-ES"/>
        </w:rPr>
      </w:pPr>
    </w:p>
    <w:p w:rsidR="0059158A" w:rsidRPr="0059158A" w:rsidRDefault="0059158A" w:rsidP="0059158A">
      <w:pPr>
        <w:spacing w:before="0" w:after="0" w:line="240" w:lineRule="auto"/>
        <w:ind w:right="-1"/>
        <w:rPr>
          <w:rFonts w:ascii="Times New Roman" w:hAnsi="Times New Roman"/>
          <w:sz w:val="20"/>
          <w:szCs w:val="20"/>
          <w:lang w:val="es-ES"/>
        </w:rPr>
      </w:pPr>
      <w:r w:rsidRPr="0059158A">
        <w:rPr>
          <w:rFonts w:ascii="Times New Roman" w:hAnsi="Times New Roman"/>
          <w:sz w:val="20"/>
          <w:szCs w:val="20"/>
          <w:lang w:val="es-ES"/>
        </w:rPr>
        <w:t>Sin embargo, no existen razones a priori para modificar los criterios que para el reparto de tales actividades de soporte se hubiesen definido, sino para actualizar, como se ha mencionado</w:t>
      </w:r>
      <w:r w:rsidR="001C20EB">
        <w:rPr>
          <w:rFonts w:ascii="Times New Roman" w:hAnsi="Times New Roman"/>
          <w:sz w:val="20"/>
          <w:szCs w:val="20"/>
          <w:lang w:val="es-ES"/>
        </w:rPr>
        <w:t>,</w:t>
      </w:r>
      <w:r w:rsidRPr="0059158A">
        <w:rPr>
          <w:rFonts w:ascii="Times New Roman" w:hAnsi="Times New Roman"/>
          <w:sz w:val="20"/>
          <w:szCs w:val="20"/>
          <w:lang w:val="es-ES"/>
        </w:rPr>
        <w:t xml:space="preserve"> los mapas de proceso.</w:t>
      </w:r>
    </w:p>
    <w:p w:rsidR="0059158A" w:rsidRPr="0059158A" w:rsidRDefault="0059158A" w:rsidP="0059158A">
      <w:pPr>
        <w:spacing w:before="0" w:after="0" w:line="240" w:lineRule="auto"/>
        <w:ind w:right="-1"/>
        <w:rPr>
          <w:rFonts w:ascii="Times New Roman" w:hAnsi="Times New Roman"/>
          <w:sz w:val="20"/>
          <w:szCs w:val="20"/>
          <w:lang w:val="es-ES"/>
        </w:rPr>
      </w:pPr>
    </w:p>
    <w:p w:rsidR="0059158A" w:rsidRPr="0059158A" w:rsidRDefault="0059158A" w:rsidP="0059158A">
      <w:pPr>
        <w:spacing w:before="0" w:after="0" w:line="240" w:lineRule="auto"/>
        <w:ind w:right="-1"/>
        <w:rPr>
          <w:rFonts w:ascii="Times New Roman" w:hAnsi="Times New Roman"/>
          <w:sz w:val="20"/>
          <w:szCs w:val="20"/>
          <w:lang w:val="es-ES"/>
        </w:rPr>
      </w:pPr>
      <w:r w:rsidRPr="0059158A">
        <w:rPr>
          <w:rFonts w:ascii="Times New Roman" w:hAnsi="Times New Roman"/>
          <w:sz w:val="20"/>
          <w:szCs w:val="20"/>
          <w:lang w:val="es-ES"/>
        </w:rPr>
        <w:t>Por ello, el tratamiento propuesto sería la generación automática del conjunto de bases y criterios de reparto con su correspondiente asociación con las es</w:t>
      </w:r>
      <w:r w:rsidR="001C20EB">
        <w:rPr>
          <w:rFonts w:ascii="Times New Roman" w:hAnsi="Times New Roman"/>
          <w:sz w:val="20"/>
          <w:szCs w:val="20"/>
          <w:lang w:val="es-ES"/>
        </w:rPr>
        <w:t>tructuras con la que se asocian</w:t>
      </w:r>
      <w:r w:rsidRPr="0059158A">
        <w:rPr>
          <w:rFonts w:ascii="Times New Roman" w:hAnsi="Times New Roman"/>
          <w:sz w:val="20"/>
          <w:szCs w:val="20"/>
          <w:lang w:val="es-ES"/>
        </w:rPr>
        <w:t>.</w:t>
      </w:r>
    </w:p>
    <w:p w:rsidR="0059158A" w:rsidRPr="0059158A" w:rsidRDefault="0059158A" w:rsidP="0059158A">
      <w:pPr>
        <w:spacing w:before="0" w:after="0" w:line="240" w:lineRule="auto"/>
        <w:ind w:right="-1"/>
        <w:rPr>
          <w:rFonts w:ascii="Times New Roman" w:hAnsi="Times New Roman"/>
          <w:sz w:val="20"/>
          <w:szCs w:val="20"/>
          <w:lang w:val="es-ES"/>
        </w:rPr>
      </w:pPr>
    </w:p>
    <w:p w:rsidR="0059158A" w:rsidRDefault="0059158A" w:rsidP="0059158A">
      <w:pPr>
        <w:spacing w:before="0" w:after="0" w:line="240" w:lineRule="auto"/>
        <w:rPr>
          <w:rFonts w:ascii="Times New Roman" w:hAnsi="Times New Roman"/>
          <w:sz w:val="20"/>
          <w:szCs w:val="20"/>
          <w:lang w:val="es-ES"/>
        </w:rPr>
      </w:pPr>
      <w:r w:rsidRPr="0059158A">
        <w:rPr>
          <w:rFonts w:ascii="Times New Roman" w:hAnsi="Times New Roman"/>
          <w:sz w:val="20"/>
          <w:szCs w:val="20"/>
          <w:lang w:val="es-ES"/>
        </w:rPr>
        <w:t>La única dificultad podría provenir del reparto de actividades auxiliares cuando el reparto se efectuase sobre partes de trabajo o datos de facturación interna que hubiera que incorporar de manera consolidada al definir el modelo agregado. En el caso de que se hubieran utilizado datos técnicos como número de usuarios o metros cuadrados de superficie, dichos datos ya deberían estar definidos en cada modelo individual y completaría la correspondiente base de reparto consolidada</w:t>
      </w:r>
      <w:r>
        <w:rPr>
          <w:rFonts w:ascii="Times New Roman" w:hAnsi="Times New Roman"/>
          <w:sz w:val="20"/>
          <w:szCs w:val="20"/>
          <w:lang w:val="es-ES"/>
        </w:rPr>
        <w:t>.</w:t>
      </w:r>
    </w:p>
    <w:p w:rsidR="006800B4" w:rsidRDefault="006800B4" w:rsidP="0059158A">
      <w:pPr>
        <w:spacing w:before="0" w:after="0" w:line="240" w:lineRule="auto"/>
        <w:rPr>
          <w:rFonts w:ascii="Times New Roman" w:hAnsi="Times New Roman"/>
          <w:sz w:val="20"/>
          <w:szCs w:val="20"/>
          <w:lang w:val="es-ES"/>
        </w:rPr>
      </w:pPr>
    </w:p>
    <w:p w:rsidR="0059158A" w:rsidRPr="0059158A" w:rsidRDefault="0059158A" w:rsidP="0059158A">
      <w:pPr>
        <w:spacing w:before="0" w:after="0" w:line="240" w:lineRule="auto"/>
        <w:rPr>
          <w:rFonts w:ascii="Times New Roman" w:hAnsi="Times New Roman"/>
          <w:b/>
          <w:sz w:val="20"/>
          <w:szCs w:val="20"/>
          <w:lang w:val="es-ES"/>
        </w:rPr>
      </w:pPr>
      <w:r w:rsidRPr="0059158A">
        <w:rPr>
          <w:rFonts w:ascii="Times New Roman" w:hAnsi="Times New Roman"/>
          <w:b/>
          <w:sz w:val="20"/>
          <w:szCs w:val="20"/>
          <w:lang w:val="es-ES"/>
        </w:rPr>
        <w:t>3.6. ESTRUCTURA DE INGRESOS</w:t>
      </w:r>
    </w:p>
    <w:p w:rsidR="0059158A" w:rsidRPr="0059158A" w:rsidRDefault="0059158A" w:rsidP="0059158A">
      <w:pPr>
        <w:spacing w:before="0" w:after="0" w:line="240" w:lineRule="auto"/>
        <w:rPr>
          <w:rFonts w:ascii="Times New Roman" w:hAnsi="Times New Roman"/>
          <w:sz w:val="20"/>
          <w:szCs w:val="24"/>
          <w:lang w:val="es-ES"/>
        </w:rPr>
      </w:pPr>
    </w:p>
    <w:p w:rsidR="0059158A" w:rsidRPr="0059158A" w:rsidRDefault="0059158A" w:rsidP="0059158A">
      <w:pPr>
        <w:spacing w:before="0" w:after="0" w:line="240" w:lineRule="auto"/>
        <w:rPr>
          <w:rFonts w:ascii="Times New Roman" w:hAnsi="Times New Roman"/>
          <w:sz w:val="20"/>
          <w:szCs w:val="24"/>
          <w:lang w:val="es-ES"/>
        </w:rPr>
      </w:pPr>
      <w:r w:rsidRPr="0059158A">
        <w:rPr>
          <w:rFonts w:ascii="Times New Roman" w:hAnsi="Times New Roman"/>
          <w:sz w:val="20"/>
          <w:szCs w:val="24"/>
          <w:lang w:val="es-ES"/>
        </w:rPr>
        <w:t>Tras abordar las problemáticas relativas a las estructuras de coste, corresponde abordar la vinculada con los ingresos consolidados.</w:t>
      </w:r>
    </w:p>
    <w:p w:rsidR="0059158A" w:rsidRPr="0059158A" w:rsidRDefault="0059158A" w:rsidP="0059158A">
      <w:pPr>
        <w:spacing w:before="0" w:after="0" w:line="240" w:lineRule="auto"/>
        <w:rPr>
          <w:rFonts w:ascii="Times New Roman" w:hAnsi="Times New Roman"/>
          <w:sz w:val="20"/>
          <w:szCs w:val="24"/>
          <w:lang w:val="es-ES"/>
        </w:rPr>
      </w:pPr>
    </w:p>
    <w:p w:rsidR="0059158A" w:rsidRPr="0059158A" w:rsidRDefault="0059158A" w:rsidP="0059158A">
      <w:pPr>
        <w:spacing w:before="0" w:after="0" w:line="240" w:lineRule="auto"/>
        <w:rPr>
          <w:rFonts w:ascii="Times New Roman" w:hAnsi="Times New Roman"/>
          <w:sz w:val="20"/>
          <w:szCs w:val="24"/>
          <w:lang w:val="es-ES"/>
        </w:rPr>
      </w:pPr>
      <w:r w:rsidRPr="0059158A">
        <w:rPr>
          <w:rFonts w:ascii="Times New Roman" w:hAnsi="Times New Roman"/>
          <w:sz w:val="20"/>
          <w:szCs w:val="24"/>
          <w:lang w:val="es-ES"/>
        </w:rPr>
        <w:t>Aunque al igual que para el caso de los elementos de coste, podría parecer a priori una de las estructuras que menos dificultades presentan para la consolidación</w:t>
      </w:r>
      <w:r w:rsidR="001C20EB">
        <w:rPr>
          <w:rFonts w:ascii="Times New Roman" w:hAnsi="Times New Roman"/>
          <w:sz w:val="20"/>
          <w:szCs w:val="24"/>
          <w:lang w:val="es-ES"/>
        </w:rPr>
        <w:t>,</w:t>
      </w:r>
      <w:r w:rsidRPr="0059158A">
        <w:rPr>
          <w:rFonts w:ascii="Times New Roman" w:hAnsi="Times New Roman"/>
          <w:sz w:val="20"/>
          <w:szCs w:val="24"/>
          <w:lang w:val="es-ES"/>
        </w:rPr>
        <w:t xml:space="preserve"> muestra, sin embargo, algunas dificultades que la diferencian de aquélla.</w:t>
      </w:r>
    </w:p>
    <w:p w:rsidR="0059158A" w:rsidRPr="0059158A" w:rsidRDefault="0059158A" w:rsidP="0059158A">
      <w:pPr>
        <w:spacing w:before="0" w:after="0" w:line="240" w:lineRule="auto"/>
        <w:rPr>
          <w:rFonts w:ascii="Times New Roman" w:hAnsi="Times New Roman"/>
          <w:sz w:val="20"/>
          <w:szCs w:val="24"/>
          <w:lang w:val="es-ES"/>
        </w:rPr>
      </w:pPr>
    </w:p>
    <w:p w:rsidR="0059158A" w:rsidRPr="0059158A" w:rsidRDefault="0059158A" w:rsidP="0059158A">
      <w:pPr>
        <w:spacing w:before="0" w:after="0" w:line="240" w:lineRule="auto"/>
        <w:rPr>
          <w:rFonts w:ascii="Times New Roman" w:hAnsi="Times New Roman"/>
          <w:sz w:val="20"/>
          <w:szCs w:val="24"/>
          <w:lang w:val="es-ES"/>
        </w:rPr>
      </w:pPr>
      <w:r w:rsidRPr="0059158A">
        <w:rPr>
          <w:rFonts w:ascii="Times New Roman" w:hAnsi="Times New Roman"/>
          <w:sz w:val="20"/>
          <w:szCs w:val="24"/>
          <w:lang w:val="es-ES"/>
        </w:rPr>
        <w:t>De una parte, porque no constituye un listado de ingresos de base normalizada, cuya estructura venga definida por la  Resolución de 28 de julio de 2011, que, dada la posible heterogeneidad de los Entes a los que se dirige, tan sólo establece, en su apartado sexto, que “cada entidad determinará una estructura de elementos de ingresos lo suficientemente desagregada como para permitir una adecuada individualización de los mismos de acuerdo con la estructura productiva de la organización o, al menos, según la relación de los ingresos que se le autoricen como recursos en su Ley de creación. “En todo caso, cada tipo singular de ingreso derivado de un precio público o de una tasa deberá ser convenientemente segregado del resto de ingresos”.</w:t>
      </w:r>
    </w:p>
    <w:p w:rsidR="0059158A" w:rsidRPr="0059158A" w:rsidRDefault="0059158A" w:rsidP="0059158A">
      <w:pPr>
        <w:spacing w:before="0" w:after="0" w:line="240" w:lineRule="auto"/>
        <w:rPr>
          <w:rFonts w:ascii="Times New Roman" w:hAnsi="Times New Roman"/>
          <w:sz w:val="20"/>
          <w:szCs w:val="24"/>
          <w:lang w:val="es-ES"/>
        </w:rPr>
      </w:pPr>
    </w:p>
    <w:p w:rsidR="0059158A" w:rsidRPr="0059158A" w:rsidRDefault="0059158A" w:rsidP="0059158A">
      <w:pPr>
        <w:spacing w:before="0" w:after="0" w:line="240" w:lineRule="auto"/>
        <w:rPr>
          <w:rFonts w:ascii="Times New Roman" w:hAnsi="Times New Roman"/>
          <w:sz w:val="20"/>
          <w:szCs w:val="24"/>
          <w:lang w:val="es-ES"/>
        </w:rPr>
      </w:pPr>
      <w:r w:rsidRPr="0059158A">
        <w:rPr>
          <w:rFonts w:ascii="Times New Roman" w:hAnsi="Times New Roman"/>
          <w:sz w:val="20"/>
          <w:szCs w:val="24"/>
          <w:lang w:val="es-ES"/>
        </w:rPr>
        <w:t>De otra parte, porque, en la medida en que los ingresos deben relacionarse, cuando sea posible, con las actividades que los generan para la formación de los correspondientes márgenes, la problemática de los ingresos está en el mismo núcleo básico de la transversalidad y por tanto, de las cuestiones básicas del proceso de consolidación.</w:t>
      </w:r>
    </w:p>
    <w:p w:rsidR="0059158A" w:rsidRPr="0059158A" w:rsidRDefault="0059158A" w:rsidP="0059158A">
      <w:pPr>
        <w:spacing w:before="0" w:after="0" w:line="240" w:lineRule="auto"/>
        <w:rPr>
          <w:rFonts w:ascii="Times New Roman" w:hAnsi="Times New Roman"/>
          <w:sz w:val="20"/>
          <w:szCs w:val="24"/>
          <w:lang w:val="es-ES"/>
        </w:rPr>
      </w:pPr>
    </w:p>
    <w:p w:rsidR="0059158A" w:rsidRPr="0059158A" w:rsidRDefault="0059158A" w:rsidP="0059158A">
      <w:pPr>
        <w:spacing w:before="0" w:after="0" w:line="240" w:lineRule="auto"/>
        <w:rPr>
          <w:rFonts w:ascii="Times New Roman" w:hAnsi="Times New Roman"/>
          <w:sz w:val="20"/>
          <w:szCs w:val="24"/>
          <w:lang w:val="es-ES"/>
        </w:rPr>
      </w:pPr>
      <w:r w:rsidRPr="0059158A">
        <w:rPr>
          <w:rFonts w:ascii="Times New Roman" w:hAnsi="Times New Roman"/>
          <w:sz w:val="20"/>
          <w:szCs w:val="24"/>
          <w:lang w:val="es-ES"/>
        </w:rPr>
        <w:t xml:space="preserve">No obstante, a efectos de cada Ente individual se habrán identificado ingresos asociados a las prestaciones definidas en el mismo para el Ente que los genera, de manera que el margen calculado será perfectamente significativo para el caso de actividades que no presentan transversalidad inter-entes pero no representativas en el caso de actividades que presentan transversalidad entre diferentes Entes, al no existir un marco de comparación de los ingresos de una prestación con la totalidad de costes asociados a la misma. En definitiva, los ingresos pueden estar adscritos en el ente que tiene la competencia del servicio prestado y, sin embargo, su coste se encuentra repartido entre los entes que colaboran en la prestación de dicho servicio. Aunque también es posible que la competencia esté compartida y, por tanto, también los ingresos estén repartidos entre varios de los entes que colaboran en la prestación del servicio. </w:t>
      </w:r>
    </w:p>
    <w:p w:rsidR="0059158A" w:rsidRPr="0059158A" w:rsidRDefault="0059158A" w:rsidP="0059158A">
      <w:pPr>
        <w:spacing w:before="0" w:after="0" w:line="240" w:lineRule="auto"/>
        <w:rPr>
          <w:rFonts w:ascii="Times New Roman" w:hAnsi="Times New Roman"/>
          <w:sz w:val="20"/>
          <w:szCs w:val="24"/>
          <w:lang w:val="es-ES"/>
        </w:rPr>
      </w:pPr>
    </w:p>
    <w:p w:rsidR="0059158A" w:rsidRPr="0059158A" w:rsidRDefault="0059158A" w:rsidP="0059158A">
      <w:pPr>
        <w:spacing w:before="0" w:after="0" w:line="240" w:lineRule="auto"/>
        <w:rPr>
          <w:rFonts w:ascii="Times New Roman" w:hAnsi="Times New Roman"/>
          <w:sz w:val="20"/>
          <w:szCs w:val="24"/>
          <w:lang w:val="es-ES"/>
        </w:rPr>
      </w:pPr>
      <w:r w:rsidRPr="0059158A">
        <w:rPr>
          <w:rFonts w:ascii="Times New Roman" w:hAnsi="Times New Roman"/>
          <w:sz w:val="20"/>
          <w:szCs w:val="24"/>
          <w:lang w:val="es-ES"/>
        </w:rPr>
        <w:t>Este problema está claramente asociado al tratamiento propuesto para tales actividades transversales, para las que se habrá creado la correspondiente actividad agregada en el modelo consolidado.</w:t>
      </w:r>
    </w:p>
    <w:p w:rsidR="0059158A" w:rsidRPr="0059158A" w:rsidRDefault="0059158A" w:rsidP="0059158A">
      <w:pPr>
        <w:spacing w:before="0" w:after="0" w:line="240" w:lineRule="auto"/>
        <w:rPr>
          <w:rFonts w:ascii="Times New Roman" w:hAnsi="Times New Roman"/>
          <w:sz w:val="20"/>
          <w:szCs w:val="24"/>
          <w:lang w:val="es-ES"/>
        </w:rPr>
      </w:pPr>
    </w:p>
    <w:p w:rsidR="0059158A" w:rsidRPr="0059158A" w:rsidRDefault="0059158A" w:rsidP="0059158A">
      <w:pPr>
        <w:spacing w:before="0" w:after="0" w:line="240" w:lineRule="auto"/>
        <w:rPr>
          <w:rFonts w:ascii="Times New Roman" w:hAnsi="Times New Roman"/>
          <w:sz w:val="20"/>
          <w:szCs w:val="24"/>
          <w:lang w:val="es-ES"/>
        </w:rPr>
      </w:pPr>
      <w:r w:rsidRPr="0059158A">
        <w:rPr>
          <w:rFonts w:ascii="Times New Roman" w:hAnsi="Times New Roman"/>
          <w:sz w:val="20"/>
          <w:szCs w:val="24"/>
          <w:lang w:val="es-ES"/>
        </w:rPr>
        <w:t xml:space="preserve">Ello facilitaría la configuración consolidada de esta estructura que podría generarse mediante la conjunción de las estructuras definidas en los modelos individuales, que resulta perfectamente válida para las actividades con </w:t>
      </w:r>
      <w:r w:rsidRPr="0059158A">
        <w:rPr>
          <w:rFonts w:ascii="Times New Roman" w:hAnsi="Times New Roman"/>
          <w:sz w:val="20"/>
          <w:szCs w:val="24"/>
          <w:lang w:val="es-ES"/>
        </w:rPr>
        <w:lastRenderedPageBreak/>
        <w:t xml:space="preserve">ingreso asociado y no transversales y que, para las que presentan carácter transversal interentidad, obligaría a relacionar los respectivos ingresos con las correspondientes actividades agregadas creadas específicamente en el modelo consolidado. </w:t>
      </w:r>
    </w:p>
    <w:p w:rsidR="0059158A" w:rsidRPr="0059158A" w:rsidRDefault="0059158A" w:rsidP="0059158A">
      <w:pPr>
        <w:spacing w:before="0" w:after="0" w:line="240" w:lineRule="auto"/>
        <w:rPr>
          <w:rFonts w:ascii="Times New Roman" w:hAnsi="Times New Roman"/>
          <w:sz w:val="20"/>
          <w:szCs w:val="24"/>
          <w:lang w:val="es-ES"/>
        </w:rPr>
      </w:pPr>
    </w:p>
    <w:p w:rsidR="0059158A" w:rsidRPr="0059158A" w:rsidRDefault="0059158A" w:rsidP="0059158A">
      <w:pPr>
        <w:spacing w:before="0" w:after="0" w:line="240" w:lineRule="auto"/>
        <w:rPr>
          <w:rFonts w:ascii="Times New Roman" w:hAnsi="Times New Roman"/>
          <w:sz w:val="20"/>
          <w:szCs w:val="24"/>
          <w:lang w:val="es-ES"/>
        </w:rPr>
      </w:pPr>
      <w:r w:rsidRPr="0059158A">
        <w:rPr>
          <w:rFonts w:ascii="Times New Roman" w:hAnsi="Times New Roman"/>
          <w:sz w:val="20"/>
          <w:szCs w:val="24"/>
          <w:lang w:val="es-ES"/>
        </w:rPr>
        <w:t xml:space="preserve">Ello obligaría a etiquetar los ingresos para identificar los correspondientes a actividades transversales vinculadas, en consecuencia, a la correspondiente actividad agregada del modelo consolidado. </w:t>
      </w:r>
    </w:p>
    <w:p w:rsidR="0059158A" w:rsidRPr="0059158A" w:rsidRDefault="0059158A" w:rsidP="0059158A">
      <w:pPr>
        <w:spacing w:before="0" w:after="0" w:line="240" w:lineRule="auto"/>
        <w:rPr>
          <w:rFonts w:ascii="Times New Roman" w:hAnsi="Times New Roman"/>
          <w:sz w:val="20"/>
          <w:szCs w:val="24"/>
          <w:lang w:val="es-ES"/>
        </w:rPr>
      </w:pPr>
    </w:p>
    <w:p w:rsidR="0059158A" w:rsidRPr="0059158A" w:rsidRDefault="001C20EB" w:rsidP="0059158A">
      <w:pPr>
        <w:spacing w:before="0" w:after="0" w:line="240" w:lineRule="auto"/>
        <w:rPr>
          <w:rFonts w:ascii="Times New Roman" w:hAnsi="Times New Roman"/>
          <w:sz w:val="20"/>
          <w:szCs w:val="24"/>
          <w:lang w:val="es-ES"/>
        </w:rPr>
      </w:pPr>
      <w:r>
        <w:rPr>
          <w:rFonts w:ascii="Times New Roman" w:hAnsi="Times New Roman"/>
          <w:sz w:val="20"/>
          <w:szCs w:val="24"/>
          <w:lang w:val="es-ES"/>
        </w:rPr>
        <w:t xml:space="preserve">Al igual que se comentó para los ingresos, las soluciones tecnológicas que se apliquen para el desarrollo del modelo consolidado deben permitir la integración de los </w:t>
      </w:r>
      <w:r w:rsidR="0059158A" w:rsidRPr="0059158A">
        <w:rPr>
          <w:rFonts w:ascii="Times New Roman" w:hAnsi="Times New Roman"/>
          <w:sz w:val="20"/>
          <w:szCs w:val="24"/>
          <w:lang w:val="es-ES"/>
        </w:rPr>
        <w:t xml:space="preserve">ingresos asociados a </w:t>
      </w:r>
      <w:r>
        <w:rPr>
          <w:rFonts w:ascii="Times New Roman" w:hAnsi="Times New Roman"/>
          <w:sz w:val="20"/>
          <w:szCs w:val="24"/>
          <w:lang w:val="es-ES"/>
        </w:rPr>
        <w:t xml:space="preserve">las diferentes </w:t>
      </w:r>
      <w:r w:rsidR="0059158A" w:rsidRPr="0059158A">
        <w:rPr>
          <w:rFonts w:ascii="Times New Roman" w:hAnsi="Times New Roman"/>
          <w:sz w:val="20"/>
          <w:szCs w:val="24"/>
          <w:lang w:val="es-ES"/>
        </w:rPr>
        <w:t xml:space="preserve">entidades </w:t>
      </w:r>
      <w:r>
        <w:rPr>
          <w:rFonts w:ascii="Times New Roman" w:hAnsi="Times New Roman"/>
          <w:sz w:val="20"/>
          <w:szCs w:val="24"/>
          <w:lang w:val="es-ES"/>
        </w:rPr>
        <w:t xml:space="preserve">que conformen el perímetro de consolidación y </w:t>
      </w:r>
      <w:r w:rsidR="0059158A" w:rsidRPr="0059158A">
        <w:rPr>
          <w:rFonts w:ascii="Times New Roman" w:hAnsi="Times New Roman"/>
          <w:sz w:val="20"/>
          <w:szCs w:val="24"/>
          <w:lang w:val="es-ES"/>
        </w:rPr>
        <w:t xml:space="preserve">no </w:t>
      </w:r>
      <w:r>
        <w:rPr>
          <w:rFonts w:ascii="Times New Roman" w:hAnsi="Times New Roman"/>
          <w:sz w:val="20"/>
          <w:szCs w:val="24"/>
          <w:lang w:val="es-ES"/>
        </w:rPr>
        <w:t xml:space="preserve">estuviesen </w:t>
      </w:r>
      <w:r w:rsidR="0059158A" w:rsidRPr="0059158A">
        <w:rPr>
          <w:rFonts w:ascii="Times New Roman" w:hAnsi="Times New Roman"/>
          <w:sz w:val="20"/>
          <w:szCs w:val="24"/>
          <w:lang w:val="es-ES"/>
        </w:rPr>
        <w:t>incluidas en la</w:t>
      </w:r>
      <w:r>
        <w:rPr>
          <w:rFonts w:ascii="Times New Roman" w:hAnsi="Times New Roman"/>
          <w:sz w:val="20"/>
          <w:szCs w:val="24"/>
          <w:lang w:val="es-ES"/>
        </w:rPr>
        <w:t>s bases de datos del Ente Principal</w:t>
      </w:r>
      <w:r w:rsidR="0059158A" w:rsidRPr="0059158A">
        <w:rPr>
          <w:rFonts w:ascii="Times New Roman" w:hAnsi="Times New Roman"/>
          <w:sz w:val="20"/>
          <w:szCs w:val="24"/>
          <w:lang w:val="es-ES"/>
        </w:rPr>
        <w:t>.</w:t>
      </w:r>
    </w:p>
    <w:p w:rsidR="0059158A" w:rsidRPr="0059158A" w:rsidRDefault="0059158A" w:rsidP="0059158A">
      <w:pPr>
        <w:spacing w:before="0" w:after="0" w:line="240" w:lineRule="auto"/>
        <w:rPr>
          <w:rFonts w:ascii="Times New Roman" w:hAnsi="Times New Roman"/>
          <w:sz w:val="20"/>
          <w:szCs w:val="24"/>
          <w:lang w:val="es-ES"/>
        </w:rPr>
      </w:pPr>
    </w:p>
    <w:p w:rsidR="0059158A" w:rsidRPr="0059158A" w:rsidRDefault="0059158A" w:rsidP="0059158A">
      <w:pPr>
        <w:spacing w:before="0" w:after="0" w:line="240" w:lineRule="auto"/>
        <w:rPr>
          <w:rFonts w:ascii="Times New Roman" w:hAnsi="Times New Roman"/>
          <w:sz w:val="20"/>
          <w:szCs w:val="24"/>
          <w:lang w:val="es-ES"/>
        </w:rPr>
      </w:pPr>
      <w:r w:rsidRPr="0059158A">
        <w:rPr>
          <w:rFonts w:ascii="Times New Roman" w:hAnsi="Times New Roman"/>
          <w:sz w:val="20"/>
          <w:szCs w:val="24"/>
          <w:lang w:val="es-ES"/>
        </w:rPr>
        <w:t>Por su parte, respecto a los ingresos globales no individualizables ni relacionables con actividades, indicar que no presentan mayor problema y podría incluirse directamente en la estructura de elementos de ingresos consolidada desde las estructuras de elementos de ingreso de los modelos individuales.</w:t>
      </w:r>
    </w:p>
    <w:p w:rsidR="0059158A" w:rsidRPr="0059158A" w:rsidRDefault="0059158A" w:rsidP="0059158A">
      <w:pPr>
        <w:spacing w:before="0" w:after="0" w:line="240" w:lineRule="auto"/>
        <w:rPr>
          <w:rFonts w:ascii="Times New Roman" w:hAnsi="Times New Roman"/>
          <w:sz w:val="20"/>
          <w:szCs w:val="24"/>
          <w:lang w:val="es-ES"/>
        </w:rPr>
      </w:pPr>
    </w:p>
    <w:p w:rsidR="0059158A" w:rsidRPr="0059158A" w:rsidRDefault="00CE6223" w:rsidP="0059158A">
      <w:pPr>
        <w:spacing w:before="0" w:after="0" w:line="240" w:lineRule="auto"/>
        <w:rPr>
          <w:rFonts w:ascii="Times New Roman" w:hAnsi="Times New Roman"/>
          <w:sz w:val="20"/>
          <w:szCs w:val="24"/>
          <w:lang w:val="es-ES"/>
        </w:rPr>
      </w:pPr>
      <w:r>
        <w:rPr>
          <w:rFonts w:ascii="Times New Roman" w:hAnsi="Times New Roman"/>
          <w:sz w:val="20"/>
          <w:szCs w:val="24"/>
          <w:lang w:val="es-ES"/>
        </w:rPr>
        <w:t xml:space="preserve">Con independencia de lo anteriormente expuesto, </w:t>
      </w:r>
      <w:r w:rsidR="0059158A" w:rsidRPr="0059158A">
        <w:rPr>
          <w:rFonts w:ascii="Times New Roman" w:hAnsi="Times New Roman"/>
          <w:sz w:val="20"/>
          <w:szCs w:val="24"/>
          <w:lang w:val="es-ES"/>
        </w:rPr>
        <w:t>sería preciso</w:t>
      </w:r>
      <w:r>
        <w:rPr>
          <w:rFonts w:ascii="Times New Roman" w:hAnsi="Times New Roman"/>
          <w:sz w:val="20"/>
          <w:szCs w:val="24"/>
          <w:lang w:val="es-ES"/>
        </w:rPr>
        <w:t>, además,</w:t>
      </w:r>
      <w:r w:rsidR="0059158A" w:rsidRPr="0059158A">
        <w:rPr>
          <w:rFonts w:ascii="Times New Roman" w:hAnsi="Times New Roman"/>
          <w:sz w:val="20"/>
          <w:szCs w:val="24"/>
          <w:lang w:val="es-ES"/>
        </w:rPr>
        <w:t xml:space="preserve"> identificar posibles ingresos provenientes de otros Entes del conglomerado que deberían ser eliminados en el modelo consolidado</w:t>
      </w:r>
      <w:r>
        <w:rPr>
          <w:rFonts w:ascii="Times New Roman" w:hAnsi="Times New Roman"/>
          <w:sz w:val="20"/>
          <w:szCs w:val="24"/>
          <w:lang w:val="es-ES"/>
        </w:rPr>
        <w:t xml:space="preserve"> para la formulación de las cuentas consolidadas</w:t>
      </w:r>
      <w:r w:rsidR="0059158A" w:rsidRPr="0059158A">
        <w:rPr>
          <w:rFonts w:ascii="Times New Roman" w:hAnsi="Times New Roman"/>
          <w:sz w:val="20"/>
          <w:szCs w:val="24"/>
          <w:lang w:val="es-ES"/>
        </w:rPr>
        <w:t>. Para ello, debería incluirse funcionalidades para etiquetar los ingresos procedentes de otros Entes del conglomerado para garantizar su no inclusión en el modelo consolidado.</w:t>
      </w:r>
    </w:p>
    <w:p w:rsidR="0059158A" w:rsidRPr="0059158A" w:rsidRDefault="0059158A" w:rsidP="0059158A">
      <w:pPr>
        <w:spacing w:before="0" w:after="0" w:line="240" w:lineRule="auto"/>
        <w:rPr>
          <w:rFonts w:ascii="Times New Roman" w:hAnsi="Times New Roman"/>
          <w:sz w:val="20"/>
          <w:szCs w:val="24"/>
          <w:lang w:val="es-ES"/>
        </w:rPr>
      </w:pPr>
    </w:p>
    <w:p w:rsidR="0059158A" w:rsidRPr="0059158A" w:rsidRDefault="0059158A" w:rsidP="0059158A">
      <w:pPr>
        <w:spacing w:before="0" w:after="0" w:line="240" w:lineRule="auto"/>
        <w:rPr>
          <w:rFonts w:ascii="Times New Roman" w:hAnsi="Times New Roman"/>
          <w:sz w:val="20"/>
          <w:szCs w:val="24"/>
          <w:lang w:val="es-ES"/>
        </w:rPr>
      </w:pPr>
      <w:r w:rsidRPr="0059158A">
        <w:rPr>
          <w:rFonts w:ascii="Times New Roman" w:hAnsi="Times New Roman"/>
          <w:sz w:val="20"/>
          <w:szCs w:val="24"/>
          <w:lang w:val="es-ES"/>
        </w:rPr>
        <w:t>Finalmente, cabe hacer idénticas consideraciones a las realizadas sobre los elementos de coste respecto a la necesidad de introducir una adecuada disciplina para codificar las correspondientes estructuras individuales de elementos de ingresos y para corregir inconsistencias o modificaciones respecto a ejercicios anteriores.</w:t>
      </w:r>
    </w:p>
    <w:p w:rsidR="0059158A" w:rsidRPr="0059158A" w:rsidRDefault="0059158A" w:rsidP="0059158A">
      <w:pPr>
        <w:spacing w:before="0" w:after="0" w:line="240" w:lineRule="auto"/>
        <w:rPr>
          <w:rFonts w:ascii="Times New Roman" w:hAnsi="Times New Roman"/>
          <w:sz w:val="20"/>
          <w:szCs w:val="24"/>
          <w:lang w:val="es-ES"/>
        </w:rPr>
      </w:pPr>
    </w:p>
    <w:p w:rsidR="0059158A" w:rsidRPr="0059158A" w:rsidRDefault="0059158A" w:rsidP="0059158A">
      <w:pPr>
        <w:spacing w:before="0" w:after="0" w:line="240" w:lineRule="auto"/>
        <w:rPr>
          <w:rFonts w:ascii="Times New Roman" w:hAnsi="Times New Roman"/>
          <w:sz w:val="20"/>
          <w:szCs w:val="24"/>
          <w:lang w:val="es-ES"/>
        </w:rPr>
      </w:pPr>
      <w:r w:rsidRPr="0059158A">
        <w:rPr>
          <w:rFonts w:ascii="Times New Roman" w:hAnsi="Times New Roman"/>
          <w:sz w:val="20"/>
          <w:szCs w:val="24"/>
          <w:lang w:val="es-ES"/>
        </w:rPr>
        <w:t>Así como que es preciso considerar que, al igual que para los costes, el modelo debe</w:t>
      </w:r>
      <w:r w:rsidR="00CE6223">
        <w:rPr>
          <w:rFonts w:ascii="Times New Roman" w:hAnsi="Times New Roman"/>
          <w:sz w:val="20"/>
          <w:szCs w:val="24"/>
          <w:lang w:val="es-ES"/>
        </w:rPr>
        <w:t>ría</w:t>
      </w:r>
      <w:r w:rsidRPr="0059158A">
        <w:rPr>
          <w:rFonts w:ascii="Times New Roman" w:hAnsi="Times New Roman"/>
          <w:sz w:val="20"/>
          <w:szCs w:val="24"/>
          <w:lang w:val="es-ES"/>
        </w:rPr>
        <w:t xml:space="preserve"> mantener siempre el etiquetado del Ente de procedencia del ingreso</w:t>
      </w:r>
      <w:r>
        <w:rPr>
          <w:rFonts w:ascii="Times New Roman" w:hAnsi="Times New Roman"/>
          <w:sz w:val="20"/>
          <w:szCs w:val="24"/>
          <w:lang w:val="es-ES"/>
        </w:rPr>
        <w:t>.</w:t>
      </w:r>
    </w:p>
    <w:p w:rsidR="0059158A" w:rsidRDefault="0059158A" w:rsidP="0059158A">
      <w:pPr>
        <w:spacing w:before="0" w:after="0" w:line="240" w:lineRule="auto"/>
        <w:rPr>
          <w:rFonts w:ascii="Times New Roman" w:hAnsi="Times New Roman"/>
          <w:sz w:val="20"/>
          <w:szCs w:val="24"/>
          <w:lang w:val="es-ES"/>
        </w:rPr>
      </w:pPr>
    </w:p>
    <w:p w:rsidR="0059158A" w:rsidRPr="0059158A" w:rsidRDefault="0059158A" w:rsidP="0059158A">
      <w:pPr>
        <w:spacing w:before="0" w:after="0" w:line="240" w:lineRule="auto"/>
        <w:rPr>
          <w:rFonts w:ascii="Times New Roman" w:hAnsi="Times New Roman"/>
          <w:b/>
          <w:sz w:val="20"/>
          <w:szCs w:val="24"/>
          <w:lang w:val="es-ES"/>
        </w:rPr>
      </w:pPr>
      <w:r w:rsidRPr="0059158A">
        <w:rPr>
          <w:rFonts w:ascii="Times New Roman" w:hAnsi="Times New Roman"/>
          <w:b/>
          <w:sz w:val="20"/>
          <w:szCs w:val="24"/>
          <w:lang w:val="es-ES"/>
        </w:rPr>
        <w:t>3.7. CÁLCULO, CONCILIACIÓN Y OBTENCIÓN DE INFORMES CONSOLIDADOS</w:t>
      </w:r>
    </w:p>
    <w:p w:rsidR="0059158A" w:rsidRDefault="0059158A" w:rsidP="0059158A">
      <w:pPr>
        <w:spacing w:before="0" w:after="0" w:line="240" w:lineRule="auto"/>
        <w:rPr>
          <w:rFonts w:ascii="Times New Roman" w:hAnsi="Times New Roman"/>
          <w:sz w:val="20"/>
          <w:szCs w:val="24"/>
          <w:lang w:val="es-ES"/>
        </w:rPr>
      </w:pPr>
    </w:p>
    <w:p w:rsidR="0059158A" w:rsidRPr="0059158A" w:rsidRDefault="0059158A" w:rsidP="0059158A">
      <w:pPr>
        <w:spacing w:before="0" w:after="0" w:line="240" w:lineRule="auto"/>
        <w:ind w:right="-1"/>
        <w:rPr>
          <w:rFonts w:ascii="Times New Roman" w:hAnsi="Times New Roman"/>
          <w:sz w:val="20"/>
          <w:szCs w:val="24"/>
          <w:lang w:val="es-ES"/>
        </w:rPr>
      </w:pPr>
      <w:r w:rsidRPr="0059158A">
        <w:rPr>
          <w:rFonts w:ascii="Times New Roman" w:hAnsi="Times New Roman"/>
          <w:sz w:val="20"/>
          <w:szCs w:val="24"/>
          <w:lang w:val="es-ES"/>
        </w:rPr>
        <w:t>Finalmente, tratadas en anteriores apartados las cuestiones relativas a la construcción del modelo consolidado, debe</w:t>
      </w:r>
      <w:r w:rsidR="006C244A">
        <w:rPr>
          <w:rFonts w:ascii="Times New Roman" w:hAnsi="Times New Roman"/>
          <w:sz w:val="20"/>
          <w:szCs w:val="24"/>
          <w:lang w:val="es-ES"/>
        </w:rPr>
        <w:t>mos</w:t>
      </w:r>
      <w:r w:rsidRPr="0059158A">
        <w:rPr>
          <w:rFonts w:ascii="Times New Roman" w:hAnsi="Times New Roman"/>
          <w:sz w:val="20"/>
          <w:szCs w:val="24"/>
          <w:lang w:val="es-ES"/>
        </w:rPr>
        <w:t xml:space="preserve"> ocuparnos de las cuestiones relativas al cálculo de costes en dicho modelo.</w:t>
      </w:r>
    </w:p>
    <w:p w:rsidR="0059158A" w:rsidRPr="0059158A" w:rsidRDefault="0059158A" w:rsidP="0059158A">
      <w:pPr>
        <w:spacing w:before="0" w:after="0" w:line="240" w:lineRule="auto"/>
        <w:ind w:right="-1"/>
        <w:rPr>
          <w:rFonts w:ascii="Times New Roman" w:hAnsi="Times New Roman"/>
          <w:sz w:val="20"/>
          <w:szCs w:val="24"/>
          <w:lang w:val="es-ES"/>
        </w:rPr>
      </w:pPr>
    </w:p>
    <w:p w:rsidR="0059158A" w:rsidRPr="0059158A" w:rsidRDefault="0059158A" w:rsidP="0059158A">
      <w:pPr>
        <w:spacing w:before="0" w:after="0" w:line="240" w:lineRule="auto"/>
        <w:ind w:right="-1"/>
        <w:rPr>
          <w:rFonts w:ascii="Times New Roman" w:hAnsi="Times New Roman"/>
          <w:sz w:val="20"/>
          <w:szCs w:val="24"/>
          <w:lang w:val="es-ES"/>
        </w:rPr>
      </w:pPr>
      <w:r w:rsidRPr="0059158A">
        <w:rPr>
          <w:rFonts w:ascii="Times New Roman" w:hAnsi="Times New Roman"/>
          <w:sz w:val="20"/>
          <w:szCs w:val="24"/>
          <w:lang w:val="es-ES"/>
        </w:rPr>
        <w:t>Como se ha indicado anteriormente, la consolidación de la contabilidad analítica no consiste en un simple proceso de agregación de las estructuras y costes calculados por los modelos individuales, sino que es necesario definir un modelo consolidado independiente sujeto a la metodología y normas de la Resolución de 28 de julio de 2011, y sujeto a un proceso de cálculo propio de acuerdo a las fases que ésta incorpora.</w:t>
      </w:r>
    </w:p>
    <w:p w:rsidR="0059158A" w:rsidRPr="0059158A" w:rsidRDefault="0059158A" w:rsidP="0059158A">
      <w:pPr>
        <w:spacing w:before="0" w:after="0" w:line="240" w:lineRule="auto"/>
        <w:ind w:right="-1"/>
        <w:rPr>
          <w:rFonts w:ascii="Times New Roman" w:hAnsi="Times New Roman"/>
          <w:sz w:val="20"/>
          <w:szCs w:val="24"/>
          <w:lang w:val="es-ES"/>
        </w:rPr>
      </w:pPr>
    </w:p>
    <w:p w:rsidR="0059158A" w:rsidRPr="0059158A" w:rsidRDefault="0059158A" w:rsidP="0059158A">
      <w:pPr>
        <w:spacing w:before="0" w:after="0" w:line="240" w:lineRule="auto"/>
        <w:ind w:right="-1"/>
        <w:rPr>
          <w:rFonts w:ascii="Times New Roman" w:hAnsi="Times New Roman"/>
          <w:sz w:val="20"/>
          <w:szCs w:val="24"/>
          <w:lang w:val="es-ES"/>
        </w:rPr>
      </w:pPr>
      <w:r w:rsidRPr="0059158A">
        <w:rPr>
          <w:rFonts w:ascii="Times New Roman" w:hAnsi="Times New Roman"/>
          <w:sz w:val="20"/>
          <w:szCs w:val="24"/>
          <w:lang w:val="es-ES"/>
        </w:rPr>
        <w:t>Por ello, una vez incorporadas y ajustadas las estructuras, bases de reparto y mapas de proceso consolidados, a partir de las procedentes de los modelos indi</w:t>
      </w:r>
      <w:r w:rsidR="006C244A">
        <w:rPr>
          <w:rFonts w:ascii="Times New Roman" w:hAnsi="Times New Roman"/>
          <w:sz w:val="20"/>
          <w:szCs w:val="24"/>
          <w:lang w:val="es-ES"/>
        </w:rPr>
        <w:t xml:space="preserve">viduales de los Entes incluidos </w:t>
      </w:r>
      <w:r w:rsidRPr="0059158A">
        <w:rPr>
          <w:rFonts w:ascii="Times New Roman" w:hAnsi="Times New Roman"/>
          <w:sz w:val="20"/>
          <w:szCs w:val="24"/>
          <w:lang w:val="es-ES"/>
        </w:rPr>
        <w:t xml:space="preserve">en </w:t>
      </w:r>
      <w:r w:rsidR="006C244A">
        <w:rPr>
          <w:rFonts w:ascii="Times New Roman" w:hAnsi="Times New Roman"/>
          <w:sz w:val="20"/>
          <w:szCs w:val="24"/>
          <w:lang w:val="es-ES"/>
        </w:rPr>
        <w:t>el sistema de</w:t>
      </w:r>
      <w:r w:rsidRPr="0059158A">
        <w:rPr>
          <w:rFonts w:ascii="Times New Roman" w:hAnsi="Times New Roman"/>
          <w:sz w:val="20"/>
          <w:szCs w:val="24"/>
          <w:lang w:val="es-ES"/>
        </w:rPr>
        <w:t xml:space="preserve"> contabilidad analítica de</w:t>
      </w:r>
      <w:r w:rsidR="006C244A">
        <w:rPr>
          <w:rFonts w:ascii="Times New Roman" w:hAnsi="Times New Roman"/>
          <w:sz w:val="20"/>
          <w:szCs w:val="24"/>
          <w:lang w:val="es-ES"/>
        </w:rPr>
        <w:t xml:space="preserve">l </w:t>
      </w:r>
      <w:r w:rsidRPr="0059158A">
        <w:rPr>
          <w:rFonts w:ascii="Times New Roman" w:hAnsi="Times New Roman"/>
          <w:sz w:val="20"/>
          <w:szCs w:val="24"/>
          <w:lang w:val="es-ES"/>
        </w:rPr>
        <w:t>Ente Principal</w:t>
      </w:r>
      <w:r w:rsidR="006C244A">
        <w:rPr>
          <w:rFonts w:ascii="Times New Roman" w:hAnsi="Times New Roman"/>
          <w:sz w:val="20"/>
          <w:szCs w:val="24"/>
          <w:lang w:val="es-ES"/>
        </w:rPr>
        <w:t xml:space="preserve"> (responsable de la formulación de las correspondientes cuentas consolidadas</w:t>
      </w:r>
      <w:r w:rsidRPr="0059158A">
        <w:rPr>
          <w:rFonts w:ascii="Times New Roman" w:hAnsi="Times New Roman"/>
          <w:sz w:val="20"/>
          <w:szCs w:val="24"/>
          <w:lang w:val="es-ES"/>
        </w:rPr>
        <w:t>)</w:t>
      </w:r>
      <w:r w:rsidR="006C244A">
        <w:rPr>
          <w:rFonts w:ascii="Times New Roman" w:hAnsi="Times New Roman"/>
          <w:sz w:val="20"/>
          <w:szCs w:val="24"/>
          <w:lang w:val="es-ES"/>
        </w:rPr>
        <w:t xml:space="preserve">, tanto mediante integración informática de los correspondientes sistemas como mediante </w:t>
      </w:r>
      <w:r w:rsidRPr="0059158A">
        <w:rPr>
          <w:rFonts w:ascii="Times New Roman" w:hAnsi="Times New Roman"/>
          <w:sz w:val="20"/>
          <w:szCs w:val="24"/>
          <w:lang w:val="es-ES"/>
        </w:rPr>
        <w:t>la incorpora</w:t>
      </w:r>
      <w:r w:rsidR="006C244A">
        <w:rPr>
          <w:rFonts w:ascii="Times New Roman" w:hAnsi="Times New Roman"/>
          <w:sz w:val="20"/>
          <w:szCs w:val="24"/>
          <w:lang w:val="es-ES"/>
        </w:rPr>
        <w:t>ción</w:t>
      </w:r>
      <w:r w:rsidRPr="0059158A">
        <w:rPr>
          <w:rFonts w:ascii="Times New Roman" w:hAnsi="Times New Roman"/>
          <w:sz w:val="20"/>
          <w:szCs w:val="24"/>
          <w:lang w:val="es-ES"/>
        </w:rPr>
        <w:t xml:space="preserve"> desde ficheros externos para </w:t>
      </w:r>
      <w:r w:rsidR="006C244A">
        <w:rPr>
          <w:rFonts w:ascii="Times New Roman" w:hAnsi="Times New Roman"/>
          <w:sz w:val="20"/>
          <w:szCs w:val="24"/>
          <w:lang w:val="es-ES"/>
        </w:rPr>
        <w:t xml:space="preserve">determinadas </w:t>
      </w:r>
      <w:r w:rsidRPr="0059158A">
        <w:rPr>
          <w:rFonts w:ascii="Times New Roman" w:hAnsi="Times New Roman"/>
          <w:sz w:val="20"/>
          <w:szCs w:val="24"/>
          <w:lang w:val="es-ES"/>
        </w:rPr>
        <w:t>entidades (Empresas Públicas y otras entidades), así como los datos monetarios y no monetarios asociadas a tales estructuras, resultará preciso lanzar un proceso de cálculo de los costes del conglomerado.</w:t>
      </w:r>
    </w:p>
    <w:p w:rsidR="0059158A" w:rsidRPr="0059158A" w:rsidRDefault="0059158A" w:rsidP="0059158A">
      <w:pPr>
        <w:spacing w:before="0" w:after="0" w:line="240" w:lineRule="auto"/>
        <w:ind w:right="-1"/>
        <w:rPr>
          <w:rFonts w:ascii="Times New Roman" w:hAnsi="Times New Roman"/>
          <w:sz w:val="20"/>
          <w:szCs w:val="24"/>
          <w:lang w:val="es-ES"/>
        </w:rPr>
      </w:pPr>
    </w:p>
    <w:p w:rsidR="0059158A" w:rsidRPr="0059158A" w:rsidRDefault="0059158A" w:rsidP="0059158A">
      <w:pPr>
        <w:spacing w:before="0" w:after="0" w:line="240" w:lineRule="auto"/>
        <w:ind w:right="-1"/>
        <w:rPr>
          <w:rFonts w:ascii="Times New Roman" w:hAnsi="Times New Roman"/>
          <w:sz w:val="20"/>
          <w:szCs w:val="24"/>
          <w:lang w:val="es-ES"/>
        </w:rPr>
      </w:pPr>
      <w:r w:rsidRPr="0059158A">
        <w:rPr>
          <w:rFonts w:ascii="Times New Roman" w:hAnsi="Times New Roman"/>
          <w:sz w:val="20"/>
          <w:szCs w:val="24"/>
          <w:lang w:val="es-ES"/>
        </w:rPr>
        <w:t>Obtenidos los datos del cálculo y tras realizar la correspondiente conciliación de los resultados obtenidos, podrán emitirse los informes consolidados cuya estructura habrá que precisar sobre la base de la correspondiente normalización prevista en las notas 26 y 27 de la memoria individual, para incluir en la memoria consolidada del Ente Principal junto a sus informes individualizados normalizados.</w:t>
      </w:r>
    </w:p>
    <w:p w:rsidR="0059158A" w:rsidRPr="0059158A" w:rsidRDefault="0059158A" w:rsidP="0059158A">
      <w:pPr>
        <w:spacing w:before="0" w:after="0" w:line="240" w:lineRule="auto"/>
        <w:ind w:right="-1"/>
        <w:rPr>
          <w:rFonts w:ascii="Times New Roman" w:hAnsi="Times New Roman"/>
          <w:sz w:val="20"/>
          <w:szCs w:val="24"/>
          <w:lang w:val="es-ES"/>
        </w:rPr>
      </w:pPr>
    </w:p>
    <w:p w:rsidR="006A086C" w:rsidRPr="00FF1EF7" w:rsidRDefault="006A086C" w:rsidP="006A086C">
      <w:pPr>
        <w:pStyle w:val="Ttulo1"/>
        <w:spacing w:before="0" w:line="240" w:lineRule="auto"/>
        <w:rPr>
          <w:rFonts w:ascii="Times New Roman" w:hAnsi="Times New Roman" w:cs="Times New Roman"/>
          <w:color w:val="auto"/>
          <w:sz w:val="20"/>
          <w:szCs w:val="20"/>
          <w:lang w:val="es-ES"/>
        </w:rPr>
      </w:pPr>
      <w:bookmarkStart w:id="5" w:name="_Toc440191560"/>
      <w:r w:rsidRPr="00FF1EF7">
        <w:rPr>
          <w:rFonts w:ascii="Times New Roman" w:hAnsi="Times New Roman" w:cs="Times New Roman"/>
          <w:color w:val="auto"/>
          <w:sz w:val="20"/>
          <w:szCs w:val="20"/>
          <w:lang w:val="es-ES"/>
        </w:rPr>
        <w:t>REFER</w:t>
      </w:r>
      <w:r w:rsidR="005E72FE" w:rsidRPr="00FF1EF7">
        <w:rPr>
          <w:rFonts w:ascii="Times New Roman" w:hAnsi="Times New Roman" w:cs="Times New Roman"/>
          <w:color w:val="auto"/>
          <w:sz w:val="20"/>
          <w:szCs w:val="20"/>
          <w:lang w:val="es-ES"/>
        </w:rPr>
        <w:t>E</w:t>
      </w:r>
      <w:r w:rsidRPr="00FF1EF7">
        <w:rPr>
          <w:rFonts w:ascii="Times New Roman" w:hAnsi="Times New Roman" w:cs="Times New Roman"/>
          <w:color w:val="auto"/>
          <w:sz w:val="20"/>
          <w:szCs w:val="20"/>
          <w:lang w:val="es-ES"/>
        </w:rPr>
        <w:t>NCIAS</w:t>
      </w:r>
      <w:bookmarkEnd w:id="5"/>
    </w:p>
    <w:p w:rsidR="006A086C" w:rsidRPr="00FF1EF7" w:rsidRDefault="006A086C" w:rsidP="006A086C">
      <w:pPr>
        <w:spacing w:before="0" w:after="0" w:line="240" w:lineRule="auto"/>
        <w:rPr>
          <w:rFonts w:ascii="Times New Roman" w:hAnsi="Times New Roman"/>
          <w:sz w:val="20"/>
          <w:szCs w:val="20"/>
          <w:lang w:val="es-ES"/>
        </w:rPr>
      </w:pPr>
    </w:p>
    <w:p w:rsidR="003162BF" w:rsidRPr="00FF1EF7" w:rsidRDefault="003162BF" w:rsidP="003162BF">
      <w:pPr>
        <w:spacing w:before="0" w:after="0" w:line="240" w:lineRule="auto"/>
        <w:ind w:left="567" w:hanging="567"/>
        <w:rPr>
          <w:rFonts w:ascii="Times New Roman" w:hAnsi="Times New Roman"/>
          <w:sz w:val="18"/>
          <w:szCs w:val="18"/>
          <w:lang w:val="es-ES"/>
        </w:rPr>
      </w:pPr>
      <w:r w:rsidRPr="00FF1EF7">
        <w:rPr>
          <w:rFonts w:ascii="Times New Roman" w:hAnsi="Times New Roman"/>
          <w:sz w:val="18"/>
          <w:szCs w:val="18"/>
          <w:lang w:val="es-ES"/>
        </w:rPr>
        <w:t xml:space="preserve">Bastida. F., &amp; Benito, B. (2006). </w:t>
      </w:r>
      <w:r w:rsidRPr="00D72F46">
        <w:rPr>
          <w:rFonts w:ascii="Times New Roman" w:hAnsi="Times New Roman"/>
          <w:i/>
          <w:sz w:val="18"/>
          <w:szCs w:val="18"/>
          <w:lang w:val="en-GB"/>
        </w:rPr>
        <w:t>Financial reports and decentralization in municipal governments</w:t>
      </w:r>
      <w:r w:rsidRPr="003162BF">
        <w:rPr>
          <w:rFonts w:ascii="Times New Roman" w:hAnsi="Times New Roman"/>
          <w:sz w:val="18"/>
          <w:szCs w:val="18"/>
          <w:lang w:val="en-GB"/>
        </w:rPr>
        <w:t xml:space="preserve">. </w:t>
      </w:r>
      <w:r w:rsidRPr="00FF1EF7">
        <w:rPr>
          <w:rFonts w:ascii="Times New Roman" w:hAnsi="Times New Roman"/>
          <w:sz w:val="18"/>
          <w:szCs w:val="18"/>
          <w:lang w:val="es-ES"/>
        </w:rPr>
        <w:t xml:space="preserve">International </w:t>
      </w:r>
      <w:proofErr w:type="spellStart"/>
      <w:r w:rsidRPr="00FF1EF7">
        <w:rPr>
          <w:rFonts w:ascii="Times New Roman" w:hAnsi="Times New Roman"/>
          <w:sz w:val="18"/>
          <w:szCs w:val="18"/>
          <w:lang w:val="es-ES"/>
        </w:rPr>
        <w:t>Review</w:t>
      </w:r>
      <w:proofErr w:type="spellEnd"/>
      <w:r w:rsidRPr="00FF1EF7">
        <w:rPr>
          <w:rFonts w:ascii="Times New Roman" w:hAnsi="Times New Roman"/>
          <w:sz w:val="18"/>
          <w:szCs w:val="18"/>
          <w:lang w:val="es-ES"/>
        </w:rPr>
        <w:t xml:space="preserve"> of </w:t>
      </w:r>
      <w:proofErr w:type="spellStart"/>
      <w:r w:rsidRPr="00FF1EF7">
        <w:rPr>
          <w:rFonts w:ascii="Times New Roman" w:hAnsi="Times New Roman"/>
          <w:sz w:val="18"/>
          <w:szCs w:val="18"/>
          <w:lang w:val="es-ES"/>
        </w:rPr>
        <w:t>Administrative</w:t>
      </w:r>
      <w:proofErr w:type="spellEnd"/>
      <w:r w:rsidRPr="00FF1EF7">
        <w:rPr>
          <w:rFonts w:ascii="Times New Roman" w:hAnsi="Times New Roman"/>
          <w:sz w:val="18"/>
          <w:szCs w:val="18"/>
          <w:lang w:val="es-ES"/>
        </w:rPr>
        <w:t xml:space="preserve"> </w:t>
      </w:r>
      <w:proofErr w:type="spellStart"/>
      <w:r w:rsidRPr="00FF1EF7">
        <w:rPr>
          <w:rFonts w:ascii="Times New Roman" w:hAnsi="Times New Roman"/>
          <w:sz w:val="18"/>
          <w:szCs w:val="18"/>
          <w:lang w:val="es-ES"/>
        </w:rPr>
        <w:t>Sciences</w:t>
      </w:r>
      <w:proofErr w:type="spellEnd"/>
      <w:r w:rsidRPr="00FF1EF7">
        <w:rPr>
          <w:rFonts w:ascii="Times New Roman" w:hAnsi="Times New Roman"/>
          <w:sz w:val="18"/>
          <w:szCs w:val="18"/>
          <w:lang w:val="es-ES"/>
        </w:rPr>
        <w:t>. Vol. 72 (2), pp. 223-238.</w:t>
      </w:r>
    </w:p>
    <w:p w:rsidR="00251DCC" w:rsidRDefault="00251DCC" w:rsidP="009F2B94">
      <w:pPr>
        <w:spacing w:before="0" w:after="0" w:line="240" w:lineRule="auto"/>
        <w:ind w:left="567" w:hanging="567"/>
        <w:rPr>
          <w:rFonts w:ascii="Times New Roman" w:hAnsi="Times New Roman"/>
          <w:sz w:val="18"/>
          <w:szCs w:val="18"/>
          <w:lang w:val="es-ES"/>
        </w:rPr>
      </w:pPr>
      <w:r w:rsidRPr="00FF1EF7">
        <w:rPr>
          <w:rFonts w:ascii="Times New Roman" w:hAnsi="Times New Roman"/>
          <w:sz w:val="18"/>
          <w:szCs w:val="18"/>
          <w:lang w:val="es-ES"/>
        </w:rPr>
        <w:t>Buendía</w:t>
      </w:r>
      <w:r>
        <w:rPr>
          <w:rFonts w:ascii="Times New Roman" w:hAnsi="Times New Roman"/>
          <w:sz w:val="18"/>
          <w:szCs w:val="18"/>
          <w:lang w:val="es-ES"/>
        </w:rPr>
        <w:t xml:space="preserve"> Carrillo, D., &amp;</w:t>
      </w:r>
      <w:r w:rsidRPr="00251DCC">
        <w:rPr>
          <w:rFonts w:ascii="Times New Roman" w:hAnsi="Times New Roman"/>
          <w:sz w:val="18"/>
          <w:szCs w:val="18"/>
          <w:lang w:val="es-ES"/>
        </w:rPr>
        <w:t xml:space="preserve"> L</w:t>
      </w:r>
      <w:r>
        <w:rPr>
          <w:rFonts w:ascii="Times New Roman" w:hAnsi="Times New Roman"/>
          <w:sz w:val="18"/>
          <w:szCs w:val="18"/>
          <w:lang w:val="es-ES"/>
        </w:rPr>
        <w:t>lorente</w:t>
      </w:r>
      <w:r w:rsidRPr="00251DCC">
        <w:rPr>
          <w:rFonts w:ascii="Times New Roman" w:hAnsi="Times New Roman"/>
          <w:sz w:val="18"/>
          <w:szCs w:val="18"/>
          <w:lang w:val="es-ES"/>
        </w:rPr>
        <w:t xml:space="preserve"> M</w:t>
      </w:r>
      <w:r>
        <w:rPr>
          <w:rFonts w:ascii="Times New Roman" w:hAnsi="Times New Roman"/>
          <w:sz w:val="18"/>
          <w:szCs w:val="18"/>
          <w:lang w:val="es-ES"/>
        </w:rPr>
        <w:t>uñoz</w:t>
      </w:r>
      <w:r w:rsidRPr="00251DCC">
        <w:rPr>
          <w:rFonts w:ascii="Times New Roman" w:hAnsi="Times New Roman"/>
          <w:sz w:val="18"/>
          <w:szCs w:val="18"/>
          <w:lang w:val="es-ES"/>
        </w:rPr>
        <w:t>, V. (2012)</w:t>
      </w:r>
      <w:r>
        <w:rPr>
          <w:rFonts w:ascii="Times New Roman" w:hAnsi="Times New Roman"/>
          <w:sz w:val="18"/>
          <w:szCs w:val="18"/>
          <w:lang w:val="es-ES"/>
        </w:rPr>
        <w:t>.</w:t>
      </w:r>
      <w:r w:rsidRPr="00251DCC">
        <w:rPr>
          <w:rFonts w:ascii="Times New Roman" w:hAnsi="Times New Roman"/>
          <w:sz w:val="18"/>
          <w:szCs w:val="18"/>
          <w:lang w:val="es-ES"/>
        </w:rPr>
        <w:t xml:space="preserve"> </w:t>
      </w:r>
      <w:r w:rsidRPr="00251DCC">
        <w:rPr>
          <w:rFonts w:ascii="Times New Roman" w:hAnsi="Times New Roman"/>
          <w:i/>
          <w:sz w:val="18"/>
          <w:szCs w:val="18"/>
          <w:lang w:val="es-ES"/>
        </w:rPr>
        <w:t>La normalización de la contabilidad analítica en la administración pública española</w:t>
      </w:r>
      <w:r w:rsidRPr="00251DCC">
        <w:rPr>
          <w:rFonts w:ascii="Times New Roman" w:hAnsi="Times New Roman"/>
          <w:sz w:val="18"/>
          <w:szCs w:val="18"/>
          <w:lang w:val="es-ES"/>
        </w:rPr>
        <w:t>. Partida Doble; nº 243 – mayo de 2012; pp. 74-79.</w:t>
      </w:r>
    </w:p>
    <w:p w:rsidR="00251DCC" w:rsidRDefault="00251DCC" w:rsidP="009F2B94">
      <w:pPr>
        <w:spacing w:before="0" w:after="0" w:line="240" w:lineRule="auto"/>
        <w:ind w:left="567" w:hanging="567"/>
        <w:rPr>
          <w:rFonts w:ascii="Times New Roman" w:hAnsi="Times New Roman"/>
          <w:sz w:val="18"/>
          <w:szCs w:val="18"/>
          <w:lang w:val="es-ES"/>
        </w:rPr>
      </w:pPr>
      <w:r w:rsidRPr="00251DCC">
        <w:rPr>
          <w:rFonts w:ascii="Times New Roman" w:hAnsi="Times New Roman"/>
          <w:sz w:val="18"/>
          <w:szCs w:val="18"/>
          <w:lang w:val="es-ES"/>
        </w:rPr>
        <w:t>C</w:t>
      </w:r>
      <w:r>
        <w:rPr>
          <w:rFonts w:ascii="Times New Roman" w:hAnsi="Times New Roman"/>
          <w:sz w:val="18"/>
          <w:szCs w:val="18"/>
          <w:lang w:val="es-ES"/>
        </w:rPr>
        <w:t xml:space="preserve">arrasco Díaz, D., </w:t>
      </w:r>
      <w:r w:rsidRPr="00251DCC">
        <w:rPr>
          <w:rFonts w:ascii="Times New Roman" w:hAnsi="Times New Roman"/>
          <w:sz w:val="18"/>
          <w:szCs w:val="18"/>
          <w:lang w:val="es-ES"/>
        </w:rPr>
        <w:t>B</w:t>
      </w:r>
      <w:r>
        <w:rPr>
          <w:rFonts w:ascii="Times New Roman" w:hAnsi="Times New Roman"/>
          <w:sz w:val="18"/>
          <w:szCs w:val="18"/>
          <w:lang w:val="es-ES"/>
        </w:rPr>
        <w:t>uendía</w:t>
      </w:r>
      <w:r w:rsidRPr="00251DCC">
        <w:rPr>
          <w:rFonts w:ascii="Times New Roman" w:hAnsi="Times New Roman"/>
          <w:sz w:val="18"/>
          <w:szCs w:val="18"/>
          <w:lang w:val="es-ES"/>
        </w:rPr>
        <w:t xml:space="preserve"> C</w:t>
      </w:r>
      <w:r>
        <w:rPr>
          <w:rFonts w:ascii="Times New Roman" w:hAnsi="Times New Roman"/>
          <w:sz w:val="18"/>
          <w:szCs w:val="18"/>
          <w:lang w:val="es-ES"/>
        </w:rPr>
        <w:t>arrillo, D., &amp;</w:t>
      </w:r>
      <w:r w:rsidRPr="00251DCC">
        <w:rPr>
          <w:rFonts w:ascii="Times New Roman" w:hAnsi="Times New Roman"/>
          <w:sz w:val="18"/>
          <w:szCs w:val="18"/>
          <w:lang w:val="es-ES"/>
        </w:rPr>
        <w:t xml:space="preserve"> N</w:t>
      </w:r>
      <w:r>
        <w:rPr>
          <w:rFonts w:ascii="Times New Roman" w:hAnsi="Times New Roman"/>
          <w:sz w:val="18"/>
          <w:szCs w:val="18"/>
          <w:lang w:val="es-ES"/>
        </w:rPr>
        <w:t xml:space="preserve">avarro </w:t>
      </w:r>
      <w:r w:rsidRPr="00251DCC">
        <w:rPr>
          <w:rFonts w:ascii="Times New Roman" w:hAnsi="Times New Roman"/>
          <w:sz w:val="18"/>
          <w:szCs w:val="18"/>
          <w:lang w:val="es-ES"/>
        </w:rPr>
        <w:t>G</w:t>
      </w:r>
      <w:r>
        <w:rPr>
          <w:rFonts w:ascii="Times New Roman" w:hAnsi="Times New Roman"/>
          <w:sz w:val="18"/>
          <w:szCs w:val="18"/>
          <w:lang w:val="es-ES"/>
        </w:rPr>
        <w:t>alera</w:t>
      </w:r>
      <w:r w:rsidRPr="00251DCC">
        <w:rPr>
          <w:rFonts w:ascii="Times New Roman" w:hAnsi="Times New Roman"/>
          <w:sz w:val="18"/>
          <w:szCs w:val="18"/>
          <w:lang w:val="es-ES"/>
        </w:rPr>
        <w:t>, A. (2011)</w:t>
      </w:r>
      <w:r>
        <w:rPr>
          <w:rFonts w:ascii="Times New Roman" w:hAnsi="Times New Roman"/>
          <w:sz w:val="18"/>
          <w:szCs w:val="18"/>
          <w:lang w:val="es-ES"/>
        </w:rPr>
        <w:t>.</w:t>
      </w:r>
      <w:r w:rsidRPr="00251DCC">
        <w:rPr>
          <w:rFonts w:ascii="Times New Roman" w:hAnsi="Times New Roman"/>
          <w:sz w:val="18"/>
          <w:szCs w:val="18"/>
          <w:lang w:val="es-ES"/>
        </w:rPr>
        <w:t xml:space="preserve"> </w:t>
      </w:r>
      <w:r w:rsidRPr="00251DCC">
        <w:rPr>
          <w:rFonts w:ascii="Times New Roman" w:hAnsi="Times New Roman"/>
          <w:i/>
          <w:sz w:val="18"/>
          <w:szCs w:val="18"/>
          <w:lang w:val="es-ES"/>
        </w:rPr>
        <w:t>Manual de procedimiento para la implantación de un sistema de costes en la administración local</w:t>
      </w:r>
      <w:r w:rsidRPr="00251DCC">
        <w:rPr>
          <w:rFonts w:ascii="Times New Roman" w:hAnsi="Times New Roman"/>
          <w:sz w:val="18"/>
          <w:szCs w:val="18"/>
          <w:lang w:val="es-ES"/>
        </w:rPr>
        <w:t xml:space="preserve">. Federación Española de Municipios y Provincias (FEMP), Madrid. (Accesible online: </w:t>
      </w:r>
      <w:hyperlink r:id="rId9" w:history="1">
        <w:r w:rsidR="00D72F46" w:rsidRPr="00AD1A11">
          <w:rPr>
            <w:rStyle w:val="Hipervnculo"/>
            <w:rFonts w:ascii="Times New Roman" w:hAnsi="Times New Roman"/>
            <w:sz w:val="18"/>
            <w:szCs w:val="18"/>
            <w:lang w:val="es-ES"/>
          </w:rPr>
          <w:t>http://goo.gl/7chV2</w:t>
        </w:r>
      </w:hyperlink>
      <w:r>
        <w:rPr>
          <w:rFonts w:ascii="Times New Roman" w:hAnsi="Times New Roman"/>
          <w:sz w:val="18"/>
          <w:szCs w:val="18"/>
          <w:lang w:val="es-ES"/>
        </w:rPr>
        <w:t>).</w:t>
      </w:r>
    </w:p>
    <w:p w:rsidR="00D72F46" w:rsidRDefault="00D72F46" w:rsidP="009F2B94">
      <w:pPr>
        <w:spacing w:before="0" w:after="0" w:line="240" w:lineRule="auto"/>
        <w:ind w:left="567" w:hanging="567"/>
        <w:rPr>
          <w:rFonts w:ascii="Times New Roman" w:hAnsi="Times New Roman"/>
          <w:sz w:val="18"/>
          <w:szCs w:val="18"/>
          <w:lang w:val="es-ES"/>
        </w:rPr>
      </w:pPr>
      <w:r w:rsidRPr="00FF1EF7">
        <w:rPr>
          <w:rFonts w:ascii="Times New Roman" w:hAnsi="Times New Roman"/>
          <w:sz w:val="18"/>
          <w:szCs w:val="18"/>
          <w:lang w:val="es-ES"/>
        </w:rPr>
        <w:t xml:space="preserve">Cóndor López, V. (2014). </w:t>
      </w:r>
      <w:r w:rsidRPr="00FF1EF7">
        <w:rPr>
          <w:rFonts w:ascii="Times New Roman" w:hAnsi="Times New Roman"/>
          <w:i/>
          <w:sz w:val="18"/>
          <w:szCs w:val="18"/>
          <w:lang w:val="es-ES"/>
        </w:rPr>
        <w:t>La Consolidación en el Sector Público. Implicaciones en la Gestión</w:t>
      </w:r>
      <w:r w:rsidRPr="00FF1EF7">
        <w:rPr>
          <w:rFonts w:ascii="Times New Roman" w:hAnsi="Times New Roman"/>
          <w:sz w:val="18"/>
          <w:szCs w:val="18"/>
          <w:lang w:val="es-ES"/>
        </w:rPr>
        <w:t>. Auditoría Pública nº 62 (2014), pp. 89 - 102</w:t>
      </w:r>
      <w:r>
        <w:rPr>
          <w:rFonts w:ascii="Times New Roman" w:hAnsi="Times New Roman"/>
          <w:sz w:val="18"/>
          <w:szCs w:val="18"/>
          <w:lang w:val="es-ES"/>
        </w:rPr>
        <w:t>.</w:t>
      </w:r>
    </w:p>
    <w:p w:rsidR="009216AF" w:rsidRPr="00251DCC" w:rsidRDefault="009216AF" w:rsidP="009216AF">
      <w:pPr>
        <w:shd w:val="clear" w:color="auto" w:fill="FFFFFF"/>
        <w:spacing w:before="0" w:after="0" w:line="240" w:lineRule="auto"/>
        <w:ind w:left="720" w:hanging="720"/>
        <w:rPr>
          <w:rFonts w:ascii="Times New Roman" w:hAnsi="Times New Roman"/>
          <w:sz w:val="18"/>
          <w:szCs w:val="18"/>
          <w:lang w:val="es-ES"/>
        </w:rPr>
      </w:pPr>
      <w:r w:rsidRPr="009216AF">
        <w:rPr>
          <w:rFonts w:ascii="Times New Roman" w:hAnsi="Times New Roman"/>
          <w:sz w:val="18"/>
          <w:szCs w:val="18"/>
          <w:lang w:val="es-ES"/>
        </w:rPr>
        <w:lastRenderedPageBreak/>
        <w:t xml:space="preserve">Cóndor López, </w:t>
      </w:r>
      <w:r>
        <w:rPr>
          <w:rFonts w:ascii="Times New Roman" w:hAnsi="Times New Roman"/>
          <w:sz w:val="18"/>
          <w:szCs w:val="18"/>
          <w:lang w:val="es-ES"/>
        </w:rPr>
        <w:t xml:space="preserve">V., </w:t>
      </w:r>
      <w:proofErr w:type="spellStart"/>
      <w:r w:rsidRPr="009216AF">
        <w:rPr>
          <w:rFonts w:ascii="Times New Roman" w:hAnsi="Times New Roman"/>
          <w:sz w:val="18"/>
          <w:szCs w:val="18"/>
          <w:lang w:val="es-ES"/>
        </w:rPr>
        <w:t>Ansón</w:t>
      </w:r>
      <w:proofErr w:type="spellEnd"/>
      <w:r w:rsidRPr="009216AF">
        <w:rPr>
          <w:rFonts w:ascii="Times New Roman" w:hAnsi="Times New Roman"/>
          <w:sz w:val="18"/>
          <w:szCs w:val="18"/>
          <w:lang w:val="es-ES"/>
        </w:rPr>
        <w:t xml:space="preserve"> </w:t>
      </w:r>
      <w:proofErr w:type="spellStart"/>
      <w:r w:rsidRPr="009216AF">
        <w:rPr>
          <w:rFonts w:ascii="Times New Roman" w:hAnsi="Times New Roman"/>
          <w:sz w:val="18"/>
          <w:szCs w:val="18"/>
          <w:lang w:val="es-ES"/>
        </w:rPr>
        <w:t>Lapeña</w:t>
      </w:r>
      <w:proofErr w:type="spellEnd"/>
      <w:r w:rsidRPr="009216AF">
        <w:rPr>
          <w:rFonts w:ascii="Times New Roman" w:hAnsi="Times New Roman"/>
          <w:sz w:val="18"/>
          <w:szCs w:val="18"/>
          <w:lang w:val="es-ES"/>
        </w:rPr>
        <w:t xml:space="preserve">, </w:t>
      </w:r>
      <w:r>
        <w:rPr>
          <w:rFonts w:ascii="Times New Roman" w:hAnsi="Times New Roman"/>
          <w:sz w:val="18"/>
          <w:szCs w:val="18"/>
          <w:lang w:val="es-ES"/>
        </w:rPr>
        <w:t xml:space="preserve">J. A., </w:t>
      </w:r>
      <w:r w:rsidRPr="009216AF">
        <w:rPr>
          <w:rFonts w:ascii="Times New Roman" w:hAnsi="Times New Roman"/>
          <w:sz w:val="18"/>
          <w:szCs w:val="18"/>
          <w:lang w:val="es-ES"/>
        </w:rPr>
        <w:t xml:space="preserve">Blasco Burriel </w:t>
      </w:r>
      <w:r>
        <w:rPr>
          <w:rFonts w:ascii="Times New Roman" w:hAnsi="Times New Roman"/>
          <w:sz w:val="18"/>
          <w:szCs w:val="18"/>
          <w:lang w:val="es-ES"/>
        </w:rPr>
        <w:t>Mª. P., &amp;</w:t>
      </w:r>
      <w:r w:rsidRPr="009216AF">
        <w:rPr>
          <w:rFonts w:ascii="Times New Roman" w:hAnsi="Times New Roman"/>
          <w:sz w:val="18"/>
          <w:szCs w:val="18"/>
          <w:lang w:val="es-ES"/>
        </w:rPr>
        <w:t xml:space="preserve"> Brusca </w:t>
      </w:r>
      <w:proofErr w:type="spellStart"/>
      <w:r w:rsidRPr="009216AF">
        <w:rPr>
          <w:rFonts w:ascii="Times New Roman" w:hAnsi="Times New Roman"/>
          <w:sz w:val="18"/>
          <w:szCs w:val="18"/>
          <w:lang w:val="es-ES"/>
        </w:rPr>
        <w:t>Alijarde</w:t>
      </w:r>
      <w:proofErr w:type="spellEnd"/>
      <w:r>
        <w:rPr>
          <w:rFonts w:ascii="Times New Roman" w:hAnsi="Times New Roman"/>
          <w:sz w:val="18"/>
          <w:szCs w:val="18"/>
          <w:lang w:val="es-ES"/>
        </w:rPr>
        <w:t xml:space="preserve">, Mª. I. (1998). </w:t>
      </w:r>
      <w:r w:rsidRPr="009216AF">
        <w:rPr>
          <w:rFonts w:ascii="Times New Roman" w:hAnsi="Times New Roman"/>
          <w:i/>
          <w:sz w:val="18"/>
          <w:szCs w:val="18"/>
          <w:lang w:val="es-ES"/>
        </w:rPr>
        <w:t xml:space="preserve">Consolidación de </w:t>
      </w:r>
      <w:r>
        <w:rPr>
          <w:rFonts w:ascii="Times New Roman" w:hAnsi="Times New Roman"/>
          <w:i/>
          <w:sz w:val="18"/>
          <w:szCs w:val="18"/>
          <w:lang w:val="es-ES"/>
        </w:rPr>
        <w:t>Estados C</w:t>
      </w:r>
      <w:r w:rsidRPr="009216AF">
        <w:rPr>
          <w:rFonts w:ascii="Times New Roman" w:hAnsi="Times New Roman"/>
          <w:i/>
          <w:sz w:val="18"/>
          <w:szCs w:val="18"/>
          <w:lang w:val="es-ES"/>
        </w:rPr>
        <w:t>ontables en la Administración Local</w:t>
      </w:r>
      <w:r>
        <w:rPr>
          <w:rFonts w:ascii="Times New Roman" w:hAnsi="Times New Roman"/>
          <w:sz w:val="18"/>
          <w:szCs w:val="18"/>
          <w:lang w:val="es-ES"/>
        </w:rPr>
        <w:t xml:space="preserve">. </w:t>
      </w:r>
      <w:r w:rsidRPr="009216AF">
        <w:rPr>
          <w:rFonts w:ascii="Times New Roman" w:hAnsi="Times New Roman"/>
          <w:sz w:val="18"/>
          <w:szCs w:val="18"/>
          <w:lang w:val="es-ES"/>
        </w:rPr>
        <w:t>Revista Española de Financiación y Contabilidad</w:t>
      </w:r>
      <w:r>
        <w:rPr>
          <w:rFonts w:ascii="Times New Roman" w:hAnsi="Times New Roman"/>
          <w:sz w:val="18"/>
          <w:szCs w:val="18"/>
          <w:lang w:val="es-ES"/>
        </w:rPr>
        <w:t xml:space="preserve">. </w:t>
      </w:r>
      <w:r w:rsidRPr="009216AF">
        <w:rPr>
          <w:rFonts w:ascii="Times New Roman" w:hAnsi="Times New Roman"/>
          <w:sz w:val="18"/>
          <w:szCs w:val="18"/>
          <w:lang w:val="es-ES"/>
        </w:rPr>
        <w:t>Vol. 27, No. 95 (Abril-Junio 1998), pp. 395-426</w:t>
      </w:r>
      <w:r>
        <w:rPr>
          <w:rFonts w:ascii="Times New Roman" w:hAnsi="Times New Roman"/>
          <w:sz w:val="18"/>
          <w:szCs w:val="18"/>
          <w:lang w:val="es-ES"/>
        </w:rPr>
        <w:t>.</w:t>
      </w:r>
    </w:p>
    <w:p w:rsidR="009F2B94" w:rsidRPr="00251DCC" w:rsidRDefault="009F2B94" w:rsidP="009F2B94">
      <w:pPr>
        <w:spacing w:before="0" w:after="0" w:line="240" w:lineRule="auto"/>
        <w:ind w:left="567" w:hanging="567"/>
        <w:rPr>
          <w:rFonts w:ascii="Times New Roman" w:hAnsi="Times New Roman"/>
          <w:sz w:val="18"/>
          <w:szCs w:val="18"/>
          <w:lang w:val="es-ES"/>
        </w:rPr>
      </w:pPr>
      <w:r w:rsidRPr="00251DCC">
        <w:rPr>
          <w:rFonts w:ascii="Times New Roman" w:hAnsi="Times New Roman"/>
          <w:sz w:val="18"/>
          <w:szCs w:val="18"/>
          <w:lang w:val="es-ES"/>
        </w:rPr>
        <w:t>Ley 8/1989, de 13 de abril, de Tasas y Precios Públicos. Boletín Oficial del Estado. nº 90. A-1989-8508.</w:t>
      </w:r>
    </w:p>
    <w:p w:rsidR="009F2B94" w:rsidRDefault="009F2B94" w:rsidP="009F2B94">
      <w:pPr>
        <w:spacing w:before="0" w:after="0" w:line="240" w:lineRule="auto"/>
        <w:ind w:left="567" w:hanging="567"/>
        <w:rPr>
          <w:rFonts w:ascii="Times New Roman" w:hAnsi="Times New Roman"/>
          <w:sz w:val="18"/>
          <w:szCs w:val="18"/>
          <w:lang w:val="es-ES"/>
        </w:rPr>
      </w:pPr>
      <w:r w:rsidRPr="009F2B94">
        <w:rPr>
          <w:rFonts w:ascii="Times New Roman" w:hAnsi="Times New Roman"/>
          <w:sz w:val="18"/>
          <w:szCs w:val="18"/>
          <w:lang w:val="es-ES"/>
        </w:rPr>
        <w:t xml:space="preserve">Ley 25/1998, de 13 de julio, de modificación del Régimen Legal de las Tasas Estatales y Locales y de Reordenación de las Prestaciones Patrimoniales de Carácter Público. </w:t>
      </w:r>
      <w:r w:rsidRPr="000C63C9">
        <w:rPr>
          <w:rFonts w:ascii="Times New Roman" w:hAnsi="Times New Roman"/>
          <w:sz w:val="18"/>
          <w:szCs w:val="18"/>
          <w:lang w:val="es-ES"/>
        </w:rPr>
        <w:t>Boletín Oficial del Estado. nº 167. A-1998-16714.</w:t>
      </w:r>
    </w:p>
    <w:p w:rsidR="00DB5DFD" w:rsidRPr="009F2B94" w:rsidRDefault="00DB5DFD" w:rsidP="009F2B94">
      <w:pPr>
        <w:spacing w:before="0" w:after="0" w:line="240" w:lineRule="auto"/>
        <w:ind w:left="567" w:hanging="567"/>
        <w:rPr>
          <w:rFonts w:ascii="Times New Roman" w:hAnsi="Times New Roman"/>
          <w:sz w:val="18"/>
          <w:szCs w:val="18"/>
          <w:lang w:val="es-ES"/>
        </w:rPr>
      </w:pPr>
      <w:r>
        <w:rPr>
          <w:rFonts w:ascii="Times New Roman" w:hAnsi="Times New Roman"/>
          <w:sz w:val="18"/>
          <w:szCs w:val="18"/>
          <w:lang w:val="es-ES"/>
        </w:rPr>
        <w:t>Ministerio de Hacienda. 2017. Informe de la Comisión de Expertos para la revisión del Modelo de Financiación Local.</w:t>
      </w:r>
    </w:p>
    <w:p w:rsidR="000C63C9" w:rsidRDefault="000C63C9" w:rsidP="00814C02">
      <w:pPr>
        <w:spacing w:before="0" w:after="0" w:line="240" w:lineRule="auto"/>
        <w:ind w:left="567" w:hanging="567"/>
        <w:rPr>
          <w:rFonts w:ascii="Times New Roman" w:hAnsi="Times New Roman"/>
          <w:sz w:val="18"/>
          <w:szCs w:val="18"/>
          <w:lang w:val="es-ES"/>
        </w:rPr>
      </w:pPr>
      <w:r w:rsidRPr="000C63C9">
        <w:rPr>
          <w:rFonts w:ascii="Times New Roman" w:hAnsi="Times New Roman"/>
          <w:sz w:val="18"/>
          <w:szCs w:val="18"/>
          <w:lang w:val="es-ES"/>
        </w:rPr>
        <w:t xml:space="preserve">Orden EHA/1037/2010, de 13 de abril, por la que se aprueba el Plan General de Contabilidad Pública. </w:t>
      </w:r>
      <w:r w:rsidRPr="00DB5DFD">
        <w:rPr>
          <w:rFonts w:ascii="Times New Roman" w:hAnsi="Times New Roman"/>
          <w:sz w:val="18"/>
          <w:szCs w:val="18"/>
          <w:lang w:val="es-ES"/>
        </w:rPr>
        <w:t>Boletín Oficial</w:t>
      </w:r>
      <w:r>
        <w:rPr>
          <w:rFonts w:ascii="Times New Roman" w:hAnsi="Times New Roman"/>
          <w:sz w:val="18"/>
          <w:szCs w:val="18"/>
          <w:lang w:val="es-ES"/>
        </w:rPr>
        <w:t xml:space="preserve"> del Estado, nº 102. Sección I, 36960-37270.</w:t>
      </w:r>
    </w:p>
    <w:p w:rsidR="00DB5DFD" w:rsidRPr="000C63C9" w:rsidRDefault="00DB5DFD" w:rsidP="00814C02">
      <w:pPr>
        <w:spacing w:before="0" w:after="0" w:line="240" w:lineRule="auto"/>
        <w:ind w:left="567" w:hanging="567"/>
        <w:rPr>
          <w:rFonts w:ascii="Times New Roman" w:hAnsi="Times New Roman"/>
          <w:sz w:val="18"/>
          <w:szCs w:val="18"/>
          <w:lang w:val="es-ES"/>
        </w:rPr>
      </w:pPr>
      <w:r w:rsidRPr="00DB5DFD">
        <w:rPr>
          <w:rFonts w:ascii="Times New Roman" w:hAnsi="Times New Roman"/>
          <w:sz w:val="18"/>
          <w:szCs w:val="18"/>
          <w:lang w:val="es-ES"/>
        </w:rPr>
        <w:t>Orden HAP/1489/2013, de 18 de julio, por la que se aprueban las normas para la formulación de cuentas anuales consolidadas en el ámbito del sector público</w:t>
      </w:r>
      <w:r>
        <w:rPr>
          <w:rFonts w:ascii="Times New Roman" w:hAnsi="Times New Roman"/>
          <w:sz w:val="18"/>
          <w:szCs w:val="18"/>
          <w:lang w:val="es-ES"/>
        </w:rPr>
        <w:t xml:space="preserve">. </w:t>
      </w:r>
      <w:r w:rsidRPr="00251DCC">
        <w:rPr>
          <w:rFonts w:ascii="Times New Roman" w:hAnsi="Times New Roman"/>
          <w:sz w:val="18"/>
          <w:szCs w:val="18"/>
          <w:lang w:val="es-ES"/>
        </w:rPr>
        <w:t>Boletín Oficial</w:t>
      </w:r>
      <w:r>
        <w:rPr>
          <w:rFonts w:ascii="Times New Roman" w:hAnsi="Times New Roman"/>
          <w:sz w:val="18"/>
          <w:szCs w:val="18"/>
          <w:lang w:val="es-ES"/>
        </w:rPr>
        <w:t xml:space="preserve"> del Estado, nº 185. Sección I, 56638-56699.</w:t>
      </w:r>
    </w:p>
    <w:p w:rsidR="00573597" w:rsidRDefault="00814C02" w:rsidP="00814C02">
      <w:pPr>
        <w:spacing w:before="0" w:after="0" w:line="240" w:lineRule="auto"/>
        <w:ind w:left="567" w:hanging="567"/>
        <w:rPr>
          <w:rFonts w:ascii="Times New Roman" w:hAnsi="Times New Roman"/>
          <w:sz w:val="18"/>
          <w:szCs w:val="18"/>
          <w:lang w:val="es-ES"/>
        </w:rPr>
      </w:pPr>
      <w:r w:rsidRPr="00251DCC">
        <w:rPr>
          <w:rFonts w:ascii="Times New Roman" w:hAnsi="Times New Roman"/>
          <w:sz w:val="18"/>
          <w:szCs w:val="18"/>
          <w:lang w:val="es-ES"/>
        </w:rPr>
        <w:t>Orden HAP/1781/2013, de 20 de septiembre, por la que se aprueba la Instrucción del modelo normal de contabilidad local. Boletín Oficial</w:t>
      </w:r>
      <w:r>
        <w:rPr>
          <w:rFonts w:ascii="Times New Roman" w:hAnsi="Times New Roman"/>
          <w:sz w:val="18"/>
          <w:szCs w:val="18"/>
          <w:lang w:val="es-ES"/>
        </w:rPr>
        <w:t xml:space="preserve"> del Estado, nº 237. Sección I, 80311-80687. </w:t>
      </w:r>
    </w:p>
    <w:p w:rsidR="00A517F9" w:rsidRDefault="00A517F9" w:rsidP="006A086C">
      <w:pPr>
        <w:spacing w:before="0" w:after="0" w:line="240" w:lineRule="auto"/>
        <w:ind w:left="567" w:hanging="567"/>
        <w:rPr>
          <w:rFonts w:ascii="Times New Roman" w:hAnsi="Times New Roman"/>
          <w:sz w:val="18"/>
          <w:szCs w:val="18"/>
          <w:lang w:val="es-ES"/>
        </w:rPr>
      </w:pPr>
      <w:r w:rsidRPr="00A517F9">
        <w:rPr>
          <w:rFonts w:ascii="Times New Roman" w:hAnsi="Times New Roman"/>
          <w:sz w:val="18"/>
          <w:szCs w:val="18"/>
          <w:lang w:val="es-ES"/>
        </w:rPr>
        <w:t>P</w:t>
      </w:r>
      <w:r>
        <w:rPr>
          <w:rFonts w:ascii="Times New Roman" w:hAnsi="Times New Roman"/>
          <w:sz w:val="18"/>
          <w:szCs w:val="18"/>
          <w:lang w:val="es-ES"/>
        </w:rPr>
        <w:t xml:space="preserve">rieto </w:t>
      </w:r>
      <w:r w:rsidRPr="00A517F9">
        <w:rPr>
          <w:rFonts w:ascii="Times New Roman" w:hAnsi="Times New Roman"/>
          <w:sz w:val="18"/>
          <w:szCs w:val="18"/>
          <w:lang w:val="es-ES"/>
        </w:rPr>
        <w:t>M</w:t>
      </w:r>
      <w:r>
        <w:rPr>
          <w:rFonts w:ascii="Times New Roman" w:hAnsi="Times New Roman"/>
          <w:sz w:val="18"/>
          <w:szCs w:val="18"/>
          <w:lang w:val="es-ES"/>
        </w:rPr>
        <w:t>artín, C.,</w:t>
      </w:r>
      <w:r w:rsidRPr="00A517F9">
        <w:rPr>
          <w:rFonts w:ascii="Times New Roman" w:hAnsi="Times New Roman"/>
          <w:sz w:val="18"/>
          <w:szCs w:val="18"/>
          <w:lang w:val="es-ES"/>
        </w:rPr>
        <w:t xml:space="preserve"> </w:t>
      </w:r>
      <w:r>
        <w:rPr>
          <w:rFonts w:ascii="Times New Roman" w:hAnsi="Times New Roman"/>
          <w:sz w:val="18"/>
          <w:szCs w:val="18"/>
          <w:lang w:val="es-ES"/>
        </w:rPr>
        <w:t xml:space="preserve">&amp; </w:t>
      </w:r>
      <w:r w:rsidRPr="00A517F9">
        <w:rPr>
          <w:rFonts w:ascii="Times New Roman" w:hAnsi="Times New Roman"/>
          <w:sz w:val="18"/>
          <w:szCs w:val="18"/>
          <w:lang w:val="es-ES"/>
        </w:rPr>
        <w:t>R</w:t>
      </w:r>
      <w:r>
        <w:rPr>
          <w:rFonts w:ascii="Times New Roman" w:hAnsi="Times New Roman"/>
          <w:sz w:val="18"/>
          <w:szCs w:val="18"/>
          <w:lang w:val="es-ES"/>
        </w:rPr>
        <w:t>obleda Cabezas</w:t>
      </w:r>
      <w:r w:rsidRPr="00A517F9">
        <w:rPr>
          <w:rFonts w:ascii="Times New Roman" w:hAnsi="Times New Roman"/>
          <w:sz w:val="18"/>
          <w:szCs w:val="18"/>
          <w:lang w:val="es-ES"/>
        </w:rPr>
        <w:t>, H. (Coordinadores) (2006)</w:t>
      </w:r>
      <w:r>
        <w:rPr>
          <w:rFonts w:ascii="Times New Roman" w:hAnsi="Times New Roman"/>
          <w:sz w:val="18"/>
          <w:szCs w:val="18"/>
          <w:lang w:val="es-ES"/>
        </w:rPr>
        <w:t>.</w:t>
      </w:r>
      <w:r w:rsidRPr="00A517F9">
        <w:rPr>
          <w:rFonts w:ascii="Times New Roman" w:hAnsi="Times New Roman"/>
          <w:sz w:val="18"/>
          <w:szCs w:val="18"/>
          <w:lang w:val="es-ES"/>
        </w:rPr>
        <w:t xml:space="preserve"> Guía para la implantación de un sistema de costes en la Administración local. Federación Española de Municipios y Provincias (FEMP), Madrid. (Accesible online: </w:t>
      </w:r>
      <w:hyperlink r:id="rId10" w:history="1">
        <w:r w:rsidRPr="00A517F9">
          <w:rPr>
            <w:rFonts w:ascii="Times New Roman" w:hAnsi="Times New Roman"/>
            <w:sz w:val="18"/>
            <w:szCs w:val="18"/>
            <w:lang w:val="es-ES"/>
          </w:rPr>
          <w:t>http://goo.gl/DYWYp</w:t>
        </w:r>
      </w:hyperlink>
      <w:r w:rsidRPr="00A517F9">
        <w:rPr>
          <w:rFonts w:ascii="Times New Roman" w:hAnsi="Times New Roman"/>
          <w:sz w:val="18"/>
          <w:szCs w:val="18"/>
          <w:lang w:val="es-ES"/>
        </w:rPr>
        <w:t>)</w:t>
      </w:r>
      <w:r>
        <w:rPr>
          <w:rFonts w:ascii="Times New Roman" w:hAnsi="Times New Roman"/>
          <w:sz w:val="18"/>
          <w:szCs w:val="18"/>
          <w:lang w:val="es-ES"/>
        </w:rPr>
        <w:t>.</w:t>
      </w:r>
    </w:p>
    <w:p w:rsidR="009E5175" w:rsidRPr="009E5175" w:rsidRDefault="009E5175" w:rsidP="006A086C">
      <w:pPr>
        <w:spacing w:before="0" w:after="0" w:line="240" w:lineRule="auto"/>
        <w:ind w:left="567" w:hanging="567"/>
        <w:rPr>
          <w:rFonts w:ascii="Times New Roman" w:hAnsi="Times New Roman"/>
          <w:sz w:val="18"/>
          <w:szCs w:val="18"/>
          <w:lang w:val="es-ES"/>
        </w:rPr>
      </w:pPr>
      <w:r w:rsidRPr="009E5175">
        <w:rPr>
          <w:rFonts w:ascii="Times New Roman" w:hAnsi="Times New Roman"/>
          <w:sz w:val="18"/>
          <w:szCs w:val="18"/>
          <w:lang w:val="es-ES"/>
        </w:rPr>
        <w:t>Resolución de 28 de julio de 2011, de la Intervención General de la Administración del Estado, por la que se regulan los criterios para la elaboración de la información sobre los costes de actividades e indicadores de gestión a incluir en la memoria de las cuentas anuales del Plan General de Contabilidad Pública</w:t>
      </w:r>
      <w:r>
        <w:rPr>
          <w:rFonts w:ascii="Times New Roman" w:hAnsi="Times New Roman"/>
          <w:sz w:val="18"/>
          <w:szCs w:val="18"/>
          <w:lang w:val="es-ES"/>
        </w:rPr>
        <w:t>. Boletín Oficial del Estado, nº188. Sección I, 89955-89988.</w:t>
      </w:r>
    </w:p>
    <w:p w:rsidR="009E5175" w:rsidRDefault="009E5175" w:rsidP="006A086C">
      <w:pPr>
        <w:spacing w:before="0" w:after="0" w:line="240" w:lineRule="auto"/>
        <w:ind w:left="567" w:hanging="567"/>
        <w:rPr>
          <w:rFonts w:ascii="Times New Roman" w:hAnsi="Times New Roman"/>
          <w:sz w:val="18"/>
          <w:szCs w:val="18"/>
          <w:lang w:val="es-ES"/>
        </w:rPr>
      </w:pPr>
      <w:r w:rsidRPr="00C65106">
        <w:rPr>
          <w:rFonts w:ascii="Times New Roman" w:hAnsi="Times New Roman"/>
          <w:sz w:val="18"/>
          <w:szCs w:val="18"/>
          <w:lang w:val="es-ES"/>
        </w:rPr>
        <w:t>Real Decreto Legislativo 2/2004, de 5 de marzo, por el que se aprueba el texto refundido de la Ley Reguladora de las Haciendas</w:t>
      </w:r>
      <w:r w:rsidRPr="009E5175">
        <w:rPr>
          <w:rFonts w:ascii="Times New Roman" w:hAnsi="Times New Roman"/>
          <w:sz w:val="18"/>
          <w:szCs w:val="18"/>
          <w:lang w:val="es-ES"/>
        </w:rPr>
        <w:t xml:space="preserve"> Locales.</w:t>
      </w:r>
      <w:r>
        <w:rPr>
          <w:rFonts w:ascii="Times New Roman" w:hAnsi="Times New Roman"/>
          <w:sz w:val="18"/>
          <w:szCs w:val="18"/>
          <w:lang w:val="es-ES"/>
        </w:rPr>
        <w:t xml:space="preserve"> Boletín Oficial del Estado. nº 58</w:t>
      </w:r>
      <w:r w:rsidR="00814C02">
        <w:rPr>
          <w:rFonts w:ascii="Times New Roman" w:hAnsi="Times New Roman"/>
          <w:sz w:val="18"/>
          <w:szCs w:val="18"/>
          <w:lang w:val="es-ES"/>
        </w:rPr>
        <w:t xml:space="preserve">. </w:t>
      </w:r>
      <w:r w:rsidR="00814C02" w:rsidRPr="00814C02">
        <w:rPr>
          <w:rFonts w:ascii="Times New Roman" w:hAnsi="Times New Roman"/>
          <w:sz w:val="18"/>
          <w:szCs w:val="18"/>
          <w:lang w:val="es-ES"/>
        </w:rPr>
        <w:t>A-2004-4214</w:t>
      </w:r>
      <w:r w:rsidR="00814C02">
        <w:rPr>
          <w:rFonts w:ascii="Times New Roman" w:hAnsi="Times New Roman"/>
          <w:sz w:val="18"/>
          <w:szCs w:val="18"/>
          <w:lang w:val="es-ES"/>
        </w:rPr>
        <w:t>.</w:t>
      </w:r>
    </w:p>
    <w:p w:rsidR="00DB5DFD" w:rsidRDefault="00DB5DFD" w:rsidP="006A086C">
      <w:pPr>
        <w:spacing w:before="0" w:after="0" w:line="240" w:lineRule="auto"/>
        <w:ind w:left="567" w:hanging="567"/>
        <w:rPr>
          <w:rFonts w:ascii="Times New Roman" w:hAnsi="Times New Roman"/>
          <w:sz w:val="18"/>
          <w:szCs w:val="18"/>
          <w:lang w:val="es-ES"/>
        </w:rPr>
      </w:pPr>
      <w:bookmarkStart w:id="6" w:name="_GoBack"/>
      <w:r>
        <w:rPr>
          <w:rFonts w:ascii="Times New Roman" w:hAnsi="Times New Roman"/>
          <w:sz w:val="18"/>
          <w:szCs w:val="18"/>
          <w:lang w:val="es-ES"/>
        </w:rPr>
        <w:t>Intervención General de la Administración Pública, 2004, Principios Generales sobre Contabilidad Analítica de las Administraciones Públicas.</w:t>
      </w:r>
    </w:p>
    <w:p w:rsidR="00DB5DFD" w:rsidRDefault="00DB5DFD" w:rsidP="006A086C">
      <w:pPr>
        <w:spacing w:before="0" w:after="0" w:line="240" w:lineRule="auto"/>
        <w:ind w:left="567" w:hanging="567"/>
        <w:rPr>
          <w:rFonts w:ascii="Times New Roman" w:hAnsi="Times New Roman"/>
          <w:sz w:val="18"/>
          <w:szCs w:val="18"/>
          <w:lang w:val="es-ES"/>
        </w:rPr>
      </w:pPr>
      <w:r>
        <w:rPr>
          <w:rFonts w:ascii="Times New Roman" w:hAnsi="Times New Roman"/>
          <w:sz w:val="18"/>
          <w:szCs w:val="18"/>
          <w:lang w:val="es-ES"/>
        </w:rPr>
        <w:t>Intervención General de la Administración Pública, 2007, Indicadores de Gestión en el ámbito del Sector Público</w:t>
      </w:r>
      <w:bookmarkEnd w:id="6"/>
      <w:r>
        <w:rPr>
          <w:rFonts w:ascii="Times New Roman" w:hAnsi="Times New Roman"/>
          <w:sz w:val="18"/>
          <w:szCs w:val="18"/>
          <w:lang w:val="es-ES"/>
        </w:rPr>
        <w:t>.</w:t>
      </w:r>
    </w:p>
    <w:p w:rsidR="00573597" w:rsidRPr="00CF50D0" w:rsidRDefault="00573597" w:rsidP="006A086C">
      <w:pPr>
        <w:spacing w:before="0" w:after="0" w:line="240" w:lineRule="auto"/>
        <w:ind w:left="567" w:hanging="567"/>
        <w:rPr>
          <w:rFonts w:ascii="Times New Roman" w:hAnsi="Times New Roman"/>
          <w:sz w:val="18"/>
          <w:szCs w:val="18"/>
        </w:rPr>
      </w:pPr>
    </w:p>
    <w:p w:rsidR="006A086C" w:rsidRPr="00D027C2" w:rsidRDefault="006A086C" w:rsidP="006A086C">
      <w:pPr>
        <w:spacing w:before="0" w:after="0" w:line="240" w:lineRule="auto"/>
        <w:ind w:left="709" w:hanging="709"/>
        <w:rPr>
          <w:rFonts w:ascii="Times New Roman" w:hAnsi="Times New Roman"/>
          <w:b/>
          <w:sz w:val="20"/>
          <w:szCs w:val="20"/>
          <w:lang w:val="es-ES"/>
        </w:rPr>
      </w:pPr>
    </w:p>
    <w:sectPr w:rsidR="006A086C" w:rsidRPr="00D027C2" w:rsidSect="008851A6">
      <w:pgSz w:w="11906" w:h="16838" w:code="9"/>
      <w:pgMar w:top="1418" w:right="1418" w:bottom="1418"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3B9F" w:rsidRDefault="00FA3B9F" w:rsidP="006A086C">
      <w:pPr>
        <w:spacing w:before="0" w:after="0" w:line="240" w:lineRule="auto"/>
      </w:pPr>
      <w:r>
        <w:separator/>
      </w:r>
    </w:p>
  </w:endnote>
  <w:endnote w:type="continuationSeparator" w:id="0">
    <w:p w:rsidR="00FA3B9F" w:rsidRDefault="00FA3B9F" w:rsidP="006A086C">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3B9F" w:rsidRDefault="00FA3B9F" w:rsidP="006A086C">
      <w:pPr>
        <w:spacing w:before="0" w:after="0" w:line="240" w:lineRule="auto"/>
      </w:pPr>
      <w:r>
        <w:separator/>
      </w:r>
    </w:p>
  </w:footnote>
  <w:footnote w:type="continuationSeparator" w:id="0">
    <w:p w:rsidR="00FA3B9F" w:rsidRDefault="00FA3B9F" w:rsidP="006A086C">
      <w:pPr>
        <w:spacing w:before="0" w:after="0" w:line="240" w:lineRule="auto"/>
      </w:pPr>
      <w:r>
        <w:continuationSeparator/>
      </w:r>
    </w:p>
  </w:footnote>
  <w:footnote w:id="1">
    <w:p w:rsidR="00E6115F" w:rsidRDefault="00E6115F" w:rsidP="00877329">
      <w:pPr>
        <w:pStyle w:val="Textonotapie"/>
      </w:pPr>
      <w:r>
        <w:rPr>
          <w:rStyle w:val="Refdenotaalpie"/>
        </w:rPr>
        <w:footnoteRef/>
      </w:r>
      <w:r>
        <w:t xml:space="preserve"> Que modifiquen sustancialmente la metodología de la Resolución o las obligaciones de reporting incluidas en la ICAL. </w:t>
      </w:r>
    </w:p>
  </w:footnote>
  <w:footnote w:id="2">
    <w:p w:rsidR="00E6115F" w:rsidRPr="00E94E41" w:rsidRDefault="00E6115F" w:rsidP="00934818">
      <w:pPr>
        <w:pStyle w:val="Default"/>
        <w:jc w:val="both"/>
        <w:rPr>
          <w:rFonts w:ascii="Calibri" w:hAnsi="Calibri" w:cs="Calibri"/>
        </w:rPr>
      </w:pPr>
      <w:r>
        <w:rPr>
          <w:rStyle w:val="Refdenotaalpie"/>
        </w:rPr>
        <w:footnoteRef/>
      </w:r>
      <w:r>
        <w:t xml:space="preserve"> </w:t>
      </w:r>
      <w:r w:rsidRPr="00251DCC">
        <w:rPr>
          <w:rFonts w:ascii="Times New Roman" w:hAnsi="Times New Roman" w:cs="Times New Roman"/>
          <w:sz w:val="16"/>
          <w:szCs w:val="16"/>
        </w:rPr>
        <w:t>Salvo precisiones que pudieran, en su caso, ser introducidas por la normativa de consolidación local, circunstancia que no parece probable, porque, como se indicó anteriorme</w:t>
      </w:r>
      <w:r>
        <w:rPr>
          <w:rFonts w:ascii="Times New Roman" w:hAnsi="Times New Roman" w:cs="Times New Roman"/>
          <w:sz w:val="16"/>
          <w:szCs w:val="16"/>
        </w:rPr>
        <w:t>n</w:t>
      </w:r>
      <w:r w:rsidRPr="00251DCC">
        <w:rPr>
          <w:rFonts w:ascii="Times New Roman" w:hAnsi="Times New Roman" w:cs="Times New Roman"/>
          <w:sz w:val="16"/>
          <w:szCs w:val="16"/>
        </w:rPr>
        <w:t>te, ni lo hace la normativa general del sector público, Orden HAP/1489/2013, de 18 de julio, por la que se aprueban las normas para la formulación de cuentas anuales consolidadas en el ámbito del sector público, ni normativas específicas como el Documento “Modelo de Contabilidad Analítica para Universidades. Particularización del Modelo C.A.N.O.A, del Ministerio de Educación, Cultura y Deporte, de 2011”, que desarrollan el modelo de la Resolución de 28 de julio de 2011 estableciendo la obligación de consolidar los costes del consolidado sin proponer normas de desarrollo complementarias.</w:t>
      </w:r>
    </w:p>
  </w:footnote>
  <w:footnote w:id="3">
    <w:p w:rsidR="00E6115F" w:rsidRDefault="00E6115F" w:rsidP="006800B4">
      <w:pPr>
        <w:pStyle w:val="Textonotapie"/>
      </w:pPr>
      <w:r>
        <w:rPr>
          <w:rStyle w:val="Refdenotaalpie"/>
        </w:rPr>
        <w:footnoteRef/>
      </w:r>
      <w:r>
        <w:t xml:space="preserve"> Salvo actividades para la que pudiera no definirse imputación de costes generales (transferencias, etc.).</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ED506D"/>
    <w:multiLevelType w:val="multilevel"/>
    <w:tmpl w:val="71400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BE30F7B"/>
    <w:multiLevelType w:val="hybridMultilevel"/>
    <w:tmpl w:val="4B94E370"/>
    <w:lvl w:ilvl="0" w:tplc="01266B62">
      <w:start w:val="1"/>
      <w:numFmt w:val="decimal"/>
      <w:lvlText w:val="%1."/>
      <w:lvlJc w:val="left"/>
      <w:pPr>
        <w:ind w:left="720" w:hanging="360"/>
      </w:pPr>
      <w:rPr>
        <w:rFonts w:ascii="Calibri" w:eastAsia="Times New Roman" w:hAnsi="Calibri" w:cs="Times New Roman"/>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22B947CA"/>
    <w:multiLevelType w:val="hybridMultilevel"/>
    <w:tmpl w:val="6876E9EA"/>
    <w:lvl w:ilvl="0" w:tplc="C8781DEC">
      <w:numFmt w:val="bullet"/>
      <w:lvlText w:val="-"/>
      <w:lvlJc w:val="left"/>
      <w:pPr>
        <w:ind w:left="720" w:hanging="360"/>
      </w:pPr>
      <w:rPr>
        <w:rFonts w:ascii="Calibri" w:eastAsia="Times New Roman"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36742D09"/>
    <w:multiLevelType w:val="singleLevel"/>
    <w:tmpl w:val="83EECC98"/>
    <w:lvl w:ilvl="0">
      <w:start w:val="1"/>
      <w:numFmt w:val="bullet"/>
      <w:pStyle w:val="Vietanivel1"/>
      <w:lvlText w:val=""/>
      <w:lvlJc w:val="left"/>
      <w:pPr>
        <w:tabs>
          <w:tab w:val="num" w:pos="530"/>
        </w:tabs>
        <w:ind w:left="527" w:hanging="357"/>
      </w:pPr>
      <w:rPr>
        <w:rFonts w:ascii="Symbol" w:hAnsi="Symbol" w:hint="default"/>
      </w:rPr>
    </w:lvl>
  </w:abstractNum>
  <w:abstractNum w:abstractNumId="4" w15:restartNumberingAfterBreak="0">
    <w:nsid w:val="3A022239"/>
    <w:multiLevelType w:val="hybridMultilevel"/>
    <w:tmpl w:val="97808D1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65263675"/>
    <w:multiLevelType w:val="multilevel"/>
    <w:tmpl w:val="AC1EA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67F73634"/>
    <w:multiLevelType w:val="hybridMultilevel"/>
    <w:tmpl w:val="52947D8E"/>
    <w:lvl w:ilvl="0" w:tplc="E8468AA8">
      <w:start w:val="1"/>
      <w:numFmt w:val="bullet"/>
      <w:lvlText w:val="-"/>
      <w:lvlJc w:val="left"/>
      <w:pPr>
        <w:ind w:left="1440" w:hanging="360"/>
      </w:pPr>
      <w:rPr>
        <w:rFonts w:ascii="Times New Roman" w:eastAsia="Times New Roman" w:hAnsi="Times New Roman" w:cs="Times New Roman" w:hint="default"/>
      </w:rPr>
    </w:lvl>
    <w:lvl w:ilvl="1" w:tplc="0C0A0003">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7" w15:restartNumberingAfterBreak="0">
    <w:nsid w:val="693D0996"/>
    <w:multiLevelType w:val="hybridMultilevel"/>
    <w:tmpl w:val="D45E9870"/>
    <w:lvl w:ilvl="0" w:tplc="5F9ECB38">
      <w:numFmt w:val="bullet"/>
      <w:lvlText w:val="-"/>
      <w:lvlJc w:val="left"/>
      <w:pPr>
        <w:ind w:left="720" w:hanging="360"/>
      </w:pPr>
      <w:rPr>
        <w:rFonts w:ascii="Calibri" w:eastAsia="Times New Roman"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730F4DEB"/>
    <w:multiLevelType w:val="hybridMultilevel"/>
    <w:tmpl w:val="D0EC7EF0"/>
    <w:lvl w:ilvl="0" w:tplc="CF1E2638">
      <w:start w:val="1"/>
      <w:numFmt w:val="bullet"/>
      <w:lvlText w:val=""/>
      <w:lvlJc w:val="left"/>
      <w:pPr>
        <w:ind w:left="1080" w:hanging="360"/>
      </w:pPr>
      <w:rPr>
        <w:rFonts w:ascii="Symbol" w:hAnsi="Symbol" w:hint="default"/>
        <w:color w:val="auto"/>
      </w:rPr>
    </w:lvl>
    <w:lvl w:ilvl="1" w:tplc="FBFEF7F8">
      <w:start w:val="1"/>
      <w:numFmt w:val="bullet"/>
      <w:lvlText w:val="o"/>
      <w:lvlJc w:val="left"/>
      <w:pPr>
        <w:ind w:left="1800" w:hanging="360"/>
      </w:pPr>
      <w:rPr>
        <w:rFonts w:ascii="Courier New" w:hAnsi="Courier New" w:cs="Courier New" w:hint="default"/>
        <w:color w:val="auto"/>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num w:numId="1">
    <w:abstractNumId w:val="5"/>
  </w:num>
  <w:num w:numId="2">
    <w:abstractNumId w:val="0"/>
  </w:num>
  <w:num w:numId="3">
    <w:abstractNumId w:val="4"/>
  </w:num>
  <w:num w:numId="4">
    <w:abstractNumId w:val="7"/>
  </w:num>
  <w:num w:numId="5">
    <w:abstractNumId w:val="2"/>
  </w:num>
  <w:num w:numId="6">
    <w:abstractNumId w:val="3"/>
  </w:num>
  <w:num w:numId="7">
    <w:abstractNumId w:val="8"/>
  </w:num>
  <w:num w:numId="8">
    <w:abstractNumId w:val="1"/>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9"/>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DU1sjQwMDQ2AdKGBko6SsGpxcWZ+XkgBUa1AB6cHGssAAAA"/>
  </w:docVars>
  <w:rsids>
    <w:rsidRoot w:val="00B4618A"/>
    <w:rsid w:val="0002077E"/>
    <w:rsid w:val="00031DBD"/>
    <w:rsid w:val="0003630E"/>
    <w:rsid w:val="000B7CA7"/>
    <w:rsid w:val="000C63C9"/>
    <w:rsid w:val="000D75BF"/>
    <w:rsid w:val="00114CB7"/>
    <w:rsid w:val="00137294"/>
    <w:rsid w:val="001A0135"/>
    <w:rsid w:val="001B1D03"/>
    <w:rsid w:val="001C20EB"/>
    <w:rsid w:val="001C2C03"/>
    <w:rsid w:val="001C52B4"/>
    <w:rsid w:val="001D242E"/>
    <w:rsid w:val="00212BFA"/>
    <w:rsid w:val="00251DCC"/>
    <w:rsid w:val="002674E1"/>
    <w:rsid w:val="002D6C95"/>
    <w:rsid w:val="003162BF"/>
    <w:rsid w:val="00355F25"/>
    <w:rsid w:val="003802C1"/>
    <w:rsid w:val="003A20F1"/>
    <w:rsid w:val="003B794D"/>
    <w:rsid w:val="00414151"/>
    <w:rsid w:val="0043686B"/>
    <w:rsid w:val="00474223"/>
    <w:rsid w:val="004F12C2"/>
    <w:rsid w:val="00537E5E"/>
    <w:rsid w:val="00573597"/>
    <w:rsid w:val="0059158A"/>
    <w:rsid w:val="005B7B63"/>
    <w:rsid w:val="005E72FE"/>
    <w:rsid w:val="005F39D3"/>
    <w:rsid w:val="0067533C"/>
    <w:rsid w:val="006800B4"/>
    <w:rsid w:val="00684EAC"/>
    <w:rsid w:val="00693AEC"/>
    <w:rsid w:val="006A086C"/>
    <w:rsid w:val="006B0AF1"/>
    <w:rsid w:val="006C244A"/>
    <w:rsid w:val="006D1350"/>
    <w:rsid w:val="006F18CF"/>
    <w:rsid w:val="007178FE"/>
    <w:rsid w:val="00736411"/>
    <w:rsid w:val="007559F4"/>
    <w:rsid w:val="007803E1"/>
    <w:rsid w:val="00782A7B"/>
    <w:rsid w:val="007B6B1B"/>
    <w:rsid w:val="007E0800"/>
    <w:rsid w:val="00802956"/>
    <w:rsid w:val="00814434"/>
    <w:rsid w:val="00814C02"/>
    <w:rsid w:val="00820F32"/>
    <w:rsid w:val="00827A07"/>
    <w:rsid w:val="00875DDD"/>
    <w:rsid w:val="00877329"/>
    <w:rsid w:val="008851A6"/>
    <w:rsid w:val="008D1B60"/>
    <w:rsid w:val="008D45B4"/>
    <w:rsid w:val="008E60A8"/>
    <w:rsid w:val="008F1AEA"/>
    <w:rsid w:val="00903B06"/>
    <w:rsid w:val="0090608E"/>
    <w:rsid w:val="009216AF"/>
    <w:rsid w:val="00934818"/>
    <w:rsid w:val="009916C1"/>
    <w:rsid w:val="00995236"/>
    <w:rsid w:val="009A3F42"/>
    <w:rsid w:val="009C459A"/>
    <w:rsid w:val="009E5175"/>
    <w:rsid w:val="009F2B94"/>
    <w:rsid w:val="00A517F9"/>
    <w:rsid w:val="00A571DE"/>
    <w:rsid w:val="00A61817"/>
    <w:rsid w:val="00A7194E"/>
    <w:rsid w:val="00A918ED"/>
    <w:rsid w:val="00AC085C"/>
    <w:rsid w:val="00AC2077"/>
    <w:rsid w:val="00AF6E6E"/>
    <w:rsid w:val="00B4618A"/>
    <w:rsid w:val="00B95295"/>
    <w:rsid w:val="00C000EE"/>
    <w:rsid w:val="00C16B89"/>
    <w:rsid w:val="00C24876"/>
    <w:rsid w:val="00C37AD8"/>
    <w:rsid w:val="00C971AC"/>
    <w:rsid w:val="00CA1CE6"/>
    <w:rsid w:val="00CB222F"/>
    <w:rsid w:val="00CD5774"/>
    <w:rsid w:val="00CE6223"/>
    <w:rsid w:val="00CF50D0"/>
    <w:rsid w:val="00D027C2"/>
    <w:rsid w:val="00D26876"/>
    <w:rsid w:val="00D34DA4"/>
    <w:rsid w:val="00D504E2"/>
    <w:rsid w:val="00D66B09"/>
    <w:rsid w:val="00D72F46"/>
    <w:rsid w:val="00DB5DFD"/>
    <w:rsid w:val="00DC32F2"/>
    <w:rsid w:val="00DC748C"/>
    <w:rsid w:val="00E10D60"/>
    <w:rsid w:val="00E34015"/>
    <w:rsid w:val="00E6115F"/>
    <w:rsid w:val="00E8025B"/>
    <w:rsid w:val="00E92D00"/>
    <w:rsid w:val="00EA7484"/>
    <w:rsid w:val="00EF55F5"/>
    <w:rsid w:val="00F27968"/>
    <w:rsid w:val="00F41514"/>
    <w:rsid w:val="00FA3B9F"/>
    <w:rsid w:val="00FA44BE"/>
    <w:rsid w:val="00FF1E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A1965B-C1EB-4C22-9E1C-4A243D685D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086C"/>
    <w:pPr>
      <w:spacing w:before="120" w:after="120" w:line="360" w:lineRule="auto"/>
      <w:jc w:val="both"/>
    </w:pPr>
    <w:rPr>
      <w:rFonts w:ascii="Calibri" w:eastAsia="Calibri" w:hAnsi="Calibri" w:cs="Times New Roman"/>
      <w:lang w:val="pt-PT"/>
    </w:rPr>
  </w:style>
  <w:style w:type="paragraph" w:styleId="Ttulo1">
    <w:name w:val="heading 1"/>
    <w:basedOn w:val="Normal"/>
    <w:next w:val="Normal"/>
    <w:link w:val="Ttulo1Car"/>
    <w:uiPriority w:val="9"/>
    <w:qFormat/>
    <w:rsid w:val="006A086C"/>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tulo3">
    <w:name w:val="heading 3"/>
    <w:basedOn w:val="Normal"/>
    <w:next w:val="Normal"/>
    <w:link w:val="Ttulo3Car"/>
    <w:uiPriority w:val="9"/>
    <w:semiHidden/>
    <w:unhideWhenUsed/>
    <w:qFormat/>
    <w:rsid w:val="009E517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A086C"/>
    <w:rPr>
      <w:rFonts w:asciiTheme="majorHAnsi" w:eastAsiaTheme="majorEastAsia" w:hAnsiTheme="majorHAnsi" w:cstheme="majorBidi"/>
      <w:b/>
      <w:bCs/>
      <w:color w:val="2E74B5" w:themeColor="accent1" w:themeShade="BF"/>
      <w:sz w:val="28"/>
      <w:szCs w:val="28"/>
      <w:lang w:val="pt-PT"/>
    </w:rPr>
  </w:style>
  <w:style w:type="character" w:styleId="Hipervnculo">
    <w:name w:val="Hyperlink"/>
    <w:basedOn w:val="Fuentedeprrafopredeter"/>
    <w:uiPriority w:val="99"/>
    <w:unhideWhenUsed/>
    <w:rsid w:val="006A086C"/>
    <w:rPr>
      <w:color w:val="0563C1" w:themeColor="hyperlink"/>
      <w:u w:val="single"/>
    </w:rPr>
  </w:style>
  <w:style w:type="paragraph" w:styleId="NormalWeb">
    <w:name w:val="Normal (Web)"/>
    <w:basedOn w:val="Normal"/>
    <w:uiPriority w:val="99"/>
    <w:unhideWhenUsed/>
    <w:rsid w:val="006A086C"/>
    <w:pPr>
      <w:spacing w:before="100" w:beforeAutospacing="1" w:after="100" w:afterAutospacing="1" w:line="240" w:lineRule="auto"/>
    </w:pPr>
    <w:rPr>
      <w:rFonts w:ascii="Times" w:eastAsiaTheme="minorHAnsi" w:hAnsi="Times"/>
      <w:sz w:val="20"/>
      <w:szCs w:val="20"/>
    </w:rPr>
  </w:style>
  <w:style w:type="paragraph" w:styleId="Textonotapie">
    <w:name w:val="footnote text"/>
    <w:basedOn w:val="Normal"/>
    <w:link w:val="TextonotapieCar"/>
    <w:uiPriority w:val="99"/>
    <w:unhideWhenUsed/>
    <w:rsid w:val="006A086C"/>
    <w:pPr>
      <w:spacing w:before="0" w:after="0" w:line="240" w:lineRule="auto"/>
    </w:pPr>
    <w:rPr>
      <w:rFonts w:ascii="Times New Roman" w:hAnsi="Times New Roman"/>
      <w:sz w:val="16"/>
      <w:szCs w:val="20"/>
    </w:rPr>
  </w:style>
  <w:style w:type="character" w:customStyle="1" w:styleId="TextonotapieCar">
    <w:name w:val="Texto nota pie Car"/>
    <w:basedOn w:val="Fuentedeprrafopredeter"/>
    <w:link w:val="Textonotapie"/>
    <w:uiPriority w:val="99"/>
    <w:rsid w:val="006A086C"/>
    <w:rPr>
      <w:rFonts w:ascii="Times New Roman" w:eastAsia="Calibri" w:hAnsi="Times New Roman" w:cs="Times New Roman"/>
      <w:sz w:val="16"/>
      <w:szCs w:val="20"/>
      <w:lang w:val="pt-PT"/>
    </w:rPr>
  </w:style>
  <w:style w:type="character" w:styleId="Refdenotaalpie">
    <w:name w:val="footnote reference"/>
    <w:basedOn w:val="Fuentedeprrafopredeter"/>
    <w:uiPriority w:val="99"/>
    <w:semiHidden/>
    <w:unhideWhenUsed/>
    <w:rsid w:val="006A086C"/>
    <w:rPr>
      <w:vertAlign w:val="superscript"/>
    </w:rPr>
  </w:style>
  <w:style w:type="character" w:customStyle="1" w:styleId="hps">
    <w:name w:val="hps"/>
    <w:basedOn w:val="Fuentedeprrafopredeter"/>
    <w:rsid w:val="006A086C"/>
  </w:style>
  <w:style w:type="paragraph" w:customStyle="1" w:styleId="lisbonparagraph">
    <w:name w:val="lisbon_paragraph"/>
    <w:basedOn w:val="Normal"/>
    <w:rsid w:val="006A086C"/>
    <w:pPr>
      <w:spacing w:before="0" w:after="60" w:line="240" w:lineRule="auto"/>
    </w:pPr>
    <w:rPr>
      <w:rFonts w:ascii="Times New Roman" w:eastAsia="Times New Roman" w:hAnsi="Times New Roman"/>
      <w:sz w:val="20"/>
      <w:szCs w:val="20"/>
      <w:lang w:eastAsia="pt-PT"/>
    </w:rPr>
  </w:style>
  <w:style w:type="paragraph" w:customStyle="1" w:styleId="Authoraddress">
    <w:name w:val="Author address"/>
    <w:basedOn w:val="Normal"/>
    <w:next w:val="Normal"/>
    <w:rsid w:val="006A086C"/>
    <w:pPr>
      <w:suppressAutoHyphens/>
      <w:spacing w:before="0" w:after="0" w:line="220" w:lineRule="atLeast"/>
    </w:pPr>
    <w:rPr>
      <w:rFonts w:ascii="Arial" w:eastAsia="Times New Roman" w:hAnsi="Arial"/>
      <w:bCs/>
      <w:sz w:val="18"/>
      <w:szCs w:val="24"/>
      <w:lang w:val="en-GB"/>
    </w:rPr>
  </w:style>
  <w:style w:type="paragraph" w:styleId="Bibliografa">
    <w:name w:val="Bibliography"/>
    <w:basedOn w:val="Normal"/>
    <w:next w:val="Normal"/>
    <w:uiPriority w:val="37"/>
    <w:unhideWhenUsed/>
    <w:rsid w:val="006A086C"/>
    <w:pPr>
      <w:spacing w:before="0" w:after="160" w:line="259" w:lineRule="auto"/>
      <w:ind w:left="1077" w:hanging="357"/>
      <w:jc w:val="left"/>
    </w:pPr>
    <w:rPr>
      <w:rFonts w:asciiTheme="minorHAnsi" w:eastAsiaTheme="minorHAnsi" w:hAnsiTheme="minorHAnsi" w:cstheme="minorBidi"/>
      <w:lang w:val="en-US"/>
    </w:rPr>
  </w:style>
  <w:style w:type="paragraph" w:styleId="Textodeglobo">
    <w:name w:val="Balloon Text"/>
    <w:basedOn w:val="Normal"/>
    <w:link w:val="TextodegloboCar"/>
    <w:uiPriority w:val="99"/>
    <w:semiHidden/>
    <w:unhideWhenUsed/>
    <w:rsid w:val="007E0800"/>
    <w:pPr>
      <w:spacing w:before="0"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E0800"/>
    <w:rPr>
      <w:rFonts w:ascii="Segoe UI" w:eastAsia="Calibri" w:hAnsi="Segoe UI" w:cs="Segoe UI"/>
      <w:sz w:val="18"/>
      <w:szCs w:val="18"/>
      <w:lang w:val="pt-PT"/>
    </w:rPr>
  </w:style>
  <w:style w:type="paragraph" w:customStyle="1" w:styleId="Default">
    <w:name w:val="Default"/>
    <w:rsid w:val="00877329"/>
    <w:pPr>
      <w:autoSpaceDE w:val="0"/>
      <w:autoSpaceDN w:val="0"/>
      <w:adjustRightInd w:val="0"/>
      <w:spacing w:after="0" w:line="240" w:lineRule="auto"/>
    </w:pPr>
    <w:rPr>
      <w:rFonts w:ascii="Arial" w:eastAsia="Times New Roman" w:hAnsi="Arial" w:cs="Arial"/>
      <w:sz w:val="20"/>
      <w:szCs w:val="20"/>
      <w:lang w:val="es-ES" w:eastAsia="es-ES"/>
    </w:rPr>
  </w:style>
  <w:style w:type="paragraph" w:customStyle="1" w:styleId="Pa6">
    <w:name w:val="Pa6"/>
    <w:basedOn w:val="Default"/>
    <w:next w:val="Default"/>
    <w:uiPriority w:val="99"/>
    <w:rsid w:val="00877329"/>
    <w:pPr>
      <w:spacing w:line="201" w:lineRule="atLeast"/>
    </w:pPr>
    <w:rPr>
      <w:sz w:val="24"/>
      <w:szCs w:val="24"/>
    </w:rPr>
  </w:style>
  <w:style w:type="paragraph" w:customStyle="1" w:styleId="Vietanivel1">
    <w:name w:val="Viñeta nivel 1"/>
    <w:basedOn w:val="Normal"/>
    <w:qFormat/>
    <w:rsid w:val="00877329"/>
    <w:pPr>
      <w:numPr>
        <w:numId w:val="6"/>
      </w:numPr>
      <w:spacing w:before="0" w:after="0" w:line="240" w:lineRule="auto"/>
    </w:pPr>
    <w:rPr>
      <w:rFonts w:eastAsia="Times New Roman"/>
      <w:sz w:val="24"/>
      <w:szCs w:val="24"/>
      <w:lang w:val="es-ES" w:eastAsia="es-ES"/>
    </w:rPr>
  </w:style>
  <w:style w:type="paragraph" w:styleId="Prrafodelista">
    <w:name w:val="List Paragraph"/>
    <w:basedOn w:val="Normal"/>
    <w:link w:val="PrrafodelistaCar"/>
    <w:uiPriority w:val="34"/>
    <w:qFormat/>
    <w:rsid w:val="00934818"/>
    <w:pPr>
      <w:spacing w:before="0" w:after="0" w:line="240" w:lineRule="auto"/>
      <w:ind w:left="708"/>
    </w:pPr>
    <w:rPr>
      <w:rFonts w:eastAsia="Times New Roman"/>
      <w:sz w:val="24"/>
      <w:szCs w:val="24"/>
      <w:lang w:val="es-ES" w:eastAsia="es-ES"/>
    </w:rPr>
  </w:style>
  <w:style w:type="character" w:customStyle="1" w:styleId="PrrafodelistaCar">
    <w:name w:val="Párrafo de lista Car"/>
    <w:link w:val="Prrafodelista"/>
    <w:uiPriority w:val="34"/>
    <w:locked/>
    <w:rsid w:val="00934818"/>
    <w:rPr>
      <w:rFonts w:ascii="Calibri" w:eastAsia="Times New Roman" w:hAnsi="Calibri" w:cs="Times New Roman"/>
      <w:sz w:val="24"/>
      <w:szCs w:val="24"/>
      <w:lang w:val="es-ES" w:eastAsia="es-ES"/>
    </w:rPr>
  </w:style>
  <w:style w:type="character" w:customStyle="1" w:styleId="Ttulo3Car">
    <w:name w:val="Título 3 Car"/>
    <w:basedOn w:val="Fuentedeprrafopredeter"/>
    <w:link w:val="Ttulo3"/>
    <w:uiPriority w:val="9"/>
    <w:semiHidden/>
    <w:rsid w:val="009E5175"/>
    <w:rPr>
      <w:rFonts w:asciiTheme="majorHAnsi" w:eastAsiaTheme="majorEastAsia" w:hAnsiTheme="majorHAnsi" w:cstheme="majorBidi"/>
      <w:color w:val="1F4D78" w:themeColor="accent1" w:themeShade="7F"/>
      <w:sz w:val="24"/>
      <w:szCs w:val="24"/>
      <w:lang w:val="pt-PT"/>
    </w:rPr>
  </w:style>
  <w:style w:type="character" w:styleId="CitaHTML">
    <w:name w:val="HTML Cite"/>
    <w:basedOn w:val="Fuentedeprrafopredeter"/>
    <w:uiPriority w:val="99"/>
    <w:semiHidden/>
    <w:unhideWhenUsed/>
    <w:rsid w:val="009216A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5941282">
      <w:bodyDiv w:val="1"/>
      <w:marLeft w:val="0"/>
      <w:marRight w:val="0"/>
      <w:marTop w:val="0"/>
      <w:marBottom w:val="0"/>
      <w:divBdr>
        <w:top w:val="none" w:sz="0" w:space="0" w:color="auto"/>
        <w:left w:val="none" w:sz="0" w:space="0" w:color="auto"/>
        <w:bottom w:val="none" w:sz="0" w:space="0" w:color="auto"/>
        <w:right w:val="none" w:sz="0" w:space="0" w:color="auto"/>
      </w:divBdr>
      <w:divsChild>
        <w:div w:id="525406834">
          <w:marLeft w:val="0"/>
          <w:marRight w:val="0"/>
          <w:marTop w:val="0"/>
          <w:marBottom w:val="0"/>
          <w:divBdr>
            <w:top w:val="none" w:sz="0" w:space="0" w:color="auto"/>
            <w:left w:val="none" w:sz="0" w:space="0" w:color="auto"/>
            <w:bottom w:val="none" w:sz="0" w:space="0" w:color="auto"/>
            <w:right w:val="none" w:sz="0" w:space="0" w:color="auto"/>
          </w:divBdr>
          <w:divsChild>
            <w:div w:id="694381293">
              <w:marLeft w:val="0"/>
              <w:marRight w:val="0"/>
              <w:marTop w:val="0"/>
              <w:marBottom w:val="0"/>
              <w:divBdr>
                <w:top w:val="none" w:sz="0" w:space="0" w:color="auto"/>
                <w:left w:val="none" w:sz="0" w:space="0" w:color="auto"/>
                <w:bottom w:val="none" w:sz="0" w:space="0" w:color="auto"/>
                <w:right w:val="none" w:sz="0" w:space="0" w:color="auto"/>
              </w:divBdr>
              <w:divsChild>
                <w:div w:id="2043245427">
                  <w:marLeft w:val="0"/>
                  <w:marRight w:val="0"/>
                  <w:marTop w:val="0"/>
                  <w:marBottom w:val="0"/>
                  <w:divBdr>
                    <w:top w:val="none" w:sz="0" w:space="0" w:color="auto"/>
                    <w:left w:val="none" w:sz="0" w:space="0" w:color="auto"/>
                    <w:bottom w:val="none" w:sz="0" w:space="0" w:color="auto"/>
                    <w:right w:val="none" w:sz="0" w:space="0" w:color="auto"/>
                  </w:divBdr>
                  <w:divsChild>
                    <w:div w:id="1758819259">
                      <w:marLeft w:val="0"/>
                      <w:marRight w:val="0"/>
                      <w:marTop w:val="0"/>
                      <w:marBottom w:val="0"/>
                      <w:divBdr>
                        <w:top w:val="none" w:sz="0" w:space="0" w:color="auto"/>
                        <w:left w:val="none" w:sz="0" w:space="0" w:color="auto"/>
                        <w:bottom w:val="none" w:sz="0" w:space="0" w:color="auto"/>
                        <w:right w:val="none" w:sz="0" w:space="0" w:color="auto"/>
                      </w:divBdr>
                      <w:divsChild>
                        <w:div w:id="1217012858">
                          <w:marLeft w:val="0"/>
                          <w:marRight w:val="0"/>
                          <w:marTop w:val="0"/>
                          <w:marBottom w:val="0"/>
                          <w:divBdr>
                            <w:top w:val="none" w:sz="0" w:space="0" w:color="auto"/>
                            <w:left w:val="none" w:sz="0" w:space="0" w:color="auto"/>
                            <w:bottom w:val="none" w:sz="0" w:space="0" w:color="auto"/>
                            <w:right w:val="none" w:sz="0" w:space="0" w:color="auto"/>
                          </w:divBdr>
                          <w:divsChild>
                            <w:div w:id="524249648">
                              <w:marLeft w:val="0"/>
                              <w:marRight w:val="300"/>
                              <w:marTop w:val="180"/>
                              <w:marBottom w:val="0"/>
                              <w:divBdr>
                                <w:top w:val="none" w:sz="0" w:space="0" w:color="auto"/>
                                <w:left w:val="none" w:sz="0" w:space="0" w:color="auto"/>
                                <w:bottom w:val="none" w:sz="0" w:space="0" w:color="auto"/>
                                <w:right w:val="none" w:sz="0" w:space="0" w:color="auto"/>
                              </w:divBdr>
                              <w:divsChild>
                                <w:div w:id="1204102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1400470">
          <w:marLeft w:val="0"/>
          <w:marRight w:val="0"/>
          <w:marTop w:val="0"/>
          <w:marBottom w:val="0"/>
          <w:divBdr>
            <w:top w:val="none" w:sz="0" w:space="0" w:color="auto"/>
            <w:left w:val="none" w:sz="0" w:space="0" w:color="auto"/>
            <w:bottom w:val="none" w:sz="0" w:space="0" w:color="auto"/>
            <w:right w:val="none" w:sz="0" w:space="0" w:color="auto"/>
          </w:divBdr>
          <w:divsChild>
            <w:div w:id="1446384676">
              <w:marLeft w:val="0"/>
              <w:marRight w:val="0"/>
              <w:marTop w:val="0"/>
              <w:marBottom w:val="0"/>
              <w:divBdr>
                <w:top w:val="none" w:sz="0" w:space="0" w:color="auto"/>
                <w:left w:val="none" w:sz="0" w:space="0" w:color="auto"/>
                <w:bottom w:val="none" w:sz="0" w:space="0" w:color="auto"/>
                <w:right w:val="none" w:sz="0" w:space="0" w:color="auto"/>
              </w:divBdr>
              <w:divsChild>
                <w:div w:id="589780947">
                  <w:marLeft w:val="0"/>
                  <w:marRight w:val="0"/>
                  <w:marTop w:val="0"/>
                  <w:marBottom w:val="0"/>
                  <w:divBdr>
                    <w:top w:val="none" w:sz="0" w:space="0" w:color="auto"/>
                    <w:left w:val="none" w:sz="0" w:space="0" w:color="auto"/>
                    <w:bottom w:val="none" w:sz="0" w:space="0" w:color="auto"/>
                    <w:right w:val="none" w:sz="0" w:space="0" w:color="auto"/>
                  </w:divBdr>
                  <w:divsChild>
                    <w:div w:id="41760386">
                      <w:marLeft w:val="0"/>
                      <w:marRight w:val="0"/>
                      <w:marTop w:val="0"/>
                      <w:marBottom w:val="0"/>
                      <w:divBdr>
                        <w:top w:val="none" w:sz="0" w:space="0" w:color="auto"/>
                        <w:left w:val="none" w:sz="0" w:space="0" w:color="auto"/>
                        <w:bottom w:val="none" w:sz="0" w:space="0" w:color="auto"/>
                        <w:right w:val="none" w:sz="0" w:space="0" w:color="auto"/>
                      </w:divBdr>
                      <w:divsChild>
                        <w:div w:id="959461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0014451">
      <w:bodyDiv w:val="1"/>
      <w:marLeft w:val="0"/>
      <w:marRight w:val="0"/>
      <w:marTop w:val="0"/>
      <w:marBottom w:val="0"/>
      <w:divBdr>
        <w:top w:val="none" w:sz="0" w:space="0" w:color="auto"/>
        <w:left w:val="none" w:sz="0" w:space="0" w:color="auto"/>
        <w:bottom w:val="none" w:sz="0" w:space="0" w:color="auto"/>
        <w:right w:val="none" w:sz="0" w:space="0" w:color="auto"/>
      </w:divBdr>
    </w:div>
    <w:div w:id="2068141696">
      <w:bodyDiv w:val="1"/>
      <w:marLeft w:val="0"/>
      <w:marRight w:val="0"/>
      <w:marTop w:val="0"/>
      <w:marBottom w:val="0"/>
      <w:divBdr>
        <w:top w:val="none" w:sz="0" w:space="0" w:color="auto"/>
        <w:left w:val="none" w:sz="0" w:space="0" w:color="auto"/>
        <w:bottom w:val="none" w:sz="0" w:space="0" w:color="auto"/>
        <w:right w:val="none" w:sz="0" w:space="0" w:color="auto"/>
      </w:divBdr>
      <w:divsChild>
        <w:div w:id="1028721801">
          <w:marLeft w:val="0"/>
          <w:marRight w:val="0"/>
          <w:marTop w:val="0"/>
          <w:marBottom w:val="0"/>
          <w:divBdr>
            <w:top w:val="none" w:sz="0" w:space="0" w:color="auto"/>
            <w:left w:val="none" w:sz="0" w:space="0" w:color="auto"/>
            <w:bottom w:val="none" w:sz="0" w:space="0" w:color="auto"/>
            <w:right w:val="none" w:sz="0" w:space="0" w:color="auto"/>
          </w:divBdr>
        </w:div>
        <w:div w:id="1589651924">
          <w:marLeft w:val="0"/>
          <w:marRight w:val="0"/>
          <w:marTop w:val="0"/>
          <w:marBottom w:val="0"/>
          <w:divBdr>
            <w:top w:val="none" w:sz="0" w:space="0" w:color="auto"/>
            <w:left w:val="none" w:sz="0" w:space="0" w:color="auto"/>
            <w:bottom w:val="none" w:sz="0" w:space="0" w:color="auto"/>
            <w:right w:val="none" w:sz="0" w:space="0" w:color="auto"/>
          </w:divBdr>
        </w:div>
        <w:div w:id="11320164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niel.carrasco@uma.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goo.gl/DYWYp" TargetMode="External"/><Relationship Id="rId4" Type="http://schemas.openxmlformats.org/officeDocument/2006/relationships/settings" Target="settings.xml"/><Relationship Id="rId9" Type="http://schemas.openxmlformats.org/officeDocument/2006/relationships/hyperlink" Target="http://goo.gl/7chV2"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A7F46E-9834-4139-B078-EA86F938DA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314</TotalTime>
  <Pages>17</Pages>
  <Words>10188</Words>
  <Characters>56037</Characters>
  <Application>Microsoft Office Word</Application>
  <DocSecurity>0</DocSecurity>
  <Lines>466</Lines>
  <Paragraphs>132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66093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JLE2020</dc:creator>
  <cp:keywords>JLE2020</cp:keywords>
  <dc:description/>
  <cp:lastModifiedBy>USUARIO</cp:lastModifiedBy>
  <cp:revision>24</cp:revision>
  <dcterms:created xsi:type="dcterms:W3CDTF">2019-10-29T11:55:00Z</dcterms:created>
  <dcterms:modified xsi:type="dcterms:W3CDTF">2019-11-04T12:07:00Z</dcterms:modified>
</cp:coreProperties>
</file>