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053C33" w14:textId="50B4FC6D" w:rsidR="007B08AD" w:rsidRPr="00194419" w:rsidRDefault="00734E42" w:rsidP="008A3630">
      <w:pPr>
        <w:pStyle w:val="Prrafodelista"/>
        <w:spacing w:line="480" w:lineRule="auto"/>
        <w:ind w:left="0" w:firstLine="0"/>
        <w:jc w:val="center"/>
        <w:rPr>
          <w:b/>
          <w:sz w:val="28"/>
        </w:rPr>
      </w:pPr>
      <w:r>
        <w:rPr>
          <w:b/>
          <w:sz w:val="28"/>
        </w:rPr>
        <w:t xml:space="preserve"> </w:t>
      </w:r>
      <w:r w:rsidR="007B08AD" w:rsidRPr="00194419">
        <w:rPr>
          <w:b/>
          <w:sz w:val="28"/>
        </w:rPr>
        <w:t>G</w:t>
      </w:r>
      <w:r w:rsidR="00121877" w:rsidRPr="00194419">
        <w:rPr>
          <w:b/>
          <w:sz w:val="28"/>
        </w:rPr>
        <w:t>r</w:t>
      </w:r>
      <w:r w:rsidR="007B08AD" w:rsidRPr="00194419">
        <w:rPr>
          <w:b/>
          <w:sz w:val="28"/>
        </w:rPr>
        <w:t xml:space="preserve">oundwater dating tools (³H, </w:t>
      </w:r>
      <w:r w:rsidR="007B08AD" w:rsidRPr="00194419">
        <w:rPr>
          <w:b/>
          <w:sz w:val="28"/>
          <w:vertAlign w:val="superscript"/>
        </w:rPr>
        <w:t>3</w:t>
      </w:r>
      <w:r w:rsidR="007B08AD" w:rsidRPr="00194419">
        <w:rPr>
          <w:b/>
          <w:sz w:val="28"/>
        </w:rPr>
        <w:t xml:space="preserve">He, </w:t>
      </w:r>
      <w:r w:rsidR="007B08AD" w:rsidRPr="00194419">
        <w:rPr>
          <w:b/>
          <w:sz w:val="28"/>
          <w:vertAlign w:val="superscript"/>
        </w:rPr>
        <w:t>4</w:t>
      </w:r>
      <w:r w:rsidR="007B08AD" w:rsidRPr="00194419">
        <w:rPr>
          <w:b/>
          <w:sz w:val="28"/>
        </w:rPr>
        <w:t>He, CFC-12, SF</w:t>
      </w:r>
      <w:r w:rsidR="007B08AD" w:rsidRPr="00194419">
        <w:rPr>
          <w:b/>
          <w:sz w:val="28"/>
          <w:vertAlign w:val="subscript"/>
        </w:rPr>
        <w:t>6</w:t>
      </w:r>
      <w:r w:rsidR="007B08AD" w:rsidRPr="00194419">
        <w:rPr>
          <w:b/>
          <w:sz w:val="28"/>
        </w:rPr>
        <w:t xml:space="preserve">) coupled with hydrochemistry to </w:t>
      </w:r>
      <w:r w:rsidR="007A0203">
        <w:rPr>
          <w:b/>
          <w:sz w:val="28"/>
        </w:rPr>
        <w:t>evaluate</w:t>
      </w:r>
      <w:r w:rsidR="007A0203" w:rsidRPr="00194419">
        <w:rPr>
          <w:b/>
          <w:sz w:val="28"/>
        </w:rPr>
        <w:t xml:space="preserve"> </w:t>
      </w:r>
      <w:r w:rsidR="007B08AD" w:rsidRPr="00194419">
        <w:rPr>
          <w:b/>
          <w:sz w:val="28"/>
        </w:rPr>
        <w:t>the hydrogeological functioning of complex evaporite-karst settings.</w:t>
      </w:r>
    </w:p>
    <w:p w14:paraId="38351BCD" w14:textId="653A7428" w:rsidR="003C3F1F" w:rsidRPr="00444A13" w:rsidRDefault="003C3F1F" w:rsidP="008A3630">
      <w:pPr>
        <w:spacing w:line="480" w:lineRule="auto"/>
        <w:jc w:val="center"/>
        <w:rPr>
          <w:lang w:val="es-ES_tradnl"/>
        </w:rPr>
      </w:pPr>
      <w:r w:rsidRPr="00444A13">
        <w:rPr>
          <w:lang w:val="es-ES_tradnl"/>
        </w:rPr>
        <w:t>Gil-Márquez, J.M</w:t>
      </w:r>
      <w:r w:rsidR="007B08AD" w:rsidRPr="00444A13">
        <w:rPr>
          <w:lang w:val="es-ES_tradnl"/>
        </w:rPr>
        <w:t>.</w:t>
      </w:r>
      <w:r w:rsidR="00175403" w:rsidRPr="00444A13">
        <w:rPr>
          <w:lang w:val="es-ES_tradnl"/>
        </w:rPr>
        <w:t>(*)</w:t>
      </w:r>
      <w:r w:rsidR="004217A6" w:rsidRPr="00444A13">
        <w:rPr>
          <w:vertAlign w:val="superscript"/>
          <w:lang w:val="es-ES_tradnl"/>
        </w:rPr>
        <w:t>1</w:t>
      </w:r>
      <w:r w:rsidRPr="00444A13">
        <w:rPr>
          <w:lang w:val="es-ES_tradnl"/>
        </w:rPr>
        <w:t>, Sültenfu</w:t>
      </w:r>
      <w:r w:rsidR="00805BCF" w:rsidRPr="00444A13">
        <w:rPr>
          <w:lang w:val="es-ES_tradnl"/>
        </w:rPr>
        <w:t>ß</w:t>
      </w:r>
      <w:r w:rsidRPr="00444A13">
        <w:rPr>
          <w:lang w:val="es-ES_tradnl"/>
        </w:rPr>
        <w:t>, J</w:t>
      </w:r>
      <w:r w:rsidR="007B08AD" w:rsidRPr="00444A13">
        <w:rPr>
          <w:lang w:val="es-ES_tradnl"/>
        </w:rPr>
        <w:t>.</w:t>
      </w:r>
      <w:r w:rsidR="004217A6" w:rsidRPr="00444A13">
        <w:rPr>
          <w:vertAlign w:val="superscript"/>
          <w:lang w:val="es-ES_tradnl"/>
        </w:rPr>
        <w:t>2</w:t>
      </w:r>
      <w:r w:rsidRPr="00444A13">
        <w:rPr>
          <w:lang w:val="es-ES_tradnl"/>
        </w:rPr>
        <w:t>, Andreo, B</w:t>
      </w:r>
      <w:r w:rsidR="007B08AD" w:rsidRPr="00444A13">
        <w:rPr>
          <w:lang w:val="es-ES_tradnl"/>
        </w:rPr>
        <w:t>.</w:t>
      </w:r>
      <w:r w:rsidR="004217A6" w:rsidRPr="00444A13">
        <w:rPr>
          <w:vertAlign w:val="superscript"/>
          <w:lang w:val="es-ES_tradnl"/>
        </w:rPr>
        <w:t>1</w:t>
      </w:r>
      <w:r w:rsidRPr="00444A13">
        <w:rPr>
          <w:lang w:val="es-ES_tradnl"/>
        </w:rPr>
        <w:t xml:space="preserve"> &amp; Mudarra, M</w:t>
      </w:r>
      <w:r w:rsidR="007B08AD" w:rsidRPr="00444A13">
        <w:rPr>
          <w:lang w:val="es-ES_tradnl"/>
        </w:rPr>
        <w:t>.</w:t>
      </w:r>
      <w:r w:rsidR="004217A6" w:rsidRPr="00444A13">
        <w:rPr>
          <w:vertAlign w:val="superscript"/>
          <w:lang w:val="es-ES_tradnl"/>
        </w:rPr>
        <w:t>1</w:t>
      </w:r>
    </w:p>
    <w:p w14:paraId="185355CA" w14:textId="2D47270A" w:rsidR="004217A6" w:rsidRPr="00194419" w:rsidRDefault="004217A6" w:rsidP="008A3630">
      <w:pPr>
        <w:pStyle w:val="Prrafodelista"/>
        <w:spacing w:line="480" w:lineRule="auto"/>
        <w:ind w:left="284" w:hanging="294"/>
      </w:pPr>
      <w:r w:rsidRPr="00194419">
        <w:t xml:space="preserve">(1) Department of Geology and Center of Hydrogeology of </w:t>
      </w:r>
      <w:r w:rsidR="00D77611" w:rsidRPr="00194419">
        <w:t xml:space="preserve">the </w:t>
      </w:r>
      <w:r w:rsidRPr="00194419">
        <w:rPr>
          <w:noProof/>
        </w:rPr>
        <w:t>University</w:t>
      </w:r>
      <w:r w:rsidRPr="00194419">
        <w:t xml:space="preserve"> of Málaga, Faculty of Science, E-29071, Málaga, Spain</w:t>
      </w:r>
      <w:r w:rsidR="00175403" w:rsidRPr="00194419">
        <w:t xml:space="preserve">. </w:t>
      </w:r>
      <w:hyperlink r:id="rId8" w:history="1">
        <w:r w:rsidR="00175403" w:rsidRPr="00194419">
          <w:rPr>
            <w:rStyle w:val="Hipervnculo"/>
          </w:rPr>
          <w:t>josemgil@uma.es</w:t>
        </w:r>
      </w:hyperlink>
      <w:r w:rsidR="00175403" w:rsidRPr="00194419">
        <w:t xml:space="preserve">, </w:t>
      </w:r>
      <w:hyperlink r:id="rId9" w:history="1">
        <w:r w:rsidR="00175403" w:rsidRPr="00194419">
          <w:rPr>
            <w:rStyle w:val="Hipervnculo"/>
          </w:rPr>
          <w:t>andreo@uma.es</w:t>
        </w:r>
      </w:hyperlink>
      <w:r w:rsidR="00175403" w:rsidRPr="00194419">
        <w:t xml:space="preserve">, </w:t>
      </w:r>
      <w:hyperlink r:id="rId10" w:history="1">
        <w:r w:rsidR="00175403" w:rsidRPr="00194419">
          <w:rPr>
            <w:rStyle w:val="Hipervnculo"/>
          </w:rPr>
          <w:t>mmudarra@uma.es</w:t>
        </w:r>
      </w:hyperlink>
    </w:p>
    <w:p w14:paraId="1EDAFC9D" w14:textId="7BACEA9C" w:rsidR="004217A6" w:rsidRPr="00194419" w:rsidRDefault="004217A6" w:rsidP="008A3630">
      <w:pPr>
        <w:pStyle w:val="Prrafodelista"/>
        <w:spacing w:line="480" w:lineRule="auto"/>
        <w:ind w:left="284" w:hanging="294"/>
      </w:pPr>
      <w:r w:rsidRPr="00194419">
        <w:t>(2) Institute of Environmental Physics, University of Bremen, Otto-Hahn-Allee, D-28359 Bremen, Germany</w:t>
      </w:r>
      <w:r w:rsidR="00175403" w:rsidRPr="00194419">
        <w:t xml:space="preserve">. </w:t>
      </w:r>
      <w:hyperlink r:id="rId11" w:history="1">
        <w:r w:rsidR="00175403" w:rsidRPr="00194419">
          <w:rPr>
            <w:rStyle w:val="Hipervnculo"/>
          </w:rPr>
          <w:t>suelten@uni-bremen.de</w:t>
        </w:r>
      </w:hyperlink>
    </w:p>
    <w:p w14:paraId="3CBD800B" w14:textId="5D1C83D5" w:rsidR="00175403" w:rsidRPr="00194419" w:rsidRDefault="00175403" w:rsidP="008A3630">
      <w:pPr>
        <w:pStyle w:val="Prrafodelista"/>
        <w:spacing w:line="480" w:lineRule="auto"/>
        <w:ind w:left="284" w:hanging="294"/>
      </w:pPr>
      <w:r w:rsidRPr="00194419">
        <w:t>(*) Corresponding author</w:t>
      </w:r>
    </w:p>
    <w:p w14:paraId="3A13A498" w14:textId="77777777" w:rsidR="000A4DBE" w:rsidRPr="00194419" w:rsidRDefault="000A4DBE" w:rsidP="008A3630">
      <w:pPr>
        <w:pStyle w:val="Prrafodelista"/>
        <w:spacing w:line="480" w:lineRule="auto"/>
        <w:ind w:left="284" w:hanging="294"/>
      </w:pPr>
    </w:p>
    <w:p w14:paraId="391C5EAD" w14:textId="4DA2A276" w:rsidR="00DD2178" w:rsidRPr="00194419" w:rsidRDefault="00FA71ED" w:rsidP="008A3630">
      <w:pPr>
        <w:pStyle w:val="Prrafodelista"/>
        <w:spacing w:line="480" w:lineRule="auto"/>
        <w:ind w:left="-426"/>
      </w:pPr>
      <w:r w:rsidRPr="00194419">
        <w:rPr>
          <w:b/>
        </w:rPr>
        <w:t>Keywords:</w:t>
      </w:r>
      <w:r w:rsidRPr="00194419">
        <w:t xml:space="preserve"> Groundwater dating · evaporite karst · brine spring · free-shape models</w:t>
      </w:r>
    </w:p>
    <w:p w14:paraId="7BFBD90C" w14:textId="77777777" w:rsidR="00DD2178" w:rsidRPr="00194419" w:rsidRDefault="00DD2178" w:rsidP="008A3630">
      <w:pPr>
        <w:pStyle w:val="Prrafodelista"/>
        <w:spacing w:line="480" w:lineRule="auto"/>
        <w:ind w:left="-426"/>
        <w:rPr>
          <w:b/>
        </w:rPr>
      </w:pPr>
    </w:p>
    <w:p w14:paraId="6878515A" w14:textId="77777777" w:rsidR="003C3F1F" w:rsidRPr="00194419" w:rsidRDefault="003C3F1F" w:rsidP="008A3630">
      <w:pPr>
        <w:pStyle w:val="Prrafodelista"/>
        <w:numPr>
          <w:ilvl w:val="0"/>
          <w:numId w:val="1"/>
        </w:numPr>
        <w:spacing w:line="480" w:lineRule="auto"/>
        <w:rPr>
          <w:b/>
          <w:lang w:val="es-ES_tradnl"/>
        </w:rPr>
      </w:pPr>
      <w:r w:rsidRPr="00194419">
        <w:rPr>
          <w:b/>
          <w:lang w:val="es-ES_tradnl"/>
        </w:rPr>
        <w:t>INTRODUCTION</w:t>
      </w:r>
    </w:p>
    <w:p w14:paraId="61857406" w14:textId="27F74177" w:rsidR="0023774B" w:rsidRPr="00194419" w:rsidRDefault="0023774B" w:rsidP="008A3630">
      <w:pPr>
        <w:spacing w:line="480" w:lineRule="auto"/>
        <w:rPr>
          <w:lang w:val="de-DE"/>
        </w:rPr>
      </w:pPr>
      <w:r w:rsidRPr="00194419">
        <w:t xml:space="preserve">Reaching an adequate understanding of the hydrogeological functioning of </w:t>
      </w:r>
      <w:r w:rsidR="00B70E75" w:rsidRPr="00194419">
        <w:t xml:space="preserve">groundwater in </w:t>
      </w:r>
      <w:r w:rsidRPr="00194419">
        <w:t xml:space="preserve">a specific system requires a good knowledge of its geological characteristics (e.g., lithology, stratigraphy, structure), as well as of the hydraulic parameters of the hosting rocks. Thus, understanding </w:t>
      </w:r>
      <w:r w:rsidR="007A0203">
        <w:t xml:space="preserve">the </w:t>
      </w:r>
      <w:r w:rsidRPr="00194419">
        <w:t>groundwater flow dynamics in settings with complex geology is challenging, more even if the available information about the characte</w:t>
      </w:r>
      <w:r w:rsidR="004514C2" w:rsidRPr="00194419">
        <w:t xml:space="preserve">ristics of the media is scarce </w:t>
      </w:r>
      <w:r w:rsidR="004514C2" w:rsidRPr="00194419">
        <w:fldChar w:fldCharType="begin" w:fldLock="1"/>
      </w:r>
      <w:r w:rsidR="004514C2" w:rsidRPr="00194419">
        <w:instrText>ADDIN CSL_CITATION {"citationItems":[{"id":"ITEM-1","itemData":{"DOI":"10.1016/J.GSF.2011.03.003","ISSN":"1674-9871","abstract":"Significant advances in regional groundwater flow modeling have been driven by the demand to predict regional impacts of human inferences on groundwater systems and associated environment. The wide availability of powerful computers, user friendly modeling systems and GIS stimulates an exponential growth of regional groundwater modeling. Large scale transient groundwater models have been built to analyze regional flow systems, to simulate water budget components changes, and to optimize groundwater development scenarios. This paper reviews the historical development of regional groundwater modeling. Examples of Death Valley and Great Artesian Basin transient groundwater models are introduced to show the application of large scale regional groundwater flow models. Specific methodologies for regional groundwater flow modeling are descried and special issues in regional groundwater flow modeling are discussed.","author":[{"dropping-particle":"","family":"Zhou","given":"Yangxiao","non-dropping-particle":"","parse-names":false,"suffix":""},{"dropping-particle":"","family":"Li","given":"Wenpeng","non-dropping-particle":"","parse-names":false,"suffix":""}],"container-title":"Geoscience Frontiers","id":"ITEM-1","issue":"2","issued":{"date-parts":[["2011","4","1"]]},"page":"205-214","publisher":"Elsevier","title":"A review of regional groundwater flow modeling","type":"article-journal","volume":"2"},"uris":["http://www.mendeley.com/documents/?uuid=496ab2d4-2d46-3bbd-af0d-db547bdfb508"]}],"mendeley":{"formattedCitation":"(Zhou and Li, 2011)","plainTextFormattedCitation":"(Zhou and Li, 2011)","previouslyFormattedCitation":"(Zhou and Li, 2011)"},"properties":{"noteIndex":0},"schema":"https://github.com/citation-style-language/schema/raw/master/csl-citation.json"}</w:instrText>
      </w:r>
      <w:r w:rsidR="004514C2" w:rsidRPr="00194419">
        <w:fldChar w:fldCharType="separate"/>
      </w:r>
      <w:r w:rsidR="004514C2" w:rsidRPr="00194419">
        <w:rPr>
          <w:noProof/>
        </w:rPr>
        <w:t>(Zhou and Li, 2011)</w:t>
      </w:r>
      <w:r w:rsidR="004514C2" w:rsidRPr="00194419">
        <w:fldChar w:fldCharType="end"/>
      </w:r>
      <w:r w:rsidR="007A0203">
        <w:t>,</w:t>
      </w:r>
      <w:r w:rsidRPr="00194419">
        <w:t xml:space="preserve"> </w:t>
      </w:r>
      <w:r w:rsidR="007A0203">
        <w:t>Which is</w:t>
      </w:r>
      <w:r w:rsidRPr="00194419">
        <w:t xml:space="preserve"> often </w:t>
      </w:r>
      <w:r w:rsidR="007A0203">
        <w:t xml:space="preserve">the case </w:t>
      </w:r>
      <w:r w:rsidRPr="00194419">
        <w:t xml:space="preserve">in low-permeability formations that are rarely investigated, </w:t>
      </w:r>
      <w:r w:rsidR="002815D4" w:rsidRPr="00194419">
        <w:t>owed</w:t>
      </w:r>
      <w:r w:rsidRPr="00194419">
        <w:t xml:space="preserve"> to their limited productivity</w:t>
      </w:r>
      <w:r w:rsidR="004514C2" w:rsidRPr="00194419">
        <w:t xml:space="preserve"> </w:t>
      </w:r>
      <w:r w:rsidR="004514C2" w:rsidRPr="00194419">
        <w:fldChar w:fldCharType="begin" w:fldLock="1"/>
      </w:r>
      <w:r w:rsidR="003A7DC8" w:rsidRPr="00194419">
        <w:instrText>ADDIN CSL_CITATION {"citationItems":[{"id":"ITEM-1","itemData":{"author":[{"dropping-particle":"","family":"Cherry","given":"J.A.","non-dropping-particle":"","parse-names":false,"suffix":""},{"dropping-particle":"","family":"Parker","given":"B.L.","non-dropping-particle":"","parse-names":false,"suffix":""},{"dropping-particle":"","family":"Bradbury","given":"Kenneth R.","non-dropping-particle":"","parse-names":false,"suffix":""},{"dropping-particle":"","family":"Eaton","given":"T.T.","non-dropping-particle":"","parse-names":false,"suffix":""},{"dropping-particle":"","family":"Gotkowitz","given":"M. B.","non-dropping-particle":"","parse-names":false,"suffix":""},{"dropping-particle":"","family":"Hart","given":"David J.","non-dropping-particle":"","parse-names":false,"suffix":""},{"dropping-particle":"","family":"Borchardt.","given":"M.A.","non-dropping-particle":"","parse-names":false,"suffix":""}],"id":"ITEM-1","issued":{"date-parts":[["2006"]]},"number-of-pages":"126","publisher":"Awwa Research Foundation; American Water Works Association; IWA Publishing","publisher-place":"Denver, CO","title":"Contaminant Transport Through Aquitards: A State-of-the-Science Review","type":"book"},"uris":["http://www.mendeley.com/documents/?uuid=9945e174-1e6f-4ff5-bc0f-54d808da696c"]}],"mendeley":{"formattedCitation":"(Cherry et al., 2006)","plainTextFormattedCitation":"(Cherry et al., 2006)","previouslyFormattedCitation":"(Cherry et al., 2006)"},"properties":{"noteIndex":0},"schema":"https://github.com/citation-style-language/schema/raw/master/csl-citation.json"}</w:instrText>
      </w:r>
      <w:r w:rsidR="004514C2" w:rsidRPr="00194419">
        <w:fldChar w:fldCharType="separate"/>
      </w:r>
      <w:r w:rsidR="003A7DC8" w:rsidRPr="00194419">
        <w:rPr>
          <w:noProof/>
        </w:rPr>
        <w:t>(Cherry et al., 2006)</w:t>
      </w:r>
      <w:r w:rsidR="004514C2" w:rsidRPr="00194419">
        <w:fldChar w:fldCharType="end"/>
      </w:r>
      <w:r w:rsidR="002C0829" w:rsidRPr="00194419">
        <w:t>. The performance of hydraulic test</w:t>
      </w:r>
      <w:r w:rsidR="00A57F8D" w:rsidRPr="00194419">
        <w:t>s</w:t>
      </w:r>
      <w:r w:rsidR="002C0829" w:rsidRPr="00194419">
        <w:t xml:space="preserve"> in this kind of media is </w:t>
      </w:r>
      <w:r w:rsidR="007A0203">
        <w:t>limited as they would require too much</w:t>
      </w:r>
      <w:r w:rsidR="002C0829" w:rsidRPr="00194419">
        <w:t xml:space="preserve"> time, which </w:t>
      </w:r>
      <w:r w:rsidR="002C0829" w:rsidRPr="00194419">
        <w:lastRenderedPageBreak/>
        <w:t>makes it considerably difficult</w:t>
      </w:r>
      <w:r w:rsidR="004514C2" w:rsidRPr="00194419">
        <w:t xml:space="preserve"> </w:t>
      </w:r>
      <w:r w:rsidR="004514C2" w:rsidRPr="00194419">
        <w:fldChar w:fldCharType="begin" w:fldLock="1"/>
      </w:r>
      <w:r w:rsidR="004514C2" w:rsidRPr="00194419">
        <w:instrText>ADDIN CSL_CITATION {"citationItems":[{"id":"ITEM-1","itemData":{"DOI":"10.1029/WR022i008p01163","ISSN":"19447973","abstract":"Certain geologic media are known to have small permeability; subsurface environments composed of these media and lacking well developed secondary permeability have groundwafer flow sytems with many distinctive characteristics. Moreover, groundwater flow in these environments appears to influence the evolution of certain hydrologic, geologic, and geochemical systems, may affect the accumulation of pertroleum and ores, and probably has a role in the structural evolution of parts of the crust. Such environments are also important in the context of waste disposal. This review attempts to synthesize the diverse contributions of various disciplines to the problem of flow in low-permeability environments. Problems hindering analysis are enumerated together with suggested approaches to overcoming them. A common thread running through the discussion is the significance of size- and time-scale limitations of the ability to directly observe flow behavior and make measurements of parameters. These limitations have resulted in rather distinct small- and large-scale approaches to the problem. The first part of the review considers experimental investigations of low-permeability flow, including in situ testing; these are generally conducted on temporal and spatial scales which are relatively small compared with those of interest. Results from this work have provided increasingly detailed information about many aspects of the flow but leave certain questions unanswered. Recent advances in laboratory and in situ testing techniques have permitted measurements of permeability and storage properties in progressively \"tighter\" media and investigation of transient flow under these conditions. However, very large hydraulic gradients are still required for the tests; an observational gap exists for typical in situ gradients. The applicability of Darcy's law in this range is therefore untested, although claims of observed non-Darcian behavior appear flawed. Two important nonhydraulic flow phenomena, osmosis and ultrafiltration, are experimentally well established in prepared clays but have been incompletely investigated, particularly in undisturbed geologic media. Small-scale experimental results form much of the basis for analyses of flow in low-permeability environments which occurs on scales of time and size too large to permit direct observation. Such large-scale flow behavior is the focus of the second part of the review. Extrapolation of small-scale experimental experienc…","author":[{"dropping-particle":"","family":"Neuzil","given":"C. E.","non-dropping-particle":"","parse-names":false,"suffix":""}],"container-title":"Water Resources Research","id":"ITEM-1","issue":"8","issued":{"date-parts":[["1986"]]},"page":"1163-1195","title":"Groundwater Flow in Low</w:instrText>
      </w:r>
      <w:r w:rsidR="004514C2" w:rsidRPr="00194419">
        <w:rPr>
          <w:rFonts w:ascii="Cambria Math" w:hAnsi="Cambria Math" w:cs="Cambria Math"/>
        </w:rPr>
        <w:instrText>‐</w:instrText>
      </w:r>
      <w:r w:rsidR="004514C2" w:rsidRPr="00194419">
        <w:instrText>Permeability Environments","type":"article-journal","volume":"22"},"uris":["http://www.mendeley.com/documents/?uuid=0c12acdb-4cba-4421-9342-51f891c4a686"]},{"id":"ITEM-2","itemData":{"DOI":"10.1139/t93-070","ISSN":"0008-3674","abstract":"The evaluation of the bulk vertical hydraulic conductivity of an aquitard based on its response to the pumping of an adjacent aquifer is examined using Biot's theory. Consideration is given to the errors in interpretation of the results of pumping tests which arise as a result of the time lag associated with different types of piezometers as well as the length of the piezometer. Factors to allow for correction of these errors are presented. Although these factors are originally developed for isotropic aquitards, they can be used for anisotropic aquitards with appropriate modi- fications described in the paper. A comparison is made between the results obtained from diffusion theory (as assumed in the development of techniques currently used in practice) and the more rigorous Biot's theory. The application of the technique is illustrated by two examples.","author":[{"dropping-particle":"","family":"Rowe","given":"R. Kerry","non-dropping-particle":"","parse-names":false,"suffix":""},{"dropping-particle":"","family":"Nadarajah","given":"Prebaharan","non-dropping-particle":"","parse-names":false,"suffix":""}],"container-title":"Canadian Geotechnical Journal","id":"ITEM-2","issued":{"date-parts":[["1993"]]},"page":"781-800","title":"Evaluation of the hydraulic conductivity of aquitards","type":"article-journal","volume":"30"},"uris":["http://www.mendeley.com/documents/?uuid=ee59d6a1-54f9-4b9f-8ba8-87d9a33b58ab"]},{"id":"ITEM-3","itemData":{"DOI":"10.1111/j.1745-6584.2005.00125.x","ISSN":"0017467X","abstract":"Aquitards protect underlying aquifers from contaminants and limit recharge to those aquifers. Understanding the mechanisms and quantity of ground water flow across aquitards to underlying aquifers is essential for ground water planning and assessment. We present results of laboratory testing for shale hydraulic conductivities, a methodology for determining the vertical hydraulic conductivity (K(v)) of aquitards at regional scales and demonstrate the importance of discrete flow pathways across aquitards. A regional shale aquitard in southeastern Wisconsin, the Maquoketa Formation, was studied to define the role that an aquitard plays in a regional ground water flow system. Calibration of a regional ground water flow model for southeastern Wisconsin using both predevelopment steady-state and transient targets suggested that the regional K(v) of the Maquoketa Formation is 1.8 x 10(-11) m/s. The core-scale measurements of the K(v) of the Maquoketa Formation range from 1.8 x 10(-14) to 4.1 x 10(-12) m/s. Flow through some additional pathways in the shale, potential fractures or open boreholes, can explain the apparent increase of the regional-scale K(v). Based on well logs, erosional windows or high-conductivity zones seem unlikely pathways. Fractures cutting through the entire thickness of the shale spaced 5 km apart with an aperture of 50 microns could provide enough flow across the aquitard to match that provided by an equivalent bulk K(v) of 1.8 x 10(-11) m/s. In a similar fashion, only 50 wells of 0.1 m radius open to aquifers above and below the shale and evenly spaced 10 km apart across southeastern Wisconsin can match the model K(v).","author":[{"dropping-particle":"","family":"Hart","given":"David J.","non-dropping-particle":"","parse-names":false,"suffix":""},{"dropping-particle":"","family":"Bradbury","given":"Kenneth R.","non-dropping-particle":"","parse-names":false,"suffix":""},{"dropping-particle":"","family":"Feinstein","given":"Daniel T.","non-dropping-particle":"","parse-names":false,"suffix":""}],"container-title":"Ground Water","id":"ITEM-3","issue":"2","issued":{"date-parts":[["2006"]]},"page":"201-211","title":"The vertical hydraulic conductivity of an aquitard at two spatial scales","type":"article-journal","volume":"44"},"uris":["http://www.mendeley.com/documents/?uuid=f439c6ad-ed4e-496d-a1c1-7febe6605ff3"]},{"id":"ITEM-4","itemData":{"DOI":"10.1016/j.enggeo.2009.05.010","ISSN":"00137952","abstract":"In recent years, the study of low-permeability geological formations has undergone considerable development. This is mainly due to the use of natural geological barriers to confine waste disposals, preventing leaking water from bringing contaminants into contact with the biosphere and the groundwater resources. In that context, the Spanish Geological Survey (IGME, Spanish acronym), supported by the National Radioactive Waste Management Agency (ENRESA, Spanish acronym) and with the technical advice of the Swedish Nuclear Fuel and Waste Management Company (SKB) designed and built a Mobile Hydrogeological Unit (UMH, Spanish acronym) for low-permeability formations characterization, which has been operational since 1997 and has been used for different purposes. Among other possibilities, the UMH allows conducting: constant transient-state flow-rate injection tests, constant-head transient-state injection tests, pseudo-stationary state injection tests, pressure fall-off tests, slug tests and pulse tests. The main objectives of this article are to describe the hydraulic characterization methodology used by IGME to carry out hydraulic tests in low permeability environment, to compare different testing methods and to summarize the results that have been obtained when characterizing the leucogranites of Cadalso de los Vidrios in Spain. The study area presents an increasing interest for granite production inside the Community of Madrid. The petrological and structural characteristics of the granite rocks and the core-samples extracted from a 200 m deep borehole investigation are described. The packer tests are conducted with the Mobile Hydrogeological Unit. The tests are interpreted with the help of analytical solutions. The main software used is Hytool, an open source matlab toolbox that provides a library of analytical solutions and a set of routines to facilitate hydraulic tests interpretation. The results allow the elaboration of a comparative analysis of the applied hydraulic tests and to define the hydraulic conductivity optimum application interval most suited for each of the used methods. Hydraulic conductivity values obtained varies from 3.20·10- 7 m/s, for the upper weathered layer, to 2.80·10- 12 m/s, for the test section from 97.36 to 116.15 m depth. Finally, the hydraulic conductivity values obtained in this area are compared with other case studies of granite formations around the world. © 2009 Elsevier B.V. All rights reserved.","author":[{"dropping-particle":"","family":"Mejías","given":"Miguel","non-dropping-particle":"","parse-names":false,"suffix":""},{"dropping-particle":"","family":"Renard","given":"Philippe","non-dropping-particle":"","parse-names":false,"suffix":""},{"dropping-particle":"","family":"Glenz","given":"Damian","non-dropping-particle":"","parse-names":false,"suffix":""}],"container-title":"Engineering Geology","id":"ITEM-4","issue":"3-4","issued":{"date-parts":[["2009"]]},"page":"88-97","title":"Hydraulic testing of low-permeability formations. A case study in the granite of Cadalso de los Vidrios, Spain","type":"article-journal","volume":"107"},"uris":["http://www.mendeley.com/documents/?uuid=76659dcf-7520-41d3-aa8f-df6fb91e4542"]}],"mendeley":{"formattedCitation":"(Hart et al., 2006; Mejías et al., 2009; Neuzil, 1986; Rowe and Nadarajah, 1993)","plainTextFormattedCitation":"(Hart et al., 2006; Mejías et al., 2009; Neuzil, 1986; Rowe and Nadarajah, 1993)","previouslyFormattedCitation":"(Hart et al., 2006; Mejías et al., 2009; Neuzil, 1986; Rowe and Nadarajah, 1993)"},"properties":{"noteIndex":0},"schema":"https://github.com/citation-style-language/schema/raw/master/csl-citation.json"}</w:instrText>
      </w:r>
      <w:r w:rsidR="004514C2" w:rsidRPr="00194419">
        <w:fldChar w:fldCharType="separate"/>
      </w:r>
      <w:r w:rsidR="004514C2" w:rsidRPr="00194419">
        <w:rPr>
          <w:noProof/>
        </w:rPr>
        <w:t>(Hart et al., 2006; Mejías et al., 2009; Neuzil, 1986; Rowe and Nadarajah, 1993)</w:t>
      </w:r>
      <w:r w:rsidR="004514C2" w:rsidRPr="00194419">
        <w:fldChar w:fldCharType="end"/>
      </w:r>
      <w:r w:rsidR="002C0829" w:rsidRPr="00194419">
        <w:t xml:space="preserve">. Besides, when permeability data </w:t>
      </w:r>
      <w:r w:rsidR="00B70E75" w:rsidRPr="00194419">
        <w:t xml:space="preserve">are </w:t>
      </w:r>
      <w:r w:rsidR="002C0829" w:rsidRPr="00194419">
        <w:t xml:space="preserve">obtained from local field surveys </w:t>
      </w:r>
      <w:r w:rsidR="004514C2" w:rsidRPr="00194419">
        <w:t>they</w:t>
      </w:r>
      <w:r w:rsidR="002C0829" w:rsidRPr="00194419">
        <w:t xml:space="preserve"> cannot be extrapolated to the rest of the </w:t>
      </w:r>
      <w:r w:rsidR="00C77D33" w:rsidRPr="00194419">
        <w:t xml:space="preserve">aquitard </w:t>
      </w:r>
      <w:r w:rsidR="00185E48" w:rsidRPr="00194419">
        <w:t xml:space="preserve">formation </w:t>
      </w:r>
      <w:r w:rsidR="004514C2" w:rsidRPr="00194419">
        <w:fldChar w:fldCharType="begin" w:fldLock="1"/>
      </w:r>
      <w:r w:rsidR="004514C2" w:rsidRPr="00194419">
        <w:instrText>ADDIN CSL_CITATION {"citationItems":[{"id":"ITEM-1","itemData":{"DOI":"10.1029/2006WR005597","ISSN":"00431397","abstract":"Although depletion of storage in low-permeability confining layers is the source of much of the groundwater produced from many confined aquifer systems, it is all too frequently overlooked or ignored. This makes effective management of groundwater resources difficult by masking how much water has been derived from storage and, in some cases, the total amount of water that has been extracted from an aquifer system. Analyzing confining layer storage is viewed as troublesome because of the additional computational burden and because the hydraulic properties of confining layers are poorly known. In this paper we propose a simplified method for computing estimates of confining layer depletion, as well as procedures for approximating confining layer hydraulic conductivity (K) and specific storage (S s ) using geologic information. The latter makes the technique useful in developing countries and other settings where minimal data are available or when scoping calculations are needed. As such, our approach may be helpful for estimating the global transfer of groundwater to surface water. A test of the method on a synthetic system suggests that the computational errors will generally be small. Larger errors will probably result from inaccuracy in confining layer property estimates, but these may be no greater than errors in more sophisticated analyses. The technique is demonstrated by application to two aquifer systems: the Dakota artesian aquifer system in South Dakota and the coastal plain aquifer system in Virginia. In both cases, depletion from confining layers was substantially larger than depletion from the aquifers.","author":[{"dropping-particle":"","family":"Konikow","given":"L. F.","non-dropping-particle":"","parse-names":false,"suffix":""},{"dropping-particle":"","family":"Neuzil","given":"C. E.","non-dropping-particle":"","parse-names":false,"suffix":""}],"container-title":"Water Resources Research","id":"ITEM-1","issue":"7","issued":{"date-parts":[["2007"]]},"page":"1-15","title":"A method to estimate groundwater depletion from confining layers","type":"article-journal","volume":"43"},"uris":["http://www.mendeley.com/documents/?uuid=713c1fdd-16b0-45d6-8623-92300b4f7787"]}],"mendeley":{"formattedCitation":"(Konikow and Neuzil, 2007)","plainTextFormattedCitation":"(Konikow and Neuzil, 2007)","previouslyFormattedCitation":"(Konikow and Neuzil, 2007)"},"properties":{"noteIndex":0},"schema":"https://github.com/citation-style-language/schema/raw/master/csl-citation.json"}</w:instrText>
      </w:r>
      <w:r w:rsidR="004514C2" w:rsidRPr="00194419">
        <w:fldChar w:fldCharType="separate"/>
      </w:r>
      <w:r w:rsidR="004514C2" w:rsidRPr="00194419">
        <w:rPr>
          <w:noProof/>
        </w:rPr>
        <w:t>(Konikow and Neuzil, 2007)</w:t>
      </w:r>
      <w:r w:rsidR="004514C2" w:rsidRPr="00194419">
        <w:fldChar w:fldCharType="end"/>
      </w:r>
      <w:r w:rsidR="002815D4" w:rsidRPr="00194419">
        <w:t>, in which second</w:t>
      </w:r>
      <w:r w:rsidR="00B70E75" w:rsidRPr="00194419">
        <w:t>ary</w:t>
      </w:r>
      <w:r w:rsidR="002815D4" w:rsidRPr="00194419">
        <w:t xml:space="preserve"> porosity (i.e. fractures and conduits) play</w:t>
      </w:r>
      <w:r w:rsidR="000801F1" w:rsidRPr="00194419">
        <w:t>s</w:t>
      </w:r>
      <w:r w:rsidR="002815D4" w:rsidRPr="00194419">
        <w:t xml:space="preserve"> a key role on groundwater flow</w:t>
      </w:r>
      <w:r w:rsidR="004514C2" w:rsidRPr="00194419">
        <w:t xml:space="preserve"> </w:t>
      </w:r>
      <w:r w:rsidR="00185E48" w:rsidRPr="00194419">
        <w:t xml:space="preserve">dynamics </w:t>
      </w:r>
      <w:r w:rsidR="004514C2" w:rsidRPr="00194419">
        <w:fldChar w:fldCharType="begin" w:fldLock="1"/>
      </w:r>
      <w:r w:rsidR="004514C2" w:rsidRPr="00194419">
        <w:instrText>ADDIN CSL_CITATION {"citationItems":[{"id":"ITEM-1","itemData":{"DOI":"10.1016/0022-1694(89)90165-0","ISSN":"00221694","abstract":"Hydrogeologic environments in sedimentary basins are as variable as are the different types of basins. Important hydrologic characteristics can be used to distinguish the different types of basin: (1) the topographic setting as determined by the geologic and structural history of the basin; (2) permeability distribution within the basin; and (3) potential energy distributions and flow mechanisms. These parameters control residence times of waters, rates and directions of saline groundwater flow and the origin and chemical composition of the saline waters. The Gulf Coast and Palo Duro Basins, Texas, exemplify two end member types of sedimentary basins. The Gulf Coast Basin is a relatively young, Tertiary-age basin which is presently compacting; fluid movement is from the overpressured, undercompacted sediments up the structural dip or up fault zones into the hydrostatic section, natural fluid pressures are either hydrostatic or overpressured. The Palo Duro is an older, Paleozoic-age basin that has been tectonically uplifted. Fluid flow is gravity driven from topographically high recharge areas to discharge in topographically low areas. Fluid pressures are subhydrostatic. Fluids discharge more easily than they are recharged. Not all flow is derived by a simple recharge discharge model. Brines may flow from other basins into the Palo Duro Basin and waters may discharge from the Palo Duro Basin into other basins. Areal differences in the chemical composition of the basin brines may be the result of different origins. © 1989.","author":[{"dropping-particle":"","family":"Kreitler","given":"Charles W.","non-dropping-particle":"","parse-names":false,"suffix":""}],"container-title":"Journal of Hydrology","id":"ITEM-1","issue":"1-2","issued":{"date-parts":[["1989"]]},"page":"29-53","title":"Hydrogeology of sedimentary basins","type":"article-journal","volume":"106"},"uris":["http://www.mendeley.com/documents/?uuid=0c831ed3-8303-4ffc-a797-58b54b6d295c"]},{"id":"ITEM-2","itemData":{"author":[{"dropping-particle":"","family":"Cherry","given":"J.A.","non-dropping-particle":"","parse-names":false,"suffix":""},{"dropping-particle":"","family":"Parker","given":"B.L.","non-dropping-particle":"","parse-names":false,"suffix":""},{"dropping-particle":"","family":"Bradbury","given":"Kenneth R.","non-dropping-particle":"","parse-names":false,"suffix":""},{"dropping-particle":"","family":"Eaton","given":"T.T.","non-dropping-particle":"","parse-names":false,"suffix":""},{"dropping-particle":"","family":"Gotkowitz","given":"M. B.","non-dropping-particle":"","parse-names":false,"suffix":""},{"dropping-particle":"","family":"Hart","given":"David J.","non-dropping-particle":"","parse-names":false,"suffix":""},{"dropping-particle":"","family":"Borchardt.","given":"M.A.","non-dropping-particle":"","parse-names":false,"suffix":""}],"id":"ITEM-2","issued":{"date-parts":[["2006"]]},"number-of-pages":"126","publisher":"Awwa Research Foundation; American Water Works Association; IWA Publishing","publisher-place":"Denver, CO","title":"Contaminant Transport Through Aquitards: A State-of-the-Science Review","type":"book"},"uris":["http://www.mendeley.com/documents/?uuid=9945e174-1e6f-4ff5-bc0f-54d808da696c"]},{"id":"ITEM-3","itemData":{"DOI":"10.1007/s10040-010-0611-3","ISBN":"1431-2174","ISSN":"1431-2174","abstract":"The current knowledge on thermal water resources in carbonate rock aquifers is presented in this review, which also discusses geochemical processes that create reservoir porosity and different types of utilisations of these resources such as thermal baths, geothermal energy and carbon dioxide (CO2) sequestration. Carbonate aquifers probably constitute the most important thermal water resources outside of volcanic areas. Several processes contribute to the creation of porosity, summarised under the term hypogenic (or hypogene) speleogenesis, including retrograde calcite solubility, mixing corrosion induced by cross-formational flow, and dissolution by geogenic acids from deep sources. Thermal and mineral waters from karst aquifers supply spas all over the world such as the famous bath in Budapest, Hungary. Geothermal installations use these resources for electricity production, district heating or other purposes, with low CO2 emissions and land consumption, e.g. Germany’s largest geothermal power plant at Unterhaching near Munich. Regional fault and fracture zones are often the most productive zones, but are sometimes difficult to locate, resulting in a relatively high exploration uncertainty. Geothermal installations in deep carbonate rocks could also be used for CO2 sequestration (carbonate dissolution would partly neutralise this gas and increase reservoir porosity). The use of geothermal installations to this end should be further investigated","author":[{"dropping-particle":"","family":"Goldscheider","given":"N.","non-dropping-particle":"","parse-names":false,"suffix":""},{"dropping-particle":"","family":"Mádl-Szőnyi","given":"J.","non-dropping-particle":"","parse-names":false,"suffix":""},{"dropping-particle":"","family":"Erőss","given":"A.","non-dropping-particle":"","parse-names":false,"suffix":""},{"dropping-particle":"","family":"Schill","given":"E.","non-dropping-particle":"","parse-names":false,"suffix":""}],"container-title":"Hydrogeology Journal","id":"ITEM-3","issue":"6","issued":{"date-parts":[["2010"]]},"page":"1303-1318","title":"Review: Thermal water resources in carbonate rock aquifers","type":"article-journal","volume":"18"},"uris":["http://www.mendeley.com/documents/?uuid=9fba2302-e037-49a3-aea1-7500ffab7cde"]},{"id":"ITEM-4","itemData":{"DOI":"10.1007/s12665-016-5545-1","abstract":"© 2016, Springer-Verlag Berlin Heidelberg. The northern sector of the External Zone of the Betic Cordillera (S Spain) is formed by an olistostrome unit known as the Chaotic Subbetic Complexes (CSC). This megabreccia is basically made of clays and evaporite rocks (gypsum and salt) of Upper Triassic (Keuper) age as well as other lithologies (dolostones, limestones, marls and calcareous sandstones) belonging to different ages (Jurassic, Cretaceous and Tertiary). Despite of low permeability has been traditionally assumed for these materials, water flow and storage through them is possible due to the aquitard behavior of clays and sandstones and the presence of conduits generated by dissolution/karstification processes within the evaporite rocks. The lithological complexity of the CSC determines its hydrogeological heterogeneity, with groundwater flows of different length and various scales from recharge areas to discharge zones. Thus, wetlands and springs placed at lower altitudes are associated with large (regional) groundwater flows, of greater residence time within the aquifer, and they normally drain high salinity waters mostly connected with ascending flow. This work provides an overview of the main geological and hydrogeological aspects related to groundwater flow within the CSC on the basis of several case-studies. Conceptual models are proposed for these cases, since they are the base to carry out a genetic-functional classification of wetlands potentially useful for their management.","author":[{"dropping-part</w:instrText>
      </w:r>
      <w:r w:rsidR="004514C2" w:rsidRPr="00194419">
        <w:rPr>
          <w:lang w:val="de-DE"/>
        </w:rPr>
        <w:instrText>icle":"","family":"Andreo","given":"Bartolomé","non-dropping-particle":"","parse-names":false,"suffix":""},{"dropping-particle":"","family":"Gil-Márquez","given":"José Manuel","non-dropping-particle":"","parse-names":false,"suffix":""},{"dropping-particle":"","family":"Mudarra","given":"Matías","non-dropping-particle":"","parse-names":false,"suffix":""},{"dropping-particle":"","family":"Linares","given":"Luis","non-dropping-particle":"","parse-names":false,"suffix":""},{"dropping-particle":"","family":"Carrasco","given":"Francisco","non-dropping-particle":"","parse-names":false,"suffix":""}],"container-title":"Environmental Earth Sciences","id":"ITEM-4","issue":"9","issued":{"date-parts":[["2016"]]},"page":"1-19","title":"Hypothesis on the hydrogeological context of wetland areas and springs related to evaporitic karst aquifers (Málaga, Córdoba and Jaén provinces, Southern Spain)","type":"article-journal","volume":"75"},"uris":["http://www.mendeley.com/documents/?uuid=de2b44fe-b64d-31c9-9255-128364900901"]}],"mendeley":{"formattedCitation":"(Andreo et al., 2016; Cherry et al., 2006; Goldscheider et al., 2010; Kreitler, 1989)","plainTextFormattedCitation":"(Andreo et al., 2016; Cherry et al., 2006; Goldscheider et al., 2010; Kreitler, 1989)","previouslyFormattedCitation":"(Andreo et al., 2016; Cherry et al., 2006; Goldscheider et al., 2010; Kreitler, 1989)"},"properties":{"noteIndex":0},"schema":"https://github.com/citation-style-language/schema/raw/master/csl-citation.json"}</w:instrText>
      </w:r>
      <w:r w:rsidR="004514C2" w:rsidRPr="00194419">
        <w:fldChar w:fldCharType="separate"/>
      </w:r>
      <w:r w:rsidR="004514C2" w:rsidRPr="00194419">
        <w:rPr>
          <w:noProof/>
          <w:lang w:val="de-DE"/>
        </w:rPr>
        <w:t>(Andreo et al., 2016; Cherry et al., 2006; Goldscheider et al., 2010; Kreitler, 1989)</w:t>
      </w:r>
      <w:r w:rsidR="004514C2" w:rsidRPr="00194419">
        <w:fldChar w:fldCharType="end"/>
      </w:r>
      <w:r w:rsidR="002815D4" w:rsidRPr="00194419">
        <w:rPr>
          <w:lang w:val="de-DE"/>
        </w:rPr>
        <w:t xml:space="preserve">.  </w:t>
      </w:r>
    </w:p>
    <w:p w14:paraId="708E7736" w14:textId="6C0D15B7" w:rsidR="00775F5B" w:rsidRPr="00194419" w:rsidRDefault="000801F1" w:rsidP="008A3630">
      <w:pPr>
        <w:spacing w:line="480" w:lineRule="auto"/>
      </w:pPr>
      <w:r w:rsidRPr="00194419">
        <w:t>As a consequence</w:t>
      </w:r>
      <w:r w:rsidR="008F5C51" w:rsidRPr="00194419">
        <w:t xml:space="preserve">, groundwater flow dynamics in low permeability settings is normally inferred </w:t>
      </w:r>
      <w:r w:rsidR="004514C2" w:rsidRPr="00194419">
        <w:t>us</w:t>
      </w:r>
      <w:r w:rsidR="008F5C51" w:rsidRPr="00194419">
        <w:t>ing</w:t>
      </w:r>
      <w:r w:rsidR="004514C2" w:rsidRPr="00194419">
        <w:t xml:space="preserve"> hydrochemical and isotopic tools </w:t>
      </w:r>
      <w:r w:rsidR="004514C2" w:rsidRPr="00194419">
        <w:fldChar w:fldCharType="begin" w:fldLock="1"/>
      </w:r>
      <w:r w:rsidR="000232FD" w:rsidRPr="00194419">
        <w:instrText>ADDIN CSL_CITATION {"citationItems":[{"id":"ITEM-1","itemData":{"author":[{"dropping-particle":"","family":"Cherry","given":"J.A.","non-dropping-particle":"","parse-names":false,"suffix":""},{"dropping-particle":"","family":"Parker","given":"B.L.","non-dropping-particle":"","parse-names":false,"suffix":""},{"dropping-particle":"","family":"Bradbury","given":"Kenneth R.","non-dropping-particle":"","parse-names":false,"suffix":""},{"dropping-particle":"","family":"Eaton","given":"T.T.","non-dropping-particle":"","parse-names":false,"suffix":""},{"dropping-particle":"","family":"Gotkowitz","given":"M. B.","non-dropping-particle":"","parse-names":false,"suffix":""},{"dropping-particle":"","family":"Hart","given":"David J.","non-dropping-particle":"","parse-names":false,"suffix":""},{"dropping-particle":"","family":"Borchardt.","given":"M.A.","non-dropping-particle":"","parse-names":false,"suffix":""}],"id":"ITEM-1","issued":{"date-parts":[["2006"]]},"number-of-pages":"126","publisher":"Awwa Research Foundation; American Water Works Association; IWA Publishing","publisher-place":"Denver, CO","title":"Contaminant Transport Through Aquitards: A State-of-the-Science Review","type":"book"},"uris":["http://www.mendeley.com/documents/?uuid=9945e174-1e6f-4ff5-bc0f-54d808da696c"]}],"mendeley":{"formattedCitation":"(Cherry et al., 2006)","plainTextFormattedCitation":"(Cherry et al., 2006)","previouslyFormattedCitation":"(Cherry et al., 2006)"},"properties":{"noteIndex":0},"schema":"https://github.com/citation-style-language/schema/raw/master/csl-citation.json"}</w:instrText>
      </w:r>
      <w:r w:rsidR="004514C2" w:rsidRPr="00194419">
        <w:fldChar w:fldCharType="separate"/>
      </w:r>
      <w:r w:rsidR="004514C2" w:rsidRPr="00194419">
        <w:rPr>
          <w:noProof/>
        </w:rPr>
        <w:t>(Cherry et al., 2006)</w:t>
      </w:r>
      <w:r w:rsidR="004514C2" w:rsidRPr="00194419">
        <w:fldChar w:fldCharType="end"/>
      </w:r>
      <w:r w:rsidR="008F5C51" w:rsidRPr="00194419">
        <w:t>.</w:t>
      </w:r>
      <w:r w:rsidR="00E87E5F" w:rsidRPr="00194419">
        <w:t xml:space="preserve"> </w:t>
      </w:r>
      <w:r w:rsidR="00CA5857" w:rsidRPr="00194419">
        <w:t>Complementary, t</w:t>
      </w:r>
      <w:r w:rsidR="00E87E5F" w:rsidRPr="00194419">
        <w:t xml:space="preserve">he development of dating techniques </w:t>
      </w:r>
      <w:r w:rsidR="007A0203">
        <w:t>makes it possible</w:t>
      </w:r>
      <w:r w:rsidR="007A0203" w:rsidRPr="00194419">
        <w:t xml:space="preserve"> </w:t>
      </w:r>
      <w:r w:rsidR="00E87E5F" w:rsidRPr="00194419">
        <w:t xml:space="preserve">to investigate groundwater residence times within this </w:t>
      </w:r>
      <w:r w:rsidR="00D100B6" w:rsidRPr="00194419">
        <w:t>type</w:t>
      </w:r>
      <w:r w:rsidR="00E87E5F" w:rsidRPr="00194419">
        <w:t xml:space="preserve"> of media, in which regional gravity-driven flows are involved </w:t>
      </w:r>
      <w:r w:rsidR="00E87E5F" w:rsidRPr="00194419">
        <w:fldChar w:fldCharType="begin" w:fldLock="1"/>
      </w:r>
      <w:r w:rsidR="00E87E5F" w:rsidRPr="00194419">
        <w:instrText>ADDIN CSL_CITATION {"citationItems":[{"id":"ITEM-1","itemData":{"DOI":"10.1002/grl.50599","ISSN":"00948276","abstract":"The age of groundwater, the time since the water recharged the subsurface, is a fundamental characteristic of groundwater that impacts diverse geologic processes and practical applications. The distribution of groundwater age depends on many factors including permeability, recharge rate, aquifer geometry and topography. Seminal work simulated topography-driven regional groundwater flow with various topographies, localized high permeability zones and more recently with permeability decreasing with depth but the role of layered aquifer systems which are common in both consolidated and unconsolidated sediments has not been systematically explored. Here we show that high age zones with predictable locations occur in layered geologic systems across a wide range of hydraulic gradients, basin geometries and permeabilities. Numerical simulations of a generic three layer aquifer system indicate that high age zones consistently form in the low permeability layer near the middle of the basin. The zones of older groundwater result from low groundwater velocities in the low permeability layer and the rejuvenation of the groundwater through mixing of different flow paths near discharge zones. The high age zones are not hydraulic stagnation points but are associated with areas of low velocity. Formation and location of zones of high groundwater ages in low permeability units is important as these units are targeted for radioactive waste disposal and shale gas extraction. High age zones are also likely to affect geologic processes that depend on groundwater or solute fluxes and may serve as archives of past hydrological or climatological conditions.","author":[{"dropping-particle":"","family":"Gassiat","given":"Claire","non-dropping-particle":"","parse-names":false,"suffix":""},{"dropping-particle":"","family":"Gleeson","given":"Tom","non-dropping-particle":"","parse-names":false,"suffix":""},{"dropping-particle":"","family":"Luijendijk","given":"Elco","non-dropping-particle":"","parse-names":false,"suffix":""}],"container-title":"Geophysical Research Letters","id":"ITEM-1","issue":"12","issued":{"date-parts":[["2013"]]},"page":"3042-3047","title":"The location of old groundwater in hydrogeologic basins and layered aquifer systems","type":"article-journal","volume":"40"},"uris":["http://www.mendeley.com/documents/?uuid=a677c191-9309-420e-bdd6-82806063e5b4"]},{"id":"ITEM-2","itemData":{"DOI":"10.1029/2010WR009370","ISSN":"00431397","abstract":"... Citation: Cardenas, MB, and X.-W. Jiang (2010), Groundwater flow , transport , and residence times through topography - driven basins with exponentially decreasing permeability and porosity , Water Resour. Res., 46, W11538, doi: 10.1029 / 2010WR009370 . Cited By. ...","author":[{"dropping-particle":"","family":"Cardenas","given":"M. Bayani","non-dropping-particle":"","parse-names":false,"suffix":""},{"dropping-particle":"","family":"Jiang","given":"Xiao Wei","non-dropping-particle":"","parse-names":false,"suffix":""}],"container-title":"Water Resources Research","id":"ITEM-2","issue":"11","issued":{"date-parts":[["2010"]]},"page":"1-9","title":"Groundwater flow, transport, and residence times through topography-driven basins with exponentially decreasing permeability and porosity","type":"article-journal","volume":"46"},"uris":["http://www.mendeley.com/documents/?uuid=bc304ca1-22af-408b-a73b-e3d1e27b9587"]}],"mendeley":{"formattedCitation":"(Cardenas and Jiang, 2010; Gassiat et al., 2013)","plainTextFormattedCitation":"(Cardenas and Jiang, 2010; Gassiat et al., 2013)","previouslyFormattedCitation":"(Cardenas and Jiang, 2010; Gassiat et al., 2013)"},"properties":{"noteIndex":0},"schema":"https://github.com/citation-style-language/schema/raw/master/csl-citation.json"}</w:instrText>
      </w:r>
      <w:r w:rsidR="00E87E5F" w:rsidRPr="00194419">
        <w:fldChar w:fldCharType="separate"/>
      </w:r>
      <w:r w:rsidR="00E87E5F" w:rsidRPr="00194419">
        <w:rPr>
          <w:noProof/>
        </w:rPr>
        <w:t>(Cardenas and Jiang, 2010; Gassiat et al., 2013)</w:t>
      </w:r>
      <w:r w:rsidR="00E87E5F" w:rsidRPr="00194419">
        <w:fldChar w:fldCharType="end"/>
      </w:r>
      <w:r w:rsidR="00E87E5F" w:rsidRPr="00194419">
        <w:t xml:space="preserve">. </w:t>
      </w:r>
      <w:r w:rsidR="007B5C5D" w:rsidRPr="00194419">
        <w:t>During the second half of the 20</w:t>
      </w:r>
      <w:r w:rsidR="007B5C5D" w:rsidRPr="00194419">
        <w:rPr>
          <w:vertAlign w:val="superscript"/>
        </w:rPr>
        <w:t>th</w:t>
      </w:r>
      <w:r w:rsidR="007B5C5D" w:rsidRPr="00194419">
        <w:t xml:space="preserve"> century, many research works </w:t>
      </w:r>
      <w:r w:rsidR="007B5C5D" w:rsidRPr="00194419">
        <w:fldChar w:fldCharType="begin" w:fldLock="1"/>
      </w:r>
      <w:r w:rsidR="00394FAC" w:rsidRPr="00194419">
        <w:instrText>ADDIN CSL_CITATION {"citationItems":[{"id":"ITEM-1","itemData":{"DOI":"10.1016/0016-7037(55)90053-3","ISSN":"00167037","abstract":"Tho problem of the origin, occurrence, and dietribution of so&amp;blo n8lt.a end the formation of chloride brinea in the cm&amp; of Wecrthering 8re tr88ted in the present. paper 8s 8 procem c8&amp; chiefly by tho dynamia of natuml W8&amp;1l% and the mobility of the chemical conatituenta dimolved in water. Tbe hydraulic gradienta end velocity of underground flow, the intensity of the water exchange with the eerth’e mrf8oe. the relation of the water-boering bed to water (e.g., intensive flush, hampered flush, salt eocumultion), the nubaurf8ce dmbmge conditions, the duration of time of the contact of wetor with the geologio81 formation6 along with the chemical composition of rock material and the watir which ocamn in them, snd the otruotural fe8ture8 of the 8re8, are considered 86 the chief factors governing the scrlinity vuistion of subterrane8n we&amp;e.. Nearly ten thomd 3 chemical 8n8ly8e8 of natural waters, including fresh water snd brines, aub- termnsen wetern from the nuxueroull8rtasi8n beeins, oilfield 8roaa. geysera. mud volc8noes, from vorioua sedimentary fornmtions, metsmorphic 8nd i neoua rock8 from the different parts of the globe, have been cloeeifled. t8buMed, end plotted 8nd come ered in this peper. The rel8tionahip between the type8 of the products of weathering 8ud the major geochemicsl typea of subtammean watem h8n been found and used for the classification of water. The veristion in 4mity of aubtormne8n wat0rs with the change of the hydmulic gradients. with saline :8&amp;s, tr8n$i?nel ~~;d~8~~eo, The appli~tion Ionic r8tioa depth of water. with the di&amp;8uca from tho outcrops, und with the dietence from the ae8, have been illustr8ted by numerous data. The principlea of the distribution of aubtermueen waters of the dserent hydrochemiocrl feoiae (low fsciea, h$h seline facies) in the. crust of weathering in reletion to the hydro- &amp;m&amp;y concentration, 8nd geological onvrronmcnt (structures, relatlon to water, depth) of the integml frequency ourvee of the chemical compoeition of the different typea of rubtermne8n waters aaeociatad with oil-pools hae be011 demouatmted for prectiaal use in the march for oil. Cl’ Mg.5 chloride brines. NC + E NW + w + c8’* + Mg” in aubtermneen W8tfSIl8nd in oae8nic water have been treated 8s the objective criterion8 showing%he origin of highly-concentrated The metumorphiim in the d waters -, chloride-eulphate waters + sulphate w8t.era -cchlorido W8tel’El W8tME thr reverac couree, which is, for the major geochemical groups of water, BS fo…","author":[{"dropping-particle":"","family":"Chebotarev","given":"I. I.","non-dropping-particle":"","parse-names":false,"suffix":""}],"container-title":"Geochimica et Cosmochimica Acta","id":"ITEM-1","issue":"4","issued":{"date-parts":[["1955"]]},"page":"198-212","title":"Metamorphism of natural waters in the crust of weathering-3","type":"article-journal","volume":"8"},"uris":["http://www.mendeley.com/documents/?uuid=0c0fd9ea-71f0-4250-8619-9a3a1d36a72d"]},{"id":"ITEM-2","itemData":{"author":[{"dropping-particle":"","family":"Schwartz","given":"Franklin W","non-dropping-particle":"","parse-names":false,"suffix":""},{"dropping-particle":"","family":"Domenico","given":"Patrick A","non-dropping-particle":"","parse-names":false,"suffix":""}],"container-title":"Water Resources Research","id":"ITEM-2","issue":"3","issued":{"date-parts":[["1973"]]},"page":"707-720","title":"Simulation of Hydrochemical Patterns in Regional Groundwater Flow","type":"article-journal","volume":"9"},"uris":["http://www.mendeley.com/documents/?uuid=95e36860-099b-40c9-8786-bbefd962a5af"]},{"id":"ITEM-3","itemData":{"DOI":"10.1007/s100400050176","ISBN":"14312174 (ISSN)","ISSN":"1431-2174","abstract":"The objective of the present paper is to show that groundwater is a general geologic agent. This perception could not, and did not, evolve until the system nature of basinal groundwater flow and its properties, geometries, and controlling factors became recognized and understood through the 1960s and 1970s. The two fundamental causes for groundwater's active role in nature are its ability to interact with the ambient environment and the systematized spatial distribution of its flow. Interaction and flow occur simultaneously at all scales of space and time, although at correspondingly varying rates and intensities. Thus, effects of groundwater flow are created from the land surface to the greatest depths of the porous parts of the Earth's crust, and from a day's length through geologic times. Three main types of interaction between groundwater and environment are identified in this paper, with several special processes for each one, namely: (1) Chemical interaction, with processes of dissolution, hydration, hydrolysis, oxidation-reduction, attack by acids, chemical precipitation, base exchange, sulfate reduction, concentration, and Ultrafiltration or osmosis; (2) Physical interaction, with processes of lubrication and pore-pressure modification; and (3) Kinetic interaction, with the transport processes of water, aqueous and nonaqueous matter, and heat. Owing to the transporting ability and spatial patterns of basinal flow, the effects of interaction are cumulative and distributed according to the geometries of the flow systems. The number and diversity of natural phenomena that are generated by groundwater flow are almost unlimited, due to the fact that the relatively few basic types are modified by some or all of the three components of the hydrogeologic environment: topography, geology, and climate. The six basic groups into which manifestations of groundwater flow have been divided are: (1) Hydrology and hydraulics; (2) Chemistry and mineralogy; (3) Vegetation; (4) Soil and rock mechanics; (5) Geomorphology; and (6) Transport and accumulation. Based on such a diversity of effects and manifestations, it is concluded that groundwater is a general geologic agent.","author":[{"dropping-particle":"","family":"Tóth","given":"József","non-dropping-particle":"","parse-names":false,"suffix":""}],"container-title":"Hydrogeology Journal","id":"ITEM-3","issue":"1","issued":{"date-parts":[["1999"]]},"page":"1-14","title":"Groundwater as a geologic agent: An overview of the causes, processes, and manifestations","type":"article-journal","volume":"7"},"uris":["http://www.mendeley.com/documents/?uuid=97c2c756-fb03-4f90-b7e4-16cae12c3ecb"]},{"id":"ITEM-4","itemData":{"author":[{"dropping-particle":"","family":"Randal","given":"M A","non-dropping-particle":"","parse-names":false,"suffix":""}],"id":"ITEM-4","issued":{"date-parts":[["1967"]]},"number-of-pages":"111","publisher-place":"Camberra","title":"Groundwater in the Barkly Tableland, N.T:","type":"report"},"uris":["http://www.mendeley.com/documents/?uuid=22fcf91e-f460-4df7-b34d-700e95283c3c"]},{"id":"ITEM-5","itemData":{"DOI":"10.1016/0022-1694(89)90281-3","ISSN":"00221694","abstract":"A large-scale groundwater system in central Australia discharges to a chain of playas. Recharge in calcrete and fractured rock aquifers gives rise to relatively low-salinity HCO3 Cl SO4 groundwaters, which evolve through regional saline groundwaters, to highly saline playa brines. The hydrochemical evolution of the groundwaters follows the anionic sequence HCO3 Cl SO4 → ClbHCO3SO4 → ClSO4HCO3 → ClSO4 → Cl. With increasing salinity, there is a relative increase in Na, K, Mg, Cl and SO4; however, there is a relative decrease in HCO3, Ca, and SiO2 owing to the precipitation of carbonate, sulphate and silicate minerals, and the resultant brines are depleted in these ions. Significant chemical variation in the composition of playa brines is a result of complex processes of solution, evaporative concentration, precipitation and mineralogical change, including dolomitisation. Thermodynamic calculations based on the Pitzer equations have enabled a general model to be developed for these evolutionary processes in saline groundwaters up to the stage of halite saturation. At an early stage the regional groundwaters are saturated with respect to the carbonate minerals, dolomite first, then calcite. With increasing salinity, sulphate minerals begin to precipitate: saturation with respect to gypsum is attained at a chlorinity of 19‰, and saturation with respect to anhydrite is attained at 122‰. The playa brines attain saturation with respect to halite at a chlorinity of 144‰. Solute budgets based on a chloride concentration factor show that final playa brines are 178 times more concentrated than recharge groundwaters, and confirm the virtually complete loss of HCO3, Ca and SiO2 through precipitation. There are subtle differences in the hydrochemistry of different central Australian playa brines and also vis-à-vis playa brines described from other parts of the world. Most Australian playas have brines of the ClNa type with SO4 and Mg also important. The generally accepted Hardie-Eugster model for brine evolution and mineral precipitation sequences has therefore been modified and extended. Three pathways are defined, following calcite precipitation, on the basis of the ratio of molar Ca to alkalinity; these pathways lead to saline waters with different compositions. Subsequent evolution of the brines depends on the ratios between molar SO4, Mg, Ca and alkalinity. © 1989.","author":[{"dropping-particle":"","family":"Jankowski","given":"J","non-dropping-particle":"","parse-names":false,"suffix":""},{"dropping-particle":"","family":"Jacobson","given":"G","non-dropping-particle":"","parse-names":false,"suffix":""}],"container-title":"Journal of Hydrology","id":"ITEM-5","issue":"C","issued":{"date-parts":[["1989"]]},"page":"123-173","title":"Hydrochemical evolution of regional groundwaters to playa brines in central Australia","type":"article-journal","volume":"108"},"uris":["http://www.mendeley.com/documents/?uuid=ef6a5f49-bef8-4ca3-947e-a407cddc1f63"]},{"id":"ITEM-6","itemData":{"DOI":"10.1007/s10040-015-1274-x","ISSN":"1431-2174","author":[{"dropping-particle":"","family":"Mádl-Szőnyi","given":"Judit","non-dropping-particle":"","parse-names":false,"suffix":""},{"dropping-particle":"","family":"Tóth","given":"Ádám","non-dropping-particle":"","parse-names":false,"suffix":""}],"container-title":"Hydrogeology Journal","id":"ITEM-6","issue":"7","issued":{"date-parts":[["2015"]]},"page":"1359-1380","title":"Basin-scale conceptual groundwater flow model for an unconfined and confined thick carbonate region","type":"article-journal","volume":"23"},"uris":["http://www.mendeley.com/documents/?uuid=75dc9139-7e0d-4b2d-a724-de40455d23b7"]}],"mendeley":{"formattedCitation":"(Chebotarev, 1955; Jankowski and Jacobson, 1989; Mádl-Szőnyi and Tóth, 2015; Randal, 1967; Schwartz and Domenico, 1973; Tóth, 1999)","plainTextFormattedCitation":"(Chebotarev, 1955; Jankowski and Jacobson, 1989; Mádl-Szőnyi and Tóth, 2015; Randal, 1967; Schwartz and Domenico, 1973; Tóth, 1999)","previouslyFormattedCitation":"(Chebotarev, 1955; Jankowski and Jacobson, 1989; Mádl-Szőnyi and Tóth, 2015; Randal, 1967; Schwartz and Domenico, 1973; Tóth, 1999)"},"properties":{"noteIndex":0},"schema":"https://github.com/citation-style-language/schema/raw/master/csl-citation.json"}</w:instrText>
      </w:r>
      <w:r w:rsidR="007B5C5D" w:rsidRPr="00194419">
        <w:fldChar w:fldCharType="separate"/>
      </w:r>
      <w:r w:rsidR="00FE293F" w:rsidRPr="00194419">
        <w:rPr>
          <w:noProof/>
        </w:rPr>
        <w:t>(Chebotarev, 1955; Jankowski and Jacobson, 1989; Mádl-Szőnyi and Tóth, 2015; Randal, 1967; Schwartz and Domenico, 1973; Tóth, 1999)</w:t>
      </w:r>
      <w:r w:rsidR="007B5C5D" w:rsidRPr="00194419">
        <w:fldChar w:fldCharType="end"/>
      </w:r>
      <w:r w:rsidR="00E87E5F" w:rsidRPr="00194419">
        <w:t xml:space="preserve"> demonstrated that </w:t>
      </w:r>
      <w:r w:rsidR="00D100B6" w:rsidRPr="00194419">
        <w:t>groundwater in such contexts</w:t>
      </w:r>
      <w:r w:rsidR="00E87E5F" w:rsidRPr="00194419">
        <w:t xml:space="preserve"> evolves towards </w:t>
      </w:r>
      <w:r w:rsidR="00385013" w:rsidRPr="00194419">
        <w:t>greater</w:t>
      </w:r>
      <w:r w:rsidR="00E87E5F" w:rsidRPr="00194419">
        <w:t xml:space="preserve"> </w:t>
      </w:r>
      <w:r w:rsidR="00CA5857" w:rsidRPr="00194419">
        <w:t xml:space="preserve">concentrations </w:t>
      </w:r>
      <w:r w:rsidR="00E87E5F" w:rsidRPr="00194419">
        <w:t>of dissolved solids</w:t>
      </w:r>
      <w:r w:rsidR="00385013" w:rsidRPr="00194419">
        <w:t xml:space="preserve"> and higher temperature values</w:t>
      </w:r>
      <w:r w:rsidR="00E87E5F" w:rsidRPr="00194419">
        <w:t>, while the hydrochemical facies transition from bicarbonate to chloride</w:t>
      </w:r>
      <w:r w:rsidR="00CC38A6" w:rsidRPr="00CC38A6">
        <w:t xml:space="preserve"> </w:t>
      </w:r>
      <w:r w:rsidR="00CC38A6">
        <w:t xml:space="preserve">going </w:t>
      </w:r>
      <w:r w:rsidR="00CC38A6" w:rsidRPr="00194419">
        <w:t>through sulfate</w:t>
      </w:r>
      <w:r w:rsidR="00385013" w:rsidRPr="00194419">
        <w:t xml:space="preserve">. Recent studies </w:t>
      </w:r>
      <w:r w:rsidR="00385013" w:rsidRPr="00194419">
        <w:rPr>
          <w:lang w:val="es-ES_tradnl"/>
        </w:rPr>
        <w:fldChar w:fldCharType="begin" w:fldLock="1"/>
      </w:r>
      <w:r w:rsidR="00941999" w:rsidRPr="00194419">
        <w:instrText xml:space="preserve">ADDIN CSL_CITATION {"citationItems":[{"id":"ITEM-1","itemData":{"DOI":"10.1016/j.gca.2017.01.033","ISSN":"00167037","abstract":"Analyses for81Kr and noble gases on groundwater from the deepest aquifer system of the Baltic Artesian Basin (BAB) were performed to determine groundwater ages and uncover the flow dynamics of the system on a timescale of several hundred thousand years. We find that the system is controlled by mixing of three distinct water masses: Interglacial or recent meteoric water (δ18O ≈ −10.4‰) with a poorly evolved chemical and noble gas signature, glacial meltwater (δ18O </w:instrText>
      </w:r>
      <w:r w:rsidR="00941999" w:rsidRPr="00194419">
        <w:rPr>
          <w:rFonts w:ascii="Cambria Math" w:hAnsi="Cambria Math" w:cs="Cambria Math"/>
        </w:rPr>
        <w:instrText>⩽</w:instrText>
      </w:r>
      <w:r w:rsidR="00941999" w:rsidRPr="00194419">
        <w:instrText xml:space="preserve"> −18‰) with elevated noble gas concentrations, and an old, high-salinity brine component (δ18O </w:instrText>
      </w:r>
      <w:r w:rsidR="00941999" w:rsidRPr="00194419">
        <w:rPr>
          <w:rFonts w:ascii="Cambria Math" w:hAnsi="Cambria Math" w:cs="Cambria Math"/>
        </w:rPr>
        <w:instrText>⩾</w:instrText>
      </w:r>
      <w:r w:rsidR="00941999" w:rsidRPr="00194419">
        <w:instrText xml:space="preserve"> −4.5‰, </w:instrText>
      </w:r>
      <w:r w:rsidR="00941999" w:rsidRPr="00194419">
        <w:rPr>
          <w:rFonts w:ascii="Cambria Math" w:hAnsi="Cambria Math" w:cs="Cambria Math"/>
        </w:rPr>
        <w:instrText>⩾</w:instrText>
      </w:r>
      <w:r w:rsidR="00941999" w:rsidRPr="00194419">
        <w:instrText xml:space="preserve"> 90 g Cl−/L) with strongly depleted atmospheric noble gas concentrations. The81Kr measurements are interpreted within this mixing framework to estimate the age of the end-members. Deconvoluted81Kr ages range from 300 ka to 1.3 Ma for interglacial or recent meteoric water and glacial meltwater. For the brine component, ages exceed the dating range of the ATTA-3 instrument of 1.3 Ma. The radiogenic noble gas components4He</w:instrText>
      </w:r>
      <w:r w:rsidR="00941999" w:rsidRPr="00194419">
        <w:rPr>
          <w:rFonts w:ascii="Cambria Math" w:hAnsi="Cambria Math" w:cs="Cambria Math"/>
        </w:rPr>
        <w:instrText>∗</w:instrText>
      </w:r>
      <w:r w:rsidR="00941999" w:rsidRPr="00194419">
        <w:instrText>and40Ar</w:instrText>
      </w:r>
      <w:r w:rsidR="00941999" w:rsidRPr="00194419">
        <w:rPr>
          <w:rFonts w:ascii="Cambria Math" w:hAnsi="Cambria Math" w:cs="Cambria Math"/>
        </w:rPr>
        <w:instrText>∗</w:instrText>
      </w:r>
      <w:r w:rsidR="00941999" w:rsidRPr="00194419">
        <w:instrText xml:space="preserve">are less conclusive but also support an age of &gt; 1 Ma for the brine. Based on the chemical and noble gas concentrations and the dating results, we conclude that the brine originates from evaporated seawater that has been modified by later water–rock interaction. As the obtained tracer ages cover several glacial cycles, we discuss the impact of the glacial cycles on flow patterns in the studied aquifer system.","author":[{"dropping-particle":"","family":"Gerber","given":"Christoph","non-dropping-particle":"","parse-names":false,"suffix":""},{"dropping-particle":"","family":"Vaikmäe","given":"Rein","non-dropping-particle":"","parse-names":false,"suffix":""},{"dropping-particle":"","family":"Aeschbach","given":"Werner","non-dropping-particle":"","parse-names":false,"suffix":""},{"dropping-particle":"","family":"Babre","given":"Alise","non-dropping-particle":"","parse-names":false,"suffix":""},{"dropping-particle":"","family":"Jiang","given":"Wei","non-dropping-particle":"","parse-names":false,"suffix":""},{"dropping-particle":"","family":"Leuenberger","given":"Markus","non-dropping-particle":"","parse-names":false,"suffix":""},{"dropping-particle":"","family":"Lu","given":"Zheng Tian","non-dropping-particle":"","parse-names":false,"suffix":""},{"dropping-particle":"","family":"Mokrik","given":"Robert","non-dropping-particle":"","parse-names":false,"suffix":""},{"dropping-particle":"","family":"Müller","given":"Peter","non-dropping-particle":"","parse-names":false,"suffix":""},{"dropping-particle":"","family":"Raidla","given":"Valle","non-dropping-particle":"","parse-names":false,"suffix":""},{"dropping-particle":"","family":"Saks","given":"Tomas","non-dropping-particle":"","parse-names":false,"suffix":""},{"dropping-particle":"","family":"Waber","given":"H. Niklaus","non-dropping-particle":"","parse-names":false,"suffix":""},{"dropping-particle":"","family":"Weissbach","given":"Therese","non-dropping-particle":"","parse-names":false,"suffix":""},{"dropping-particle":"","family":"Zappala","given":"Jake C.","non-dropping-particle":"","parse-names":false,"suffix":""},{"dropping-particle":"","family":"Purtschert","given":"Roland","non-dropping-particle":"","parse-names":false,"suffix":""}],"container-title":"Geochimica et Cosmochimica Acta","id":"ITEM-1","issued":{"date-parts":[["2017"]]},"page":"187-210","title":"Using &lt;sup&gt;81&lt;/sup&gt;Kr and noble gases to characterize and date groundwater and brines in the Baltic Artesian Basin on the one-million-year timescale","type":"article-journal","volume":"205"},"uris":["http://www.mendeley.com/documents/?uuid=d337e2a4-0c8f-4eb6-8ddb-58cf8d260fb4"]},{"id":"ITEM-2","itemData":{"DOI":"10.1016/j.jhydrol.2018.03.029","ISSN":"00221694","abstract":"The Nile Delta is essential to Egypt's agro- and socio-economy. Although surface water is the traditional source for Egypt's irrigation, the shallow fresh groundwater resources underlying the delta are increasingly burdened by groundwater pumping, which increases interest in the status of the groundwater resources. Groundwater up to three times more saline than sea water was found at 600 m depth. The occurrence of this hypersaline groundwater raises doubts on the often-made assumption in the literature that seawater is the only source of salt in the Nile Delta aquifer and makes further investigation necessary. Knowledge on the origin of this hypersaline groundwater is key in assessing the possibility of deep fresh groundwater pockets. In this paper we conducted computational analyses to assess possible origins using both analytical solutions and numerical models. It is concluded that the hypersaline groundwater can either originate from Quaternary free convection systems, or from compaction-induced upward salt transport of hypersaline groundwater that formed during the Messinian salinity crisis. Our results also indicate that with groundwater dating it is possible to discriminate between these two hypotheses. Furthermore, it is deduced that the hydrological connection between aquifer and sea is crucial to the hydrogeological functioning of the Nile Delta Aquifer.","author":[{"dropping-particle":"","family":"Engelen","given":"Joeri","non-dropping-particle":"van","parse-names":false,"suffix":""},{"dropping-particle":"","family":"Oude Essink","given":"Gualbert H.P.","non-dropping-particle":"","parse-names":false,"suffix":""},{"dropping-particle":"","family":"Kooi","given":"Henk","non-dropping-particle":"","parse-names":false,"suffix":""},{"dropping-particle":"","family":"Bierkens","given":"Marc F.P.","non-dropping-particle":"","parse-names":false,"suffix":""}],"container-title":"Journal of Hydrology","id":"ITEM-2","issued":{"date-parts":[["2018"]]},"page":"301-317","publisher":"The Author(s)","title":"On the origins of hypersaline groundwater in the Nile Delta aquifer","type":"article-journal","volume":"560"},"uris":["http://www.mendeley.com/documents/?uuid=223ae835-16b4-4fed-b6ef-b78cbaed0fd0"]},{"id":"ITEM-3","itemData":{"DOI":"10.1016/j.jhydrol.2016.05.062","ISSN":"00221694","abstract":"Groundwater age or residence time is the time water has resided in the subsurface since recharge. This can provide information on groundwater mixing and flow, and volumes of groundwater and recharge, etc. Groundwater age can be inferred from environmental tracers, such as SF6and tritium that have a known input to groundwater and/or undergo known alteration processes in groundwater. Multiple tracers are often applied complementarily in order to increase the robustness of age interpretations. To this end, it is desirable to develop cost-effective and easily applicable age tracers/techniques to supplement the existing ones. A number of hydrochemical parameters are spatially and temporally widely available due to national and regional groundwater monitoring programmes. Their determination is cost-effective and relatively simple compared to existing age tracers. Hydrochemistry has been used as an age proxy but its use as an independent age tracer has only been demonstrated for water recharged weeks to months ago (relying on seasonal changes). This study focuses on the Lower Hutt Groundwater Zone, New Zealand, and assesses whether hydrochemistry can be used as an independent indicator of groundwater age, or if not, whether hydrochemistry can be used to complement groundwater age measurements based on other tracers. This study also examines the use of hydrochemistry as an indicator for recharge sources and weathering processes. This study shows that, when used independently, hydrochemistry could only be used as an age proxy, but in combination with tritium measurements, hydrochemistry provided useful additional constraint on age of groundwater recharged days to </w:instrText>
      </w:r>
      <w:r w:rsidR="00941999" w:rsidRPr="00194419">
        <w:rPr>
          <w:rFonts w:ascii="Cambria Math" w:hAnsi="Cambria Math" w:cs="Cambria Math"/>
        </w:rPr>
        <w:instrText>∼</w:instrText>
      </w:r>
      <w:r w:rsidR="00941999" w:rsidRPr="00194419">
        <w:instrText xml:space="preserve">100 years ago.","author":[{"dropping-particle":"","family":"Beyer","given":"Monique","non-dropping-particle":"","parse-names":false,"suffix":""},{"dropping-particle":"","family":"Jackson","given":"Bethanna","non-dropping-particle":"","parse-names":false,"suffix":""},{"dropping-particle":"","family":"Daughney","given":"Chris","non-dropping-particle":"","parse-names":false,"suffix":""},{"dropping-particle":"","family":"Morgenstern","given":"Uwe","non-dropping-particle":"","parse-names":false,"suffix":""},{"dropping-particle":"","family":"Norton","given":"Kevin","non-dropping-particle":"","parse-names":false,"suffix":""}],"container-title":"Journal of Hydrology","id":"ITEM-3","issued":{"date-parts":[["2016"]]},"page":"127-144","publisher":"Elsevier B.V.","title":"Use of hydrochemistry as a standalone and complementary groundwater age tracer","type":"article-journal","volume":"543"},"uris":["http://www.mendeley.com/documents/?uuid=0da06e70-c7da-43d3-b9a6-9b5ff1aac9c3"]},{"id":"ITEM-4","itemData":{"DOI":"10.1016/j.apgeochem.2010.04.001","ISBN":"0883-2927","ISSN":"08832927","abstract":"A prolonged drought in the High Plains of Nebraska prompted the use of groundwater for cooling at the largest coal-fired power plant in the State. Prior to the drought, groundwater was used primarily for irrigation and the power plant relied exclusively on surface water stored in a nearby reservoir for cooling. Seepage from the reservoir system during the past </w:instrText>
      </w:r>
      <w:r w:rsidR="00941999" w:rsidRPr="00194419">
        <w:rPr>
          <w:rFonts w:ascii="Cambria Math" w:hAnsi="Cambria Math" w:cs="Cambria Math"/>
        </w:rPr>
        <w:instrText>∼</w:instrText>
      </w:r>
      <w:r w:rsidR="00941999" w:rsidRPr="00194419">
        <w:instrText xml:space="preserve">75a has resulted in the buildup of a large mound of water in the underlying unconfined aquifer. A well field was installed during the drought for the purpose of tapping the groundwater mound as a supplemental source of water for cooling. Concentrations of dissolved Cl-and SO42- indicate 65-100% of shallow groundwater and 0-100% of deep groundwater (saturated thickness </w:instrText>
      </w:r>
      <w:r w:rsidR="00941999" w:rsidRPr="00194419">
        <w:rPr>
          <w:rFonts w:ascii="Cambria Math" w:hAnsi="Cambria Math" w:cs="Cambria Math"/>
        </w:rPr>
        <w:instrText>∼</w:instrText>
      </w:r>
      <w:r w:rsidR="00941999" w:rsidRPr="00194419">
        <w:instrText>115m) in the immediate vicinity of the reservoir was from seepage out of the reservoir system. Hydrogen and O isotopic data indicate most surface-water seepage occurred in the late spring and early summer when reservoir stage was at its highest level. Tritium/3He apparent groundwater ages imply horizontal flow velocities from the reservoir were on the order of 60-600m/a. These diverse data provided information regarding the spatial distribution, timing, and rate of seepage from the reservoir that could not have been obtained from the available geologic, hydraulic head, and conductivity data. In particular, mixing fractions of surface water and regional groundwater in the aquifer could not have been determined using hydraulic information. Mixing fractions were of special interest in this study because of the management objective to maximize the capture of surface-water seepage in the cooling water wells. Groundwater-flow models developed as well-field management tools were calibrated using inverse modeling techniques and observations of groundwater age, surface-water flow, reservoir stage, and groundwater levels. The age data only accounted for 6 of the 2574 field observations used to calibrate the groundwater-flow models, yet they were among the most influential for refining estimates of hydraulic conductivity, recharge, and seepage from the reservoir. Results from this study demonstrate the benefits of using geochemical, isotopic, and age tracer data to develop conceptual and numerical models of groundwater flow for the purpose of water management. © 2010.","author":[{"dropping-particle":"","family":"McMahon","given":"P. B.","non-dropping-particle":"","parse-names":false,"suffix":""},{"dropping-particle":"","family":"Carney","given":"C. P.","non-dropping-particle":"","parse-names":false,"suffix":""},{"dropping-particle":"","family":"Poeter","given":"E. P.","non-dropping-particle":"","parse-names":false,"suffix":""},{"dropping-particle":"","family":"Peterson","given":"S. M.","non-dropping-particle":"","parse-names":false,"suffix":""}],"container-title":"Applied Geochemistry","id":"ITEM-4","issue":"6","issued":{"date-parts":[["2010"]]},"page":"910-922","publisher":"Elsevier Ltd","title":"Use of geochemical, isotopic, and age tracer data to develop models of groundwater flow for the purpose of water management, northern High Plains aquifer, USA","type":"article-journal","volume":"25"},"uris":["http://www.mendeley.com/documents/?uuid=1b807004-6603-4c4e-82fe-cf5b4dbb7e96"]},{"id":"ITEM-5","itemData":{"DOI":"10.1016/j.jconhyd.2017.11.003","ISSN":"18736009","abstract":"Hydrochemical analysis and environmental isotopic tracing are successfully applied to study groundwater evolution processes. Located in eastern China, the Jiangsu Coastal Plain is characterized by an extensively exploited deep groundwater system, and groundwater salinization has become the primary water environmental problem. This paper provides a case study on the use of a hydrochemical and environmental isotopic approach to assess possible mixing and evolution processes at Yoco Port, Jiangsu Province, China. Hydrochemical and isotopic patterns of deep groundwater allow one to distinguish different origins in deep water systems. HCO3-is the dominant anion in the freshwater samples, whereas Na+and Cl-are the dominant major ions in the saline samples. According to δ18O, δ2H and14C dating, the fresh water is derived from precipitation under a colder climate during the Glacial Maximum (Dali Glacial), while the saline groundwater is influenced by glacial-interglacial cycles during the Holocene Hypsithermal. The δ18O, δ2H and3H data confirm that deep groundwater in some boreholes is mixed with overlying saline water. The deep groundwater reservoir can be divided into a saline water sector and a fresh water sector, and each show distinct hydrochemical and isotopic compositions. The saline groundwater found in the deep aquifer cannot be associated with present seawater intrusion. Since the Last Glacial Maximum in the Late Pleistocene, the deep groundwater flow system has evolved to its current status with the decrease in ice cover and the rising of sea level. However, the hydraulic connection is strengthened by continuous overexploitation, and deep groundwater is mixed with shallow groundwater at some points.","author":[{"dropping-particle":"","family":"Xu","given":"Naizheng","non-dropping-particle":"","parse-names":false,"suffix":""},{"dropping-particle":"","family":"Gong","given":"Jianshi","non-dropping-particle":"","parse-names":false,"suffix":""},{"dropping-particle":"","family":"Yang","given":"Guoqiang","non-dropping-particle":"","parse-names":false,"suffix":""}],"container-title":"Journal of Contaminant Hydrology","id":"ITEM-5","issue":"November 2017","issued":{"date-parts":[["2018"]]},"page":"1-9","publisher":"Elsevier","title":"Using environmental isotopes along with major hydro-geochemical compositions to assess deep groundwater formation and evolution in eastern coastal China","type":"article-journal","volume":"208"},"uris":["http://www.mendeley.com/documents/?uuid=1193abda-8588-43a3-8943-eceed14183fd"]}],"mendeley":{"formattedCitation":"(Beyer et al., 2016; Gerber et al., 2017; McMahon et al., 2010; van Engelen et al., 2018; Xu et al., 2018)","plainTextFormattedCitation":"(Beyer et al., 2016; Gerber et al., 2017; McMahon et al., 2010; van Engelen et al., 2018; Xu et al., 2018)","previouslyFormattedCitation":"(Beyer et al., 2016; Gerber et al., 2017; McMahon et al., 2010; van Engelen et al., 2018; Xu et al., 2018)"},"properties":{"noteIndex":0},"schema":"https://github.com/citation-style-language/schema/raw/master/csl-citation.json"}</w:instrText>
      </w:r>
      <w:r w:rsidR="00385013" w:rsidRPr="00194419">
        <w:rPr>
          <w:lang w:val="es-ES_tradnl"/>
        </w:rPr>
        <w:fldChar w:fldCharType="separate"/>
      </w:r>
      <w:r w:rsidR="00B9425E" w:rsidRPr="00194419">
        <w:rPr>
          <w:noProof/>
        </w:rPr>
        <w:t>(Beyer et al., 2016; Gerber et al., 2017; McMahon et al., 2010; van Engelen et al., 2018; Xu et al., 2018)</w:t>
      </w:r>
      <w:r w:rsidR="00385013" w:rsidRPr="00194419">
        <w:rPr>
          <w:lang w:val="es-ES_tradnl"/>
        </w:rPr>
        <w:fldChar w:fldCharType="end"/>
      </w:r>
      <w:r w:rsidR="00385013" w:rsidRPr="00194419">
        <w:t xml:space="preserve"> have also exposed</w:t>
      </w:r>
      <w:r w:rsidR="00B9425E" w:rsidRPr="00194419">
        <w:t xml:space="preserve"> the relationship between groundwater age and mineralization, by jointly using hydrochemical and dating tools.</w:t>
      </w:r>
    </w:p>
    <w:p w14:paraId="0301E656" w14:textId="16E977D6" w:rsidR="00F733D2" w:rsidRPr="00194419" w:rsidRDefault="00C02461" w:rsidP="008A3630">
      <w:pPr>
        <w:spacing w:line="480" w:lineRule="auto"/>
      </w:pPr>
      <w:r w:rsidRPr="00194419">
        <w:t>Each tracer is suitable to analyze a specifi</w:t>
      </w:r>
      <w:r w:rsidR="00D3622C" w:rsidRPr="00194419">
        <w:t>c</w:t>
      </w:r>
      <w:r w:rsidRPr="00194419">
        <w:t xml:space="preserve"> age range. So, if tracer ages are generated for time intervals where they are not suitable, tracers ages</w:t>
      </w:r>
      <w:r w:rsidR="00D3622C" w:rsidRPr="00194419">
        <w:t xml:space="preserve"> differ</w:t>
      </w:r>
      <w:r w:rsidRPr="00194419">
        <w:t xml:space="preserve"> </w:t>
      </w:r>
      <w:r w:rsidR="00265BAE" w:rsidRPr="00194419">
        <w:fldChar w:fldCharType="begin" w:fldLock="1"/>
      </w:r>
      <w:r w:rsidR="003A7DC8" w:rsidRPr="00194419">
        <w:instrText>ADDIN CSL_CITATION {"citationItems":[{"id":"ITEM-1","itemData":{"DOI":"10.1029/2002JC001325","ISBN":"0148-0227","ISSN":"0148-0227","PMID":"182862800003","abstract":"[2] The timescales for transport from a boundary to the interior of a fluid system are fundamental descriptions of the flow. Chemical tracers with known sources and sinks can be useful in estimating these timescales. To this end, tracers have been used to derive ''ages'' ... \\n","author":[{"dropping-particle":"","family":"Waugh","given":"Darryn W.","non-dropping-particle":"","parse-names":false,"suffix":""},{"dropping-particle":"","family":"Hall","given":"Timothy M.","non-dropping-particle":"","parse-names":false,"suffix":""},{"dropping-particle":"","family":"Haine","given":"Thomas W. N.","non-dropping-particle":"","parse-names":false,"suffix":""}],"container-title":"Journal of Geophysical Research","id":"ITEM-1","issue":"C5","issued":{"date-parts":[["2003"]]},"page":"3138","title":"Relationships among tracer ages","type":"article-journal","volume":"108"},"uris":["http://www.mendeley.com/documents/?uuid=d4d17b0e-e705-43fd-87e9-94ece50bcf7a"]},{"id":"ITEM-2","itemData":{"DOI":"10.1029/2006WR005096","ISBN":"0043-1397","ISSN":"00431397","abstract":"A multitracer (3H/3He, 85Kr, 39Ar, and 14C) approach is used to investigate the age structure of groundwater in the semiconfined Fontainebleau Sands Aquifer that is located in the shallower part of the Paris Basin (France). The hydrogeological situation, which is characterized by spatially extended recharge, large screen intervals, and possible leakage from deeper aquifers, led us to expect a wide range of residence times and pronounced mixing of different water components. Consequently, a large set of tracers with corresponding dating ranges was adopted. Commonly used tracers for young groundwater (3H, 3He, and 85Kr) can identify only those components with ages below 50 years. This approach is reliable if a large fraction of the water recharge occurs within this period. However, if a considerable fraction is older than 50 years, a tracer that covers intermediate age ranges below 1000 years is needed. We examine the use of 39Ar, a noble gas radioisotope with a half-life of 269 years, to constrain the age distribution of groundwater in this timescale range. Recharge rate, depth of water table, and the age structure of the groundwater are estimated by inverse modeling. The obtained recharge rates of 100&amp;#8211;150 mm/yr are comparable to estimations using hydrograph data. Best agreement between the modeled and measured tracer concentrations was achieved for a thickness of the unsaturated soil zone of 30&amp;#8211;40 m, coinciding well with the observed thicknesses of the unsaturated zone in the area. Transport times of water and gas from the soil surface to the water table range between 10 and 40 and 1 and 6 years, respectively. Reconstructed concentrations of 85Kr and 3H at the water table were used for saturated flow modeling. The exponential box model was found to reproduce the field data best. Conceptionally, this finding agrees well with the spatially extended recharge and large screened intervals in the project area. Best fits between model and field results were obtained for mean residence times of 1&amp;#8211;129 years. The 39Ar measurements as well as the box model approach indicate the presence of older waters (3H and 85Kr free). Using 39Ar to date this old component resulted in residence times of the old water components on the order of about 100&amp;#8211;400 years. The 14C measurements provide additional evidence for the correctness of the proposed age structure.","author":[{"dropping-particle":"","family":"Corcho Alvarado","given":"J. A.","non-dropping-particle":"","parse-names":false,"suffix":""},{"dropping-particle":"","family":"Purtschert","given":"R.","non-dropping-particle":"","parse-names":false,"suffix":""},{"dropping-particle":"","family":"Barbecot","given":"F.","non-dropping-particle":"","parse-names":false,"suffix":""},{"dropping-particle":"","family":"Chabault","given":"C.","non-dropping-particle":"","parse-names":false,"suffix":""},{"dropping-particle":"","family":"Rueedi","given":"J.","non-dropping-particle":"","parse-names":false,"suffix":""},{"dropping-particle":"","family":"Schneider","given":"V.","non-dropping-particle":"","parse-names":false,"suffix":""},{"dropping-particle":"","family":"Aeschbach-Hertig","given":"W.","non-dropping-particle":"","parse-names":false,"suffix":""},{"dropping-particle":"","family":"Kipfer","given":"R.","non-dropping-particle":"","parse-names":false,"suffix":""},{"dropping-particle":"","family":"Loosli","given":"H. H.","non-dropping-particle":"","parse-names":false,"suffix":""}],"container-title":"Water Resources Research","id":"ITEM-2","issue":"3","issued":{"date-parts":[["2007"]]},"page":"1-16","title":"Constraining the age distribution of highly mixed groundwater using &lt;sup&gt;39&lt;/sup&gt;Ar: A multiple environmental tracer (&lt;sup&gt;3&lt;/sup&gt;H/&lt;sup&gt;3&lt;/sup&gt;He, &lt;sup&gt;85&lt;/sup&gt;Kr, &lt;sup&gt;39&lt;/sup&gt;Ar, and &lt;sup&gt;14&lt;/sup&gt;C) study in the semiconfined Fontainebleau Sands Aquifer","type":"article-journal","volume":"43"},"uris":["http://www.mendeley.com/documents/?uuid=d870f325-9a73-4a67-abd0-70eb629e3dfc"]},{"id":"ITEM-3","itemData":{"DOI":"10.1029/2009WR008341","ISBN":"0043-1397","ISSN":"00431397","abstract":"We tested three models of mixing between old interbasin groundwater flow (IGF) and young, locally derived groundwater in a lowland rain forest in Costa Rica using a large suite of environmental tracers. We focus on the young fraction of water using the transient tracers CFC-11, CFC-12, CFC-113, SF6, 3H, and bomb 14C. We measured 3He, but 3H/3He dating is generally problematic due to the presence of mantle 3He. Because of their unique concentration histories in the atmosphere, combinations of transient tracers are sensitive not only to subsurface travel times but also to mixing between waters having different travel times. Samples fall into three distinct categories: (1) young waters that plot along a piston flow line, (2) old samples that have near-zero concentrations of the transient tracers, and (3) mixtures of 1 and 2. We have modeled the concentrations of the transient tracers using (1) a binary mixing model (BMM) of old and young water with the young fraction transported via piston flow, (2) an exponential mixing model (EMM) with a distribution of groundwater travel times characterized by a mean value, and (3) an exponential mixing model for the young fraction followed by binary mixing with an old fraction (EMM/BMM). In spite of the mathematical differences in the mixing models, they all lead to a similar conceptual model of young (0 to 10 year) groundwater that is locally derived mixing with old (&amp;gt;1000 years) groundwater that is recharged beyond the surface water boundary of the system.","author":[{"dropping-particle":"","family":"Solomon","given":"D. K.","non-dropping-particle":"","parse-names":false,"suffix":""},{"dropping-particle":"","family":"Genereux","given":"David P.","non-dropping-particle":"","parse-names":false,"suffix":""},{"dropping-particle":"","family":"Plummer","given":"L. Niel","non-dropping-particle":"","parse-names":false,"suffix":""},{"dropping-particle":"","family":"Busenberg","given":"Eurybiades","non-dropping-particle":"","parse-names":false,"suffix":""}],"container-title":"Water Resources Research","id":"ITEM-3","issue":"4","issued":{"date-parts":[["2010"]]},"page":"1-14","title":"Testing mixing models of old and young groundwater in a tropical lowland rain forest with environmental tracers","type":"article-journal","volume":"46"},"uris":["http://www.mendeley.com/documents/?uuid=6f03bf01-4ec2-47b6-b350-88e5f8ec6d09"]},{"id":"ITEM-4","itemData":{"DOI":"10.1007/s10040-010-0663-4","author":[{"dropping-particle":"","family":"Sültenfuss","given":"Jürgen","non-dropping-particle":"","parse-names":false,"suffix":""},{"dropping-particle":"","family":"Purtschert","given":"Roland","non-dropping-particle":"","parse-names":false,"suffix":""},{"dropping-particle":"","family":"Führböter","given":"Jens F","non-dropping-particle":"","parse-names":false,"suffix":""}],"container-title":"Hydrogeology Journal","id":"ITEM-4","issued":{"date-parts":[["2011"]]},"page":"221-236","title":"Age structure and recharge conditions of a coastal aquifer ( northern Germany ) investigated with &lt;sup&gt;39&lt;/sup&gt;Ar, &lt;sup&gt;14&lt;/sup&gt;C, &lt;sup&gt;3&lt;/sup&gt;H, He isotopes and Ne","type":"article-journal","volume":"19"},"uris":["http://www.mendeley.com/documents/?uuid=ae9362a1-8110-4d26-8363-278532b866b3"]},{"id":"ITEM-5","itemData":{"DOI":"10.1016/j.apgeochem.2014.04.001","ISSN":"18729134","abstract":"Two groundwater bodies, Grazer Feld and Leibnitzer Feld, with surface areas of 166 and 103km2 respectively are characterised for the first time by measuring the combination of ??18O/??2H, 3H/3He, 85Kr, CFC-11, CFC-12 and hydrochemistry in 34 monitoring wells in 2009/2010. The timescales of groundwater recharge have been characterised by 131 ??18O measurements of well and surface water sampled on a seasonal basis. Most monitoring wells show a seasonal variation or indicate variable contributions of the main river Mur (0-30%, max. 70%) and/or other rivers having their recharge areas in higher altitudes. Combined ??18O/??2H-measurements indicate that 65-75% of groundwater recharge in the unusual wet year of 2009 was from precipitation in the summer based on values from the Graz meteorological station. Monitoring wells downstream of gravel pit lakes show a clear evaporation trend.A boron-nitrate differentiation plot shows more frequent boron-rich water in the more urbanised Grazer Feld and more frequent nitrate-rich water in the more agricultural used Leibnitzer Feld indicating that a some of the nitrate load in the Grazer Feld comes from urban sewer water. Several lumped parameter models based on tritium input data from Graz and monthly data from the river Mur (Spielfeld) since 1977 yield a Mean Residence Time (MRT) for the Mur-water itself between 3 and 4years in this area. Data from ??18O, 3H/3He measurements at the Wagna lysimeter station supports the conclusion that 90% of the groundwaters in the Grazer Feld and 73% in the Leibnitzer Feld have MRTs of &lt;5years. Only in a few groundwaters were MRTs of 6-10 or 11-25years as a result of either a long-distance water inflow in the basins or due to longer flow path in somewhat deeper wells (&gt;20m) with relative thicker unsaturated zones. The young MRT of groundwater from two monitoring wells in the Leibnitzer Feld was confirmed by 85Kr-measurements. Most CFC-11 and CFC-12 concentrations in the groundwater exceed the equilibration concentrations of modern concentrations in water and are therefore unsuitable for dating purposes. An enrichment factor up to 100 compared to atmospheric equilibrium concentrations and the obvious correlation of CFC-12 with SO4, Na, Cl and B in the ground waters of the Grazer Feld suggest that waste water in contact with CFC-containing material above and below ground is the source for the contamination. The dominance of very young groundwater (&lt;5years) indicates a recent origin of the…","author":[{"dropping-particle":"","family":"Kralik","given":"M.","non-dropping-particle":"","parse-names":false,"suffix":""},{"dropping-particle":"","family":"Humer","given":"F.","non-dropping-particle":"","parse-names":false,"suffix":""},{"dropping-particle":"","family":"Fank","given":"J.","non-dropping-particle":"","parse-names":false,"suffix":""},{"dropping-particle":"","family":"Harum","given":"T.","non-dropping-particle":"","parse-names":false,"suffix":""},{"dropping-particle":"","family":"Klammler","given":"G.","non-dropping-particle":"","parse-names":false,"suffix":""},{"dropping-particle":"","family":"Gooddy","given":"D.","non-dropping-particle":"","parse-names":false,"suffix":""},{"droppi</w:instrText>
      </w:r>
      <w:r w:rsidR="003A7DC8" w:rsidRPr="00CC38A6">
        <w:rPr>
          <w:lang w:val="es-ES"/>
        </w:rPr>
        <w:instrText>ng-particle":"","family</w:instrText>
      </w:r>
      <w:r w:rsidR="003A7DC8" w:rsidRPr="007A0203">
        <w:rPr>
          <w:lang w:val="es-ES"/>
        </w:rPr>
        <w:instrText>":"Sültenfuss","given":"J.","non-dropping-particle":"","parse-names":false,"suffix":""},{"dropping-particle":"","family":"Gerber","given":"C.","non-dropping-particle":"","parse-names":false,"suffix":""},{"dropping-particle":"","family":"Purtschert","given":"R.","non-dropping-particle":"","parse-names":false,"suffix":""}],"container-title":"Applied Geochemistry","id":"ITEM-5","issue":"2014","issued":{"date-parts":[["2014"]]},"page":"150-163","publisher":"Elsevier Ltd","title":"Using 18O/2H, 3H/3He, 85Kr and CFCs to determine mean residence times and water origin in the Grazer and Leibnitzer Feld groundwater bodies (Austria)","type":"article-journal","volume":"50"},"uris":["http://www.mendeley.com/documents/?uuid=e6c23c74-1342-4d7e-b3b6-07c6646b9c15"]}],"mendeley":{"formattedCitation":"(Corcho Alvarado et al., 2007; Kralik et al., 2014; Solomon et al., 2010; Sültenfuss et al., 2011; Waugh et al., 2003)","manualFormatting":"(Corcho-Alvarado et al., 2007; Kralik et al., 2014; Solomon et al., 2010; Sültenfuss et al., 2011; Waugh et al., 2003)","plainTextFormattedCitation":"(Corcho Alvarado et al., 2007; Kralik et al., 2014; Solomon et al., 2010; Sültenfuss et al., 2011; Waugh et al., 2003)","previouslyFormattedCitation":"(Corcho Alvarado et al., 2007; Kralik et al., 2014; Solomon et al., 2010; Sültenfuss et al., 2011; Waugh et al., 2003)"},"properties":{"noteIndex":0},"schema":"https://github.com/citation-style-language/schema/raw/master/csl-citation.json"}</w:instrText>
      </w:r>
      <w:r w:rsidR="00265BAE" w:rsidRPr="00194419">
        <w:fldChar w:fldCharType="separate"/>
      </w:r>
      <w:r w:rsidR="00265BAE" w:rsidRPr="00194419">
        <w:rPr>
          <w:noProof/>
          <w:lang w:val="es-ES_tradnl"/>
        </w:rPr>
        <w:t>(Corcho</w:t>
      </w:r>
      <w:r w:rsidR="006266DD" w:rsidRPr="00194419">
        <w:rPr>
          <w:noProof/>
          <w:lang w:val="es-ES_tradnl"/>
        </w:rPr>
        <w:t>-</w:t>
      </w:r>
      <w:r w:rsidR="00265BAE" w:rsidRPr="00194419">
        <w:rPr>
          <w:noProof/>
          <w:lang w:val="es-ES_tradnl"/>
        </w:rPr>
        <w:t>Alvarado et al., 2007; Kralik et al., 2014; Solomon et al., 2010; Sültenfuss et al., 2011; Waugh et al., 2003)</w:t>
      </w:r>
      <w:r w:rsidR="00265BAE" w:rsidRPr="00194419">
        <w:fldChar w:fldCharType="end"/>
      </w:r>
      <w:r w:rsidR="00265BAE" w:rsidRPr="00194419">
        <w:rPr>
          <w:lang w:val="es-ES_tradnl"/>
        </w:rPr>
        <w:t xml:space="preserve">. </w:t>
      </w:r>
      <w:r w:rsidR="00DF64ED" w:rsidRPr="00194419">
        <w:t xml:space="preserve">For instance, </w:t>
      </w:r>
      <w:r w:rsidR="006753B0" w:rsidRPr="00194419">
        <w:t xml:space="preserve">the use of </w:t>
      </w:r>
      <w:r w:rsidR="00DF64ED" w:rsidRPr="00194419">
        <w:rPr>
          <w:vertAlign w:val="superscript"/>
        </w:rPr>
        <w:t>3</w:t>
      </w:r>
      <w:r w:rsidR="00DF64ED" w:rsidRPr="00194419">
        <w:t>H/</w:t>
      </w:r>
      <w:r w:rsidR="00DF64ED" w:rsidRPr="00194419">
        <w:rPr>
          <w:vertAlign w:val="superscript"/>
        </w:rPr>
        <w:t>3</w:t>
      </w:r>
      <w:r w:rsidR="00DF64ED" w:rsidRPr="00194419">
        <w:t>He, CFC</w:t>
      </w:r>
      <w:r w:rsidR="006753B0" w:rsidRPr="00194419">
        <w:t>,</w:t>
      </w:r>
      <w:r w:rsidR="00DF64ED" w:rsidRPr="00194419">
        <w:t xml:space="preserve"> or </w:t>
      </w:r>
      <w:r w:rsidR="006753B0" w:rsidRPr="00194419">
        <w:rPr>
          <w:vertAlign w:val="superscript"/>
        </w:rPr>
        <w:t>85</w:t>
      </w:r>
      <w:r w:rsidR="006753B0" w:rsidRPr="00194419">
        <w:t>Kr</w:t>
      </w:r>
      <w:r w:rsidRPr="00194419">
        <w:t xml:space="preserve"> would give the same age in the interval 0-50</w:t>
      </w:r>
      <w:r w:rsidR="00CC38A6">
        <w:t xml:space="preserve"> </w:t>
      </w:r>
      <w:r w:rsidRPr="00194419">
        <w:t xml:space="preserve">years </w:t>
      </w:r>
      <w:r w:rsidR="00CC38A6">
        <w:lastRenderedPageBreak/>
        <w:t>under</w:t>
      </w:r>
      <w:r w:rsidR="00D3622C" w:rsidRPr="00194419">
        <w:t xml:space="preserve"> </w:t>
      </w:r>
      <w:r w:rsidRPr="00194419">
        <w:t>piston flow conditions.</w:t>
      </w:r>
      <w:r w:rsidR="006753B0" w:rsidRPr="00194419">
        <w:t xml:space="preserve"> </w:t>
      </w:r>
      <w:r w:rsidR="00D3622C" w:rsidRPr="00194419">
        <w:t>T</w:t>
      </w:r>
      <w:r w:rsidR="00265BAE" w:rsidRPr="00194419">
        <w:t xml:space="preserve">he mixing of flow components with different residence time in a </w:t>
      </w:r>
      <w:r w:rsidR="000710A3" w:rsidRPr="00194419">
        <w:t xml:space="preserve">given </w:t>
      </w:r>
      <w:r w:rsidR="00265BAE" w:rsidRPr="00194419">
        <w:t>sampl</w:t>
      </w:r>
      <w:r w:rsidR="00261D9A">
        <w:t>e</w:t>
      </w:r>
      <w:r w:rsidR="00265BAE" w:rsidRPr="00194419">
        <w:t xml:space="preserve"> </w:t>
      </w:r>
      <w:r w:rsidR="00D3622C" w:rsidRPr="00194419">
        <w:t xml:space="preserve">also </w:t>
      </w:r>
      <w:r w:rsidR="00265BAE" w:rsidRPr="00194419">
        <w:t xml:space="preserve">affects the estimation of ages. </w:t>
      </w:r>
      <w:r w:rsidR="000801F1" w:rsidRPr="00194419">
        <w:t>I</w:t>
      </w:r>
      <w:r w:rsidR="00265BAE" w:rsidRPr="00194419">
        <w:t>f the analyzed groundwater sample contains fractions older tha</w:t>
      </w:r>
      <w:r w:rsidR="000710A3" w:rsidRPr="00194419">
        <w:t>n</w:t>
      </w:r>
      <w:r w:rsidR="00265BAE" w:rsidRPr="00194419">
        <w:t xml:space="preserve"> those datable with a </w:t>
      </w:r>
      <w:r w:rsidR="000710A3" w:rsidRPr="00194419">
        <w:t>certain</w:t>
      </w:r>
      <w:r w:rsidR="00265BAE" w:rsidRPr="00194419">
        <w:t xml:space="preserve"> tracer </w:t>
      </w:r>
      <w:r w:rsidR="000710A3" w:rsidRPr="00194419">
        <w:t xml:space="preserve">it </w:t>
      </w:r>
      <w:r w:rsidR="00D3622C" w:rsidRPr="00194419">
        <w:t>may</w:t>
      </w:r>
      <w:r w:rsidR="00A821EB" w:rsidRPr="00194419">
        <w:t xml:space="preserve"> </w:t>
      </w:r>
      <w:r w:rsidR="000710A3" w:rsidRPr="00194419">
        <w:t xml:space="preserve">lead to </w:t>
      </w:r>
      <w:r w:rsidR="00265BAE" w:rsidRPr="00194419">
        <w:t xml:space="preserve">a bias towards lower ages; even more in heterogeneous media </w:t>
      </w:r>
      <w:r w:rsidR="00265BAE" w:rsidRPr="00194419">
        <w:fldChar w:fldCharType="begin" w:fldLock="1"/>
      </w:r>
      <w:r w:rsidR="00265BAE" w:rsidRPr="00194419">
        <w:instrText>ADDIN CSL_CITATION {"citationItems":[{"id":"ITEM-1","itemData":{"DOI":"10.1111/gwat.12148","ISSN":"17456584","abstract":"In this study, we use PFLOTRAN, a highly scalable, parallel, flow, and reactive transport code to simulate the concentrations of 3H, 3He, CFC-11, CFC-12, CFC-113, SF6, 39Ar, and the mean groundwater age in heterogeneous fields on grids with an excess of 10 million nodes. We utilize this computational platform to simulate the concentration of multiple tracers in high-resolution, heterogeneous 2D and 3D domains, and calculate tracer-derived ages. Tracer-derived ages show systematic biases toward younger ages when the groundwater age distribution contains water older than the maximum tracer age. The deviation of the tracer-derived age distribution from the true groundwater age distribution increases with increasing heterogeneity of the system. However, the effect of heterogeneity is diminished as the mean travel time gets closer to the tracer age limit. Age distributions in 3D domains differ significantly from 2D domains. 3D simulations show decreased mean age, and less variance in age distribution for identical heterogeneity statistics. High-performance computing allows for investigation of tracer and groundwater age systematics in high-resolution domains, providing a platform for understanding and utilizing environmental tracer and groundwater age information in heterogeneous 3D systems.","author":[{"dropping-particle":"","family":"Gardner","given":"William P.","non-dropping-particle":"","parse-names":false,"suffix":""},{"dropping-particle":"","family":"Hammond","given":"Glenn","non-dropping-particle":"","parse-names":false,"suffix":""},{"dropping-particle":"","family":"Lichtner","given":"Peter","non-dropping-particle":"","parse-names":false,"suffix":""}],"container-title":"Groundwater","id":"ITEM-1","issued":{"date-parts":[["2015"]]},"title":"High Performance Simulation of Environmental Tracers in Heterogeneous Domains","type":"article-journal"},"uris":["http://www.mendeley.com/documents/?uuid=9392db26-e064-35ed-8d82-fe1f9d737258"]}],"mendeley":{"formattedCitation":"(Gardner et al., 2015)","plainTextFormattedCitation":"(Gardner et al., 2015)","previouslyFormattedCitation":"(Gardner et al., 2015)"},"properties":{"noteIndex":0},"schema":"https://github.com/citation-style-language/schema/raw/master/csl-citation.json"}</w:instrText>
      </w:r>
      <w:r w:rsidR="00265BAE" w:rsidRPr="00194419">
        <w:fldChar w:fldCharType="separate"/>
      </w:r>
      <w:r w:rsidR="00265BAE" w:rsidRPr="00194419">
        <w:rPr>
          <w:noProof/>
        </w:rPr>
        <w:t>(Gardner et al., 2015)</w:t>
      </w:r>
      <w:r w:rsidR="00265BAE" w:rsidRPr="00194419">
        <w:fldChar w:fldCharType="end"/>
      </w:r>
      <w:r w:rsidR="00265BAE" w:rsidRPr="00194419">
        <w:t>.</w:t>
      </w:r>
      <w:r w:rsidR="000710A3" w:rsidRPr="00194419">
        <w:t xml:space="preserve"> Th</w:t>
      </w:r>
      <w:r w:rsidR="0065376E" w:rsidRPr="00194419">
        <w:t xml:space="preserve">at normally occurs </w:t>
      </w:r>
      <w:r w:rsidR="000710A3" w:rsidRPr="00194419">
        <w:t xml:space="preserve">near the surface, particularly in </w:t>
      </w:r>
      <w:r w:rsidR="0065376E" w:rsidRPr="00194419">
        <w:t>springs</w:t>
      </w:r>
      <w:r w:rsidR="00A821EB" w:rsidRPr="00194419">
        <w:t xml:space="preserve"> or in long-filtered wells</w:t>
      </w:r>
      <w:r w:rsidR="0065376E" w:rsidRPr="00194419">
        <w:t xml:space="preserve">, where several flow lines converge, each one with </w:t>
      </w:r>
      <w:r w:rsidR="00B2163E" w:rsidRPr="00194419">
        <w:t xml:space="preserve">a </w:t>
      </w:r>
      <w:r w:rsidR="0065376E" w:rsidRPr="00194419">
        <w:t xml:space="preserve">characteristic concentration of tracers </w:t>
      </w:r>
      <w:r w:rsidR="000710A3" w:rsidRPr="00194419">
        <w:fldChar w:fldCharType="begin" w:fldLock="1"/>
      </w:r>
      <w:r w:rsidR="00C33D1B" w:rsidRPr="00194419">
        <w:instrText>ADDIN CSL_CITATION {"citationItems":[{"id":"ITEM-1","itemData":{"DOI":"DOI 10.1007/s00254-002-0681-1","ISBN":"0943-0105","ISSN":"09430105","abstract":"Average calculated noble gas temperatures increase from 10 to 22 degreesC in groundwater from recharge to discharge areas in carbonate-rock aquifers of southern Nevada. Loss of noble gases from groundwater in these regional flow systems at flow barriers is the likely process that produces an increase in recharge noble gas temperatures. Emplacement of low permeability rock into high permeability aquifer rock and the presence of low permeability shear zones reduce aquifer thickness from thousands to tens of meters. At these flow barriers, which are more than 1,000 m lower than the average recharge altitude, noble gases exsolve from the groundwater by inclusion in gas bubbles formed near the barriers because of greatly reduced hydrostatic pressure. However, re-equilibration of noble gases in the groundwater with atmospheric air at the low-altitude spring discharge area, at the terminus of the regional flow system, cannot be ruled out. Molecular diffusion is not an important process for removing noble gases from groundwater in the carbonate-rock aquifers because concentration gradients are small.","author":[{"dropping-particle":"","family":"Thomas","given":"J M","non-dropping-particle":"","parse-names":false,"suffix":""},{"dropping-particle":"","family":"Hudson","given":"G B","non-dropping-particle":"","parse-names":false,"suffix":""},{"dropping-particle":"","family":"Stute","given":"M","non-dropping-particle":"","parse-names":false,"suffix":""},{"dropping-particle":"","family":"Clark","given":"J F","non-dropping-particle":"","parse-names":false,"suffix":""}],"container-title":"Environmental Geology","id":"ITEM-1","issued":{"date-parts":[["2003"]]},"page":"568-579","title":"Noble gas loss may indicate groundwater flow across flow barriers in Southern Nevada","type":"article-journal","volume":"43"},"uris":["http://www.mendeley.com/documents/?uuid=7557407b-cd46-4899-aab0-df0242368195"]},{"id":"ITEM-2","itemData":{"DOI":"10.1029/2009WR008006","ISBN":"0043-1397","ISSN":"0043-1397","abstract":"Springs and gaining streams are locations where groundwater flow paths naturally converge and discharge as a flow-weighted mixture of water from the contributing aquifer. The age of that water is therefore a good measure of the mean transit time (MTT) of the contributing aquifer. The question examined in this paper is whether tritiogenic helium-3 and tritium (3Hetrit-3H) can be used to estimate MTT in these settings. To answer that question two factors must be considered: (1) the loss of 3He from discharging groundwater as it becomes exposed to the atmosphere, and (2) the accuracy with which MTT can be determined from flow-weighted 3Hetrit-3H concentrations. These concepts were tested at the Fischa-Dagnitz system (springs and emerging stream), which is part of the southern Vienna Basin aquifer. Conducting a gas tracer test, gas exchange coefficients (λ) were established for helium-4 (4He) and krypton-84 (84Kr), and derived for helium-3 (3He) and neon-20 (20Ne). By simulating measured groundwater inflow and gas transport in the stream, groundwater inflow concentrations for 3He, 4He, 20Ne, and 84Kr were estimated. Correcting for the various sources of He, the tritiogenic helium-3 (3Hetrit) concentration of inflowing groundwater was estimated at 8.3 tritium units (TU). The flow-weighted groundwater concentration of 3H, determined from 22 stream water samples, was estimated at 9.8 TU. Assuming that the relationship between flow amount and transit time at Fischa-Dagnitz is characterized by a hybrid dispersion-exponential age model, the 3Hetrit-3H ratio (8.3/9.8 = 0.85) defines a MTT of 8 years. The validity of this estimate was evaluated by comparison to a long-term 3H time series that exists for Fischa-Dagnitz. The likely range of MTT's derived from the measured 3H time series is 11 to 14 years.","author":[{"dropping-particle":"","family":"Stolp","given":"B. J.","non-dropping-particle":"","parse-names":false,"suffix":""},{"dropping-particle":"","family":"Solomon","given":"D. K.","non-dropping-particle":"","parse-names":false,"suffix":""},{"dropping-particle":"","family":"Suckow","given":"A.","non-dropping-particle":"","parse-names":false,"suffix":""},{"dropping-particle":"","family":"Vitvar","given":"T.","non-dropping-particle":"","parse-names":false,"suffix":""},{"dropping-particle":"","family":"Rank","given":"D.","non-dropping-particle":"","parse-names":false,"suffix":""},{"dropping-particle":"","family":"Aggarwal","given":"P. K.","non-dropping-particle":"","parse-names":false,"suffix":""},{"dropping-particle":"","family":"Han","given":"L. F.","non-dropping-particle":"","parse-names":false,"suffix":""}],"container-title":"Water Resources Research","id":"ITEM-2","issue":"7","issued":{"date-parts":[["2010"]]},"page":"1-13","title":"Age dating base flow at springs and gaining streams using helium-3 and tritium: Fischa-Dagnitz system, southern Vienna Basin, Austria","type":"article-journal","volume":"46"},"uris":["http://www.mendeley.com/documents/?uuid=72767bf8-c031-4d9f-97b8-74f07a4861f4"]},{"id":"ITEM-3","itemData":{"DOI":"10.1016/j.apgeochem.2014.01.011","ISBN":"0883-2927","ISSN":"18729134","abstract":"Karst aquifers are known for their wide distribution of water transfer velocities. From this observation, a multiple geochemical tracer approach seems to be particularly well suited to provide a significant assessment of groundwater flows, but the choice of adapted tracers is essential. In this study, several common tracers in karst aquifers such as physicochemical parameters, major ions, stable isotopes, and δ13C to more specific tracers such as dating tracers - 14C, 3H, 3H-3He, CFC-12, SF6 and 85Kr, and 39Ar - were used, in a fractured karstic carbonated aquifer located in Burgundy (France). The information carried by each tracer and the best sampling strategy are compared on the basis of geochemical monitoring done during several recharge events and over longer time periods (months to years).This study's results demonstrate that at the seasonal and recharge event time scale, the variability of concentrations is low for most tracers due to the broad spectrum of groundwater mixings. The tracers used traditionally for the study of karst aquifers, i.e., physicochemical parameters and major ions, efficiently describe hydrological processes such as the direct and differed recharge, but require being monitored at short time steps during recharge events to be maximized. From stable isotopes, tritium, and Cl- contents, the proportion of the fast direct recharge by the largest porosity was estimated using a binary mixing model. The use of tracers such as CFC-12, SF6, and 85Kr in karst aquifers provides additional information, notably an estimation of apparent age, but they require good preliminary knowledge of the karst system to interpret the results suitably. The CFC-12 and SF6 methods efficiently determine the apparent age of baseflow, but it is preferable to sample the groundwater during the recharge event. Furthermore, these methods are based on different assumptions such as regional enrichment in atmospheric SF6, excess air, and flow models among others. 85Kr and 39Ar concentrations can potentially provide a more direct estimation of groundwater residence time. Conversely, the 3H-3He method is inefficient in the karst aquifer for dating due to 3He degassing.","author":[{"dropping-particle":"","family":"Delbart","given":"C.","non-dropping-particle":"","parse-names":false,"suffix":""},{"dropping-particle":"","family":"Barbecot","given":"F.","non-dropping-particle":"","parse-names":false,"suffix":""},{"dropping-particle":"","family":"Valdes","given":"D.","non-dropping-particle":"","parse-names":false,"suffix":""},{"dropping-particle":"","family":"Tognelli","given":"A.","non-dropping-particle":"","parse-names":false,"suffix":""},{"dropping-particle":"","family":"Fourre","given":"E.","non-dropping-particle":"","parse-names":false,"suffix":""},{"dropping-particle":"","family":"Purtschert","given":"R.","non-dropping-particle":"","parse-names":false,"suffix":""},{"dropping-particle":"","family":"Couchoux","given":"L.","non-dropping-particle":"","parse-names":false,"suffix":""},{"dropping-particle":"","family":"Jean-Baptiste","given":"P.","non-dropping-particle":"","parse-names":false,"suffix":""}],"container-title":"Applied Geochemistry","id":"ITEM-3","issued":{"date-parts":[["2014"]]},"page":"164-176","publisher":"Elsevier Ltd","title":"Investigation of young water inflow in karst aquifers using SF&lt;sub&gt;6&lt;/sub&gt;-CFC-&lt;sup&gt;3&lt;/sup&gt;H/He-&lt;sup&gt;85&lt;/sup&gt;Kr-&lt;sup&gt;39&lt;/sup&gt;Ar and stable isotope components","type":"article-journal","volume":"50"},"uris":["http://www.mendeley.com/documents/?uuid=2c06bc4e-9490-4e5f-b12c-623527abae18"]},{"id":"ITEM-4","itemData":{"DOI":"10.1016/j.apgeochem.2014.04.016","ISBN":"08832927 (ISSN)","ISSN":"18729134","abstract":"The use of environmental tracers to characterise time scales when investigating groundwater is a technology that has been in use for half a century. Its usefulness is beyond controversy. However, the use of the word \"age\" for groundwater connected with these techniques is misleading due to its inherent connection to the general understanding of human age. \"Age\" as in the understanding of human age cannot be determined for groundwater, although it is a useful zero-order concept abundantly used in this context. This paper describes three basic definitions of \"age\" for groundwater ((1) idealized age as in particle tracking and piston flow, (2) mean residence time involving an age distribution and (3) apparent age) and discusses their context in view of recent developments in numerical groundwater modelling. It further gives arguments why the term \"age\" is unnecessary in modern hydrology and groundwater management and how not using it can enhance efficiency in system understanding: not using age needs less modelling effort and allows comparing models directly with measured values instead of comparing models with models.","author":[{"dropping-particle":"","family":"Suckow","given":"Axel","non-dropping-particle":"","parse-names":false,"suffix":""}],"container-title":"Applied Geochemistry","id":"ITEM-4","issued":{"date-parts":[["2014"]]},"page":"222-230","publisher":"Elsevier Ltd","title":"The age of groundwater - Definitions, models and why we do not need this term","type":"article-journal","volume":"50"},"uris":["http://www.mendeley.com/documents/?uuid=b619491c-e597-430d-8bfb-f8f4bf22d790"]}],"mendeley":{"formattedCitation":"(Delbart et al., 2014; Stolp et al., 2010; Suckow, 2014; Thomas et al., 2003)","plainTextFormattedCitation":"(Delbart et al., 2014; Stolp et al., 2010; Suckow, 2014; Thomas et al., 2003)","previouslyFormattedCitation":"(Delbart et al., 2014; Stolp et al., 2010; Suckow, 2014; Thomas et al., 2003)"},"properties":{"noteIndex":0},"schema":"https://github.com/citation-style-language/schema/raw/master/csl-citation.json"}</w:instrText>
      </w:r>
      <w:r w:rsidR="000710A3" w:rsidRPr="00194419">
        <w:fldChar w:fldCharType="separate"/>
      </w:r>
      <w:r w:rsidR="00F733D2" w:rsidRPr="00194419">
        <w:rPr>
          <w:noProof/>
        </w:rPr>
        <w:t>(Delbart et al., 2014; Stolp et al., 2010; Suckow, 2014; Thomas et al., 2003)</w:t>
      </w:r>
      <w:r w:rsidR="000710A3" w:rsidRPr="00194419">
        <w:fldChar w:fldCharType="end"/>
      </w:r>
      <w:r w:rsidR="000710A3" w:rsidRPr="00194419">
        <w:t xml:space="preserve">. </w:t>
      </w:r>
    </w:p>
    <w:p w14:paraId="7C4F203C" w14:textId="6141D4FE" w:rsidR="007051D1" w:rsidRPr="00194419" w:rsidRDefault="00F733D2" w:rsidP="008A3630">
      <w:pPr>
        <w:spacing w:line="480" w:lineRule="auto"/>
        <w:rPr>
          <w:lang w:val="en-GB"/>
        </w:rPr>
      </w:pPr>
      <w:r w:rsidRPr="00194419">
        <w:t>Lumped Parameter Models (LPMs) are normally used to</w:t>
      </w:r>
      <w:r w:rsidR="00CA5857" w:rsidRPr="00194419">
        <w:t xml:space="preserve"> integr</w:t>
      </w:r>
      <w:r w:rsidR="00261D9A">
        <w:t>ate</w:t>
      </w:r>
      <w:r w:rsidR="00CA5857" w:rsidRPr="00194419">
        <w:t xml:space="preserve"> and</w:t>
      </w:r>
      <w:r w:rsidRPr="00194419">
        <w:t xml:space="preserve"> quantitatively </w:t>
      </w:r>
      <w:r w:rsidRPr="00444A13">
        <w:t xml:space="preserve">interpret the tracer data in hydrological systems </w:t>
      </w:r>
      <w:r w:rsidRPr="00444A13">
        <w:fldChar w:fldCharType="begin" w:fldLock="1"/>
      </w:r>
      <w:r w:rsidR="00941999" w:rsidRPr="00444A13">
        <w:instrText>ADDIN CSL_CITATION {"citationItems":[{"id":"ITEM-1","itemData":{"DOI":"10.1016/j.jhydrol.2014.10.027","ISBN":"0034619712122","ISSN":"00221694","abstract":"This work presents the analytical solution to the convolution integral by taking into account the most widely used lumped parameter hydrogeological models (Piston, Exponential, combined Exponential-Piston and Dispersion model) and the eight most typical input tracer functions (Constant; Sinusoidal with linear trend; Sinusoidal with combined sinusoidal and linear trend; Instantaneous pulse injection; Step or Heaviside; Instantaneous pulse with exponential ending; Long pulse with sharp ending; Long pulse with exponential ending) naturally occurring or usually conducted in aquifer systems under natural gradient conditions. For such cases, the output tracer function is expressed in terms of mathematical elementary functions that only depend on the aquifer mean transit time and the parameters belonging to the assumed lumped model.","author":[{"dropping-particle":"","family":"Jódar","given":"Jorge","non-dropping-particle":"","parse-names":false,"suffix":""},{"dropping-particle":"","family":"Lambán","given":"Luis Javier","non-dropping-particle":"","parse-names":false,"suffix":""},{"dropping-particle":"","family":"Medina","given":"Agustín","non-dropping-particle":"","parse-names":false,"suffix":""},{"dropping-particle":"","family":"Custodio","given":"Emilio","non-dropping-particle":"","parse-names":false,"suffix":""}],"container-title":"Journal of Hydrology","id":"ITEM-1","issue":"PD","issued":{"date-parts":[["2014"]]},"page":"3275-3289","title":"Exact analytical solution of the convolution integral for classical hydrogeological lumped-parameter models and typical input tracer functions in natural gradient systems","type":"article-journal","volume":"519"},"uris":["http://www.mendeley.com/documents/?uuid=af783641-42a9-43ec-9956-4365595ccbc3"]},{"id":"ITEM-2","itemData":{"author":[{"dropping-particle":"","family":"Maloszewski","given":"P.","non-dropping-particle":"","parse-names":false,"suffix":""},{"dropping-particle":"","family":"Zuber","given":"A.","non-dropping-particle":"","parse-names":false,"suffix":""}],"container-title":"Jounal of Hydrology","id":"ITEM-2","issued":{"date-parts":[["1982"]]},"page":"207-231","title":"Determining the turnover time of groundwater systems with the aid of environmental tracers","type":"article-journal","volume":"57"},"uris":["http://www.mendeley.com/documents/?uuid=c109c532-b69a-493e-8eea-14329d414012"]},{"id":"ITEM-3","itemData":{"DOI":"10.1029/2009WR008341","ISBN":"0043-1397","ISSN":"00431397","abstract":"We tested three models of mixing between old interbasin groundwater flow (IGF) and young, locally derived groundwater in a lowland rain forest in Costa Rica using a large suite of environmental tracers. We focus on the young fraction of water using the transient tracers CFC-11, CFC-12, CFC-113, SF6, 3H, and bomb 14C. We measured 3He, but 3H/3He dating is generally problematic due to the presence of mantle 3He. Because of their unique concentration histories in the atmosphere, combinations of transient tracers are sensitive not only to subsurface travel times but also to mixing between waters having different travel times. Samples fall into three distinct categories: (1) young waters that plot along a piston flow line, (2) old samples that have near-zero concentrations of the transient tracers, and (3) mixtures of 1 and 2. We have modeled the concentrations of the transient tracers using (1) a binary mixing model (BMM) of old and young water with the young fraction transported via piston flow, (2) an exponential mixing model (EMM) with a distribution of groundwater travel times characterized by a mean value, and (3) an exponential mixing model for the young fraction followed by binary mixing with an old fraction (EMM/BMM). In spite of the mathematical differences in the mixing models, they all lead to a similar conceptual model of young (0 to 10 year) groundwater that is locally derived mixing with old (&amp;gt;1000 years) groundwater that is recharged beyond the surface water boundary of the system.","author":[{"dropping-particle":"","family":"Solomon","given":"D. K.","non-dropping-particle":"","parse-names":false,"suffix":""},{"dropping-particle":"","family":"Genereux","given":"David P.","non-dropping-particle":"","parse-names":false,"suffix":""},{"dropping-particle":"","family":"Plummer","given":"L. Niel","non-dropping-particle":"","parse-names":false,"suffix":""},{"dropping-particle":"","family":"Busenberg","given":"Eurybiades","non-dropping-particle":"","parse-names":false,"suffix":""}],"container-title":"Water Resources Research","id":"ITEM-3","issue":"4","issued":{"date-parts":[["2010"]]},"page":"1-14","title":"Testing mixing models of old and young groundwater in a tropical lowland rain forest with environmental tracers","type":"article-journal","volume":"46"},"uris":["http://www.mendeley.com/documents/?uuid=6f03bf01-4ec2-47b6-b350-88e5f8ec6d09"]},{"id":"ITEM-4","itemData":{"DOI":"10.1016/j.jhydrol.2014.10.056","ISBN":"0022-1694","ISSN":"00221694","abstract":"Mathematical models of varying complexity have been developed since the 1960s to interpret environmental tracer concentrations in groundwater flow systems. This review examines published studies of model-based environmental tracer interpretation, the progress of different modelling approaches, and also considers the value of modelling tracer concentrations directly rather than estimations of groundwater age. Based on citation metrics generated using the Web of Science and Google Scholar reference databases, the most highly utilised interpretation approaches are lumped parameter models (421 citations), followed closely by direct age models (220 citations). A third approach is the use of mixing cell models (99 citations). Although lumped parameter models are conceptually simple and require limited data, they are unsuitable for characterising the internal dynamics of a hydrogeological system and/or under conditions where large scale anthropogenic stresses occur within a groundwater basin. Groundwater age modelling, and in particular, the simulation of environmental tracer transport that explicitly accounts for the accumulation and decay of tracer mass, has proven to be highly beneficial in constraining numerical models. Recent improvements in computing power have made numerical simulation of tracer transport feasible. We argue that, unlike directly simulated ages, the results of tracer mass transport simulation can be compared directly to observations, without needing to correct for apparent age bias or other confounding factors.","author":[{"dropping-particle":"","family":"Turnadge","given":"Chris","non-dropping-particle":"","parse-names":false,"suffix":""},{"dropping-particle":"","family":"Smerdon","given":"Brian D.","non-dropping-particle":"","parse-names":false,"suffix":""}],"container-title":"Journal of Hydrology","id":"ITEM-4","issue":"PD","issued":{"date-parts":[["2014"]]},"page":"3674-3689","publisher":"Elsevier B.V.","title":"A review of methods for modelling environmental tracers in groundwater: Advantages of tracer concentration simulation","type":"article-journal","volume":"519"},"uris":["http://www.mendeley.com/documents/?uuid=89507e84-4757-479d-9861-5675ddeee864"]}],"mendeley":{"formattedCitation":"(Jódar et al., 2014; Maloszewski and Zuber, 1982; Solomon et al., 2010; Turnadge and Smerdon, 2014)","plainTextFormattedCitation":"(Jódar et al., 2014; Maloszewski and Zuber, 1982; Solomon et al., 2010; Turnadge and Smerdon, 2014)","previouslyFormattedCitation":"(Jódar et al., 2014; Maloszewski and Zuber, 1982; Solomon et al., 2010; Turnadge and Smerdon, 2014)"},"properties":{"noteIndex":0},"schema":"https://github.com/citation-style-language/schema/raw/master/csl-citation.json"}</w:instrText>
      </w:r>
      <w:r w:rsidRPr="00444A13">
        <w:fldChar w:fldCharType="separate"/>
      </w:r>
      <w:r w:rsidR="002339EC" w:rsidRPr="00444A13">
        <w:rPr>
          <w:noProof/>
        </w:rPr>
        <w:t>(Jódar et al., 2014; Maloszewski and Zuber, 1982; Solomon et al., 2010; Turnadge and Smerdon, 2014)</w:t>
      </w:r>
      <w:r w:rsidRPr="00444A13">
        <w:fldChar w:fldCharType="end"/>
      </w:r>
      <w:r w:rsidRPr="00444A13">
        <w:t xml:space="preserve">. However, they require a good </w:t>
      </w:r>
      <w:r w:rsidR="000801F1" w:rsidRPr="00444A13">
        <w:t>knowledge</w:t>
      </w:r>
      <w:r w:rsidRPr="00444A13">
        <w:t xml:space="preserve"> of the groundwater flow dynamics</w:t>
      </w:r>
      <w:r w:rsidR="00261D9A" w:rsidRPr="00444A13">
        <w:t xml:space="preserve"> to be </w:t>
      </w:r>
      <w:r w:rsidR="00444A13" w:rsidRPr="00444A13">
        <w:t>meaningful</w:t>
      </w:r>
      <w:r w:rsidRPr="00444A13">
        <w:t>. Besides, t</w:t>
      </w:r>
      <w:r w:rsidR="000710A3" w:rsidRPr="00444A13">
        <w:t xml:space="preserve">he combination of flow components with very dissimilar ages </w:t>
      </w:r>
      <w:r w:rsidR="00D3622C" w:rsidRPr="00444A13">
        <w:t xml:space="preserve">complicate </w:t>
      </w:r>
      <w:r w:rsidR="000710A3" w:rsidRPr="00444A13">
        <w:t xml:space="preserve">the </w:t>
      </w:r>
      <w:r w:rsidR="00C02461" w:rsidRPr="00444A13">
        <w:t>use</w:t>
      </w:r>
      <w:r w:rsidR="00D3622C" w:rsidRPr="00444A13">
        <w:t xml:space="preserve"> </w:t>
      </w:r>
      <w:r w:rsidR="000710A3" w:rsidRPr="00444A13">
        <w:t xml:space="preserve">of </w:t>
      </w:r>
      <w:r w:rsidRPr="00444A13">
        <w:t>LPMs</w:t>
      </w:r>
      <w:r w:rsidR="001908EB" w:rsidRPr="00444A13">
        <w:t xml:space="preserve">, which in such circumstances are rarely effective </w:t>
      </w:r>
      <w:r w:rsidR="001908EB" w:rsidRPr="00444A13">
        <w:fldChar w:fldCharType="begin" w:fldLock="1"/>
      </w:r>
      <w:r w:rsidR="00941999" w:rsidRPr="00444A13">
        <w:instrText>ADDIN CSL_CITATION {"citationItems":[{"id":"ITEM-1","itemData":{"author":[{"dropping-particle":"","family":"Stanton","given":"Jennifer S","non-dropping-particle":"","parse-names":false,"suffix":""},{"dropping-particle":"","family":"Landon","given":"Matthew K","non-dropping-particle":"","parse-names":false,"suffix":""},{"dropping-particle":"","family":"Turco","given":"Michael J","non-dropping-particle":"","parse-names":false,"suffix":""}],"id":"ITEM-1","issued":{"date-parts":[["2007"]]},"number-of-pages":"37","publisher-place":"Reston, Virginia","title":"Ground-Water Age and Quality in the High Plains Aquifer near Seward, Nebraska, 2003–04","type":"report"},"uris":["http://www.mendeley.com/documents/?uuid=fb6462a1-4470-4626-9dcb-dc3d2a3d2b15"]},{"id":"ITEM-2","itemData":{"DOI":"10.1029/2009WR008341","ISBN":"0043-1397","ISSN":"00431397","abstract":"We tested three models of mixing between old interbasin groundwater flow (IGF) and young, locally derived groundwater in a lowland rain forest in Costa Rica using a large suite of environmental tracers. We focus on the young fraction of water using the transient tracers CFC-11, CFC-12, CFC-113, SF6, 3H, and bomb 14C. We measured 3He, but 3H/3He dating is generally problematic due to the presence of mantle 3He. Because of their unique concentration histories in the atmosphere, combinations of transient tracers are sensitive not only to subsurface travel times but also to mixing between waters having different travel times. Samples fall into three distinct categories: (1) young waters that plot along a piston flow line, (2) old samples that have near-zero concentrations of the transient tracers, and (3) mixtures of 1 and 2. We have modeled the concentrations of the transient tracers using (1) a binary mixing model (BMM) of old and young water with the young fraction transported via piston flow, (2) an exponential mixing model (EMM) with a distribution of groundwater travel times characterized by a mean value, and (3) an exponential mixing model for the young fraction followed by binary mixing with an old fraction (EMM/BMM). In spite of the mathematical differences in the mixing models, they all lead to a similar conceptual model of young (0 to 10 year) groundwater that is locally derived mixing with old (&amp;gt;1000 years) groundwater that is recharged beyond the surface water boundary of the system.","author":[{"dropping-particle":"","family":"Solomon","given":"D. K.","non-dropping-particle":"","parse-names":false,"suffix":""},{"dropping-particle":"","family":"Genereux","given":"David P.","non-dropping-particle":"","parse-names":false,"suffix":""},{"dropping-particle":"","family":"Plummer","given":"L. Niel","non-dropping-particle":"","parse-names":false,"suffix":""},{"dropping-particle":"","family":"Busenberg","given":"Eurybiades","non-dropping-particle":"","parse-names":false,"suffix":""}],"container-title":"Water Resources Research","id":"ITEM-2","issue":"4","issued":{"date-parts":[["2010"]]},"page":"1-14","title":"Testing mixing models of old and young groundwater in a tropical lowland rain forest with environmental tracers","type":"article-journal","volume":"46"},"uris":["http://www.mendeley.com/documents/?uuid=6f03bf01-4ec2-47b6-b350-88e5f8ec6d09"]}],"mendeley":{"formattedCitation":"(Solomon et al., 2010; Stanton et al., 2007)","plainTextFormattedCitation":"(Solomon et al., 2010; Stanton et al., 2007)","previouslyFormattedCitation":"(Solomon et al., 2010; Stanton et al., 2007)"},"properties":{"noteIndex":0},"schema":"https://github.com/citation-style-language/schema/raw/master/csl-citation.json"}</w:instrText>
      </w:r>
      <w:r w:rsidR="001908EB" w:rsidRPr="00444A13">
        <w:fldChar w:fldCharType="separate"/>
      </w:r>
      <w:r w:rsidR="001908EB" w:rsidRPr="00444A13">
        <w:rPr>
          <w:noProof/>
        </w:rPr>
        <w:t>(Solomon et al., 2010; Stanton et al., 2007)</w:t>
      </w:r>
      <w:r w:rsidR="001908EB" w:rsidRPr="00444A13">
        <w:fldChar w:fldCharType="end"/>
      </w:r>
      <w:r w:rsidR="001908EB" w:rsidRPr="00444A13">
        <w:rPr>
          <w:lang w:val="en-GB"/>
        </w:rPr>
        <w:t xml:space="preserve">, as they do not achieve to estimate the age distribution of all the groundwater fractions that are present in the </w:t>
      </w:r>
      <w:r w:rsidR="0065376E" w:rsidRPr="00444A13">
        <w:rPr>
          <w:lang w:val="en-GB"/>
        </w:rPr>
        <w:t>sa</w:t>
      </w:r>
      <w:r w:rsidR="001908EB" w:rsidRPr="00444A13">
        <w:rPr>
          <w:lang w:val="en-GB"/>
        </w:rPr>
        <w:t xml:space="preserve">mple </w:t>
      </w:r>
      <w:r w:rsidR="001908EB" w:rsidRPr="00444A13">
        <w:rPr>
          <w:lang w:val="en-GB"/>
        </w:rPr>
        <w:fldChar w:fldCharType="begin" w:fldLock="1"/>
      </w:r>
      <w:r w:rsidRPr="00444A13">
        <w:rPr>
          <w:lang w:val="en-GB"/>
        </w:rPr>
        <w:instrText>ADDIN CSL_CITATION {"citationItems":[{"id":"ITEM-1","itemData":{"author":[{"dropping-particle":"","family":"Torgersen","given":"T.","non-dropping-particle":"","parse-names":false,"suffix":""},{"dropping-particle":"","family":"Stute","given":"M.","non-dropping-particle":"","parse-names":false,"suffix":""}],"container-title":"Isotope methods for dating old groundwater","id":"ITEM-1","issued":{"date-parts":[["2013"]]},"publisher":"International Atomic Energy Agency","title":"Helium (and other noble gases) as a tool for understanding long timescale groundwater transport","type":"chapter"},"uris":["http://www.mendeley.com/documents/?uuid=cd8ff9d0-b919-44f5-a5ac-f78e94499c4a"]}],"mendeley":{"formattedCitation":"(Torgersen and Stute, 2013)","plainTextFormattedCitation":"(Torgersen and Stute, 2013)","previouslyFormattedCitation":"(Torgersen and Stute, 2013)"},"properties":{"noteIndex":0},"schema":"https://github.com/citation-style-language/schema/raw/master/csl-citation.json"}</w:instrText>
      </w:r>
      <w:r w:rsidR="001908EB" w:rsidRPr="00444A13">
        <w:rPr>
          <w:lang w:val="en-GB"/>
        </w:rPr>
        <w:fldChar w:fldCharType="separate"/>
      </w:r>
      <w:r w:rsidR="001908EB" w:rsidRPr="00444A13">
        <w:rPr>
          <w:noProof/>
          <w:lang w:val="en-GB"/>
        </w:rPr>
        <w:t>(Torgersen and Stute, 2013)</w:t>
      </w:r>
      <w:r w:rsidR="001908EB" w:rsidRPr="00444A13">
        <w:rPr>
          <w:lang w:val="en-GB"/>
        </w:rPr>
        <w:fldChar w:fldCharType="end"/>
      </w:r>
      <w:r w:rsidR="0065376E" w:rsidRPr="00444A13">
        <w:rPr>
          <w:lang w:val="en-GB"/>
        </w:rPr>
        <w:t xml:space="preserve">. </w:t>
      </w:r>
      <w:r w:rsidR="00886F93" w:rsidRPr="00444A13">
        <w:rPr>
          <w:lang w:val="en-GB"/>
        </w:rPr>
        <w:t xml:space="preserve">More recently, Visser et al. </w:t>
      </w:r>
      <w:r w:rsidR="004F1A24" w:rsidRPr="00444A13">
        <w:rPr>
          <w:lang w:val="en-GB"/>
        </w:rPr>
        <w:fldChar w:fldCharType="begin" w:fldLock="1"/>
      </w:r>
      <w:r w:rsidR="00E11C2E" w:rsidRPr="00444A13">
        <w:rPr>
          <w:lang w:val="en-GB"/>
        </w:rPr>
        <w:instrText>ADDIN CSL_CITATION {"citationItems":[{"id":"ITEM-1","itemData":{"DOI":"10.1002/2013WR014012","ISBN":"1944-7973","ISSN":"00431397","abstract":"Groundwater age is a key aspect of production well vulnerability. Public drinking water supply wells typically have long screens and are expected to produce a mixture of groundwater ages. The groundwater age distributions of seven production wells of the Holten well field (Netherlands) were estimated from tritium-helium (3H/3He), krypton-85 (85Kr), and argon-39 (39Ar), using a new application of a discrete age distribution model and existing mathematical models, by minimizing the uncertainty-weighted squared differences of modeled and measured tracer concentrations. The observed tracer concentrations fitted well to a 4-bin discrete age distribution model or a dispersion model with a fraction of old groundwater. Our results show that more than 75% of the water pumped by four shallow production wells has a groundwater age of less than 20 years and these wells are very vulnerable to recent surface contamination. More than 50% of the water pumped by three deep production wells is older than 60 years. 3H/3He samples from short screened monitoring wells surrounding the well field constrained the age stratification in the aquifer. The discrepancy between the age stratification with depth and the groundwater age distribution of the production wells showed that the well field preferentially pumps from the shallow part of the aquifer. The discrete groundwater age distribution model appears to be a suitable approach in settings where the shape of the age distribution cannot be assumed to follow a simple mathematical model, such as a production well field where wells compete for capture area.","author":[{"dropping-particle":"","family":"Visser","given":"Ate","non-dropping-particle":"","parse-names":false,"suffix":""},{"dropping-particle":"","family":"Broers","given":"Hans Peter","non-dropping-particle":"","parse-names":false,"suffix":""},{"dropping-particle":"","family":"Purtschert","given":"Roland","non-dropping-particle":"","parse-names":false,"suffix":""},{"dropping-particle":"","family":"Sültenfuß","given":"Jürgen","non-dropping-particle":"","parse-names":false,"suffix":""},{"dropping-particle":"","family":"Jonge","given":"Martin","non-dropping-particle":"de","parse-names":false,"suffix":""}],"container-title":"Water Resources Research","id":"ITEM-1","issue":"11","issued":{"date-parts":[["2013","11"]]},"page":"7778-7796","title":"Groundwater age distributions at a public drinking water supply well field derived from multiple age tracers (&lt;sup&gt;85&lt;/sup&gt;Kr, &lt;sup&gt;3&lt;/sup&gt;H/&lt;sup&gt;3&lt;/sup&gt;He, and &lt;sup&gt;39&lt;/sup&gt;Ar)","type":"article-journal","volume":"49"},"uris":["http://www.mendeley.com/documents/?uuid=69f51588-f06d-463e-92ec-1bc1d5bab382"]}],"mendeley":{"formattedCitation":"(Visser et al., 2013)","manualFormatting":"(2013)","plainTextFormattedCitation":"(Visser et al., 2013)","previouslyFormattedCitation":"(Visser et al., 2013)"},"properties":{"noteIndex":0},"schema":"https://github.com/citation-style-language/schema/raw/master/csl-citation.json"}</w:instrText>
      </w:r>
      <w:r w:rsidR="004F1A24" w:rsidRPr="00444A13">
        <w:rPr>
          <w:lang w:val="en-GB"/>
        </w:rPr>
        <w:fldChar w:fldCharType="separate"/>
      </w:r>
      <w:r w:rsidR="006266DD" w:rsidRPr="00444A13">
        <w:rPr>
          <w:noProof/>
          <w:lang w:val="en-GB"/>
        </w:rPr>
        <w:t>(</w:t>
      </w:r>
      <w:r w:rsidR="00D5177D" w:rsidRPr="00444A13">
        <w:rPr>
          <w:noProof/>
          <w:lang w:val="en-GB"/>
        </w:rPr>
        <w:t>2013)</w:t>
      </w:r>
      <w:r w:rsidR="004F1A24" w:rsidRPr="00444A13">
        <w:rPr>
          <w:lang w:val="en-GB"/>
        </w:rPr>
        <w:fldChar w:fldCharType="end"/>
      </w:r>
      <w:r w:rsidR="00886F93" w:rsidRPr="00444A13">
        <w:rPr>
          <w:lang w:val="en-GB"/>
        </w:rPr>
        <w:t xml:space="preserve"> have develop</w:t>
      </w:r>
      <w:r w:rsidR="00D3622C" w:rsidRPr="00444A13">
        <w:rPr>
          <w:lang w:val="en-GB"/>
        </w:rPr>
        <w:t>ed</w:t>
      </w:r>
      <w:r w:rsidR="00886F93" w:rsidRPr="00444A13">
        <w:rPr>
          <w:lang w:val="en-GB"/>
        </w:rPr>
        <w:t xml:space="preserve"> mixing models based on the discretization of groundwater age distribution</w:t>
      </w:r>
      <w:r w:rsidR="00D3622C" w:rsidRPr="00444A13">
        <w:rPr>
          <w:lang w:val="en-GB"/>
        </w:rPr>
        <w:t>.</w:t>
      </w:r>
      <w:r w:rsidR="00886F93" w:rsidRPr="00444A13">
        <w:rPr>
          <w:lang w:val="en-GB"/>
        </w:rPr>
        <w:t xml:space="preserve"> </w:t>
      </w:r>
      <w:r w:rsidR="007051D1" w:rsidRPr="00444A13">
        <w:rPr>
          <w:lang w:val="en-GB"/>
        </w:rPr>
        <w:t xml:space="preserve">That means that </w:t>
      </w:r>
      <w:r w:rsidR="000801F1" w:rsidRPr="00444A13">
        <w:rPr>
          <w:lang w:val="en-GB"/>
        </w:rPr>
        <w:t xml:space="preserve">natural </w:t>
      </w:r>
      <w:r w:rsidR="007051D1" w:rsidRPr="00444A13">
        <w:rPr>
          <w:lang w:val="en-GB"/>
        </w:rPr>
        <w:t xml:space="preserve">tracer data </w:t>
      </w:r>
      <w:r w:rsidR="00D3622C" w:rsidRPr="00444A13">
        <w:rPr>
          <w:lang w:val="en-GB"/>
        </w:rPr>
        <w:t xml:space="preserve">are </w:t>
      </w:r>
      <w:r w:rsidR="007051D1" w:rsidRPr="00444A13">
        <w:rPr>
          <w:lang w:val="en-GB"/>
        </w:rPr>
        <w:t xml:space="preserve">used to calculate the contribution </w:t>
      </w:r>
      <w:r w:rsidR="004F1A24" w:rsidRPr="00444A13">
        <w:rPr>
          <w:lang w:val="en-GB"/>
        </w:rPr>
        <w:t xml:space="preserve">(i.e. percentage) </w:t>
      </w:r>
      <w:r w:rsidR="00261D9A" w:rsidRPr="00444A13">
        <w:rPr>
          <w:lang w:val="en-GB"/>
        </w:rPr>
        <w:t xml:space="preserve">of a given age range </w:t>
      </w:r>
      <w:r w:rsidR="000801F1" w:rsidRPr="00444A13">
        <w:rPr>
          <w:lang w:val="en-GB"/>
        </w:rPr>
        <w:t>to the sample</w:t>
      </w:r>
      <w:r w:rsidR="00261D9A" w:rsidRPr="00444A13">
        <w:rPr>
          <w:lang w:val="en-GB"/>
        </w:rPr>
        <w:t xml:space="preserve"> as a</w:t>
      </w:r>
      <w:r w:rsidR="000801F1" w:rsidRPr="00444A13">
        <w:rPr>
          <w:lang w:val="en-GB"/>
        </w:rPr>
        <w:t xml:space="preserve"> </w:t>
      </w:r>
      <w:r w:rsidR="00444A13" w:rsidRPr="00444A13">
        <w:rPr>
          <w:lang w:val="en-GB"/>
        </w:rPr>
        <w:t xml:space="preserve">whole. </w:t>
      </w:r>
      <w:r w:rsidR="00CA5857" w:rsidRPr="00444A13">
        <w:rPr>
          <w:lang w:val="en-GB"/>
        </w:rPr>
        <w:t xml:space="preserve">The application of </w:t>
      </w:r>
      <w:r w:rsidR="00D3622C" w:rsidRPr="00444A13">
        <w:rPr>
          <w:lang w:val="en-GB"/>
        </w:rPr>
        <w:t xml:space="preserve">this </w:t>
      </w:r>
      <w:r w:rsidR="00CA5857" w:rsidRPr="00444A13">
        <w:rPr>
          <w:lang w:val="en-GB"/>
        </w:rPr>
        <w:t>kind of models is simpler and it does not require the estimat</w:t>
      </w:r>
      <w:r w:rsidR="000801F1" w:rsidRPr="00444A13">
        <w:rPr>
          <w:lang w:val="en-GB"/>
        </w:rPr>
        <w:t>ion of any hydraulic parameter.</w:t>
      </w:r>
    </w:p>
    <w:p w14:paraId="377C1621" w14:textId="78A298B6" w:rsidR="00836BBC" w:rsidRPr="00194419" w:rsidRDefault="003E52CB" w:rsidP="008A3630">
      <w:pPr>
        <w:spacing w:line="480" w:lineRule="auto"/>
      </w:pPr>
      <w:r w:rsidRPr="00194419">
        <w:t>On the other hand, the transport of environmental tracer is not ideal since they can be affected by physical (dispersion, gas exchange, dilution, decay) and chemical (degradation, exchange</w:t>
      </w:r>
      <w:r w:rsidR="00C02461" w:rsidRPr="00194419">
        <w:t xml:space="preserve"> with unknown reservoirs</w:t>
      </w:r>
      <w:r w:rsidRPr="00194419">
        <w:t>) processes that may modify their concentration and</w:t>
      </w:r>
      <w:r w:rsidR="00B2163E" w:rsidRPr="00194419">
        <w:t xml:space="preserve">, therefore, </w:t>
      </w:r>
      <w:r w:rsidRPr="00194419">
        <w:t xml:space="preserve"> they</w:t>
      </w:r>
      <w:r w:rsidR="00B2163E" w:rsidRPr="00194419">
        <w:t xml:space="preserve"> </w:t>
      </w:r>
      <w:r w:rsidRPr="00194419">
        <w:t xml:space="preserve">produce a bias in their apparent ages </w:t>
      </w:r>
      <w:r w:rsidRPr="00194419">
        <w:fldChar w:fldCharType="begin" w:fldLock="1"/>
      </w:r>
      <w:r w:rsidRPr="00194419">
        <w:instrText>ADDIN CSL_CITATION {"citationItems":[{"id":"ITEM-1","itemData":{"DOI":"10.1016/S0022-1694(96)03051-X","ISBN":"0022-1694","ISSN":"00221694","abstract":"Chlorofluorocarbons, 3H/3He and 85Kr are tracers of atmospheric origin that can be used to date groundwater over periods from 0 to 40 years. In suitable aquifers, measured groundwater ages can he used to estimate groundwater flow paths, and vertical and horizontal flow velocities. In simple, piston flow systems they can be used to estimate groundwater recharge rates with an accuracy of 20% or less, better than can be achieved with traditional hydraulic-based methods. Groundwater dating methods have also been used to reconstruct past releases of contaminants to aquifers.","author":[{"dropping-particle":"","family":"Cook","given":"P. G.","non-dropping-particle":"","parse-names":false,"suffix":""},{"dropping-particle":"","family":"Solomon","given":"D. K.","non-dropping-particle":"","parse-names":false,"suffix":""}],"container-title":"Journal of Hydrology","id":"ITEM-1","issue":"1-4","issued":{"date-parts":[["1997"]]},"page":"245-265","title":"Recent advances in dating young groundwater: Chlorofluorocarbons, 3H/3He and 85Kr","type":"article-journal","volume":"191"},"uris":["http://www.mendeley.com/documents/?uuid=7651275d-259f-4e02-816d-cb8db84e50a0"]},{"id":"ITEM-2","itemData":{"ISBN":"92–0–1000805–8","author":[{"dropping-particle":"","family":"IAEA","given":"","non-dropping-particle":"","parse-names":false,"suffix":""}],"container-title":"International Atomic Energy Agency","id":"ITEM-2","issued":{"date-parts":[["2006"]]},"number-of-pages":"277","publisher":"International Atomic Energy Agency","publisher-place":"Vienna","title":"Use of Chlorofluorocarbons in Hydrology: a guidebook","type":"book"},"uris":["http://www.mendeley.com/documents/?uuid=dd336da0-f2c1-4e60-bbee-79680a62762b"]}],"mendeley":{"formattedCitation":"(Cook and Solomon, 1997; IAEA, 2006)","plainTextFormattedCitation":"(Cook and Solomon, 1997; IAEA, 2006)","previouslyFormattedCitation":"(Cook and Solomon, 1997; IAEA, 2006)"},"properties":{"noteIndex":0},"schema":"https://github.com/citation-style-language/schema/raw/master/csl-citation.json"}</w:instrText>
      </w:r>
      <w:r w:rsidRPr="00194419">
        <w:fldChar w:fldCharType="separate"/>
      </w:r>
      <w:r w:rsidRPr="00194419">
        <w:rPr>
          <w:noProof/>
        </w:rPr>
        <w:t>(Cook and Solomon, 1997; IAEA, 2006)</w:t>
      </w:r>
      <w:r w:rsidRPr="00194419">
        <w:fldChar w:fldCharType="end"/>
      </w:r>
      <w:r w:rsidRPr="00194419">
        <w:t xml:space="preserve">. </w:t>
      </w:r>
      <w:r w:rsidR="00BE64D2" w:rsidRPr="00194419">
        <w:lastRenderedPageBreak/>
        <w:t>D</w:t>
      </w:r>
      <w:r w:rsidR="00836BBC" w:rsidRPr="00194419">
        <w:t xml:space="preserve">egassing can substantially change the concentration of gas </w:t>
      </w:r>
      <w:r w:rsidR="00BE64D2" w:rsidRPr="00194419">
        <w:t>in groundwater, particularly in karst aquifer</w:t>
      </w:r>
      <w:r w:rsidR="00D3622C" w:rsidRPr="00194419">
        <w:t>s</w:t>
      </w:r>
      <w:r w:rsidR="00444A13">
        <w:t xml:space="preserve"> </w:t>
      </w:r>
      <w:r w:rsidR="00836BBC" w:rsidRPr="00194419">
        <w:fldChar w:fldCharType="begin" w:fldLock="1"/>
      </w:r>
      <w:r w:rsidR="00C33D1B" w:rsidRPr="00194419">
        <w:instrText>ADDIN CSL_CITATION {"citationItems":[{"id":"ITEM-1","itemData":{"DOI":"10.1016/j.apgeochem.2014.01.011","ISBN":"0883-2927","ISSN":"18729134","abstract":"Karst aquifers are known for their wide distribution of water transfer velocities. From this observation, a multiple geochemical tracer approach seems to be particularly well suited to provide a significant assessment of groundwater flows, but the choice of adapted tracers is essential. In this study, several common tracers in karst aquifers such as physicochemical parameters, major ions, stable isotopes, and δ13C to more specific tracers such as dating tracers - 14C, 3H, 3H-3He, CFC-12, SF6 and 85Kr, and 39Ar - were used, in a fractured karstic carbonated aquifer located in Burgundy (France). The information carried by each tracer and the best sampling strategy are compared on the basis of geochemical monitoring done during several recharge events and over longer time periods (months to years).This study's results demonstrate that at the seasonal and recharge event time scale, the variability of concentrations is low for most tracers due to the broad spectrum of groundwater mixings. The tracers used traditionally for the study of karst aquifers, i.e., physicochemical parameters and major ions, efficiently describe hydrological processes such as the direct and differed recharge, but require being monitored at short time steps during recharge events to be maximized. From stable isotopes, tritium, and Cl- contents, the proportion of the fast direct recharge by the largest porosity was estimated using a binary mixing model. The use of tracers such as CFC-12, SF6, and 85Kr in karst aquifers provides additional information, notably an estimation of apparent age, but they require good preliminary knowledge of the karst system to interpret the results suitably. The CFC-12 and SF6 methods efficiently determine the apparent age of baseflow, but it is preferable to sample the groundwater during the recharge event. Furthermore, these methods are based on different assumptions such as regional enrichment in atmospheric SF6, excess air, and flow models among others. 85Kr and 39Ar concentrations can potentially provide a more direct estimation of groundwater residence time. Conversely, the 3H-3He method is inefficient in the karst aquifer for dating due to 3He degassing.","author":[{"dropping-particle":"","family":"Delbart","given":"C.","non-dropping-particle":"","parse-names":false,"suffix":""},{"dropping-particle":"","family":"Barbecot","given":"F.","non-dropping-particle":"","parse-names":false,"suffix":""},{"dropping-particle":"","family":"Valdes","given":"D.","non-dropping-particle":"","parse-names":false,"suffix":""},{"dropping-particle":"","family":"Tognelli","given":"A.","non-dropping-particle":"","parse-names":false,"suffix":""},{"dropping-particle":"","family":"Fourre","given":"E.","non-dropping-particle":"","parse-names":false,"suffix":""},{"dropping-particle":"","family":"Purtschert","given":"R.","non-dropping-particle":"","parse-names":false,"suffix":""},{"dropping-particle":"","family":"Couchoux","given":"L.","non-dropping-particle":"","parse-names":false,"suffix":""},{"dropping-particle":"","family":"Jean-Baptiste","given":"P.","non-dropping-particle":"","parse-names":false,"suffix":""}],"container-title":"Applied Geochemistry","id":"ITEM-1","issued":{"date-parts":[["2014"]]},"page":"164-176","publisher":"Elsevier Ltd","title":"Investigation of young water inflow in karst aquifers using SF&lt;sub&gt;6&lt;/sub&gt;-CFC-&lt;sup&gt;3&lt;/sup&gt;H/He-&lt;sup&gt;85&lt;/sup&gt;Kr-&lt;sup&gt;39&lt;/sup&gt;Ar and stable isotope components","type":"article-journal","volume":"50"},"uris":["http://www.mendeley.com/documents/?uuid=2c06bc4e-9490-4e5f-b12c-623527abae18"]}],"mendeley":{"formattedCitation":"(Delbart et al., 2014)","plainTextFormattedCitation":"(Delbart et al., 2014)","previouslyFormattedCitation":"(Delbart et al., 2014)"},"properties":{"noteIndex":0},"schema":"https://github.com/citation-style-language/schema/raw/master/csl-citation.json"}</w:instrText>
      </w:r>
      <w:r w:rsidR="00836BBC" w:rsidRPr="00194419">
        <w:fldChar w:fldCharType="separate"/>
      </w:r>
      <w:r w:rsidR="00D5177D" w:rsidRPr="00194419">
        <w:rPr>
          <w:noProof/>
        </w:rPr>
        <w:t>(Delbart et al., 2014)</w:t>
      </w:r>
      <w:r w:rsidR="00836BBC" w:rsidRPr="00194419">
        <w:fldChar w:fldCharType="end"/>
      </w:r>
      <w:r w:rsidR="003C50F3" w:rsidRPr="00194419">
        <w:t xml:space="preserve">, where gases could possibly exchange with air in the </w:t>
      </w:r>
      <w:r w:rsidR="003C50F3">
        <w:t>conduit network</w:t>
      </w:r>
      <w:r w:rsidR="003C50F3" w:rsidRPr="00194419">
        <w:t xml:space="preserve"> (of unknown composition</w:t>
      </w:r>
      <w:r w:rsidR="003C50F3">
        <w:t>)</w:t>
      </w:r>
      <w:r w:rsidR="00836BBC" w:rsidRPr="00194419">
        <w:t>.</w:t>
      </w:r>
      <w:r w:rsidR="00BE64D2" w:rsidRPr="00194419">
        <w:t xml:space="preserve"> As salinity changes the gas solubilities, this in additiona</w:t>
      </w:r>
      <w:r w:rsidR="00D3622C" w:rsidRPr="00194419">
        <w:t>l</w:t>
      </w:r>
      <w:r w:rsidR="00BE64D2" w:rsidRPr="00194419">
        <w:t xml:space="preserve"> factor for uncertainty to take into account when groundwater is brine</w:t>
      </w:r>
      <w:r w:rsidR="00D5177D" w:rsidRPr="00194419">
        <w:t xml:space="preserve"> </w:t>
      </w:r>
      <w:r w:rsidR="00D5177D" w:rsidRPr="00194419">
        <w:fldChar w:fldCharType="begin" w:fldLock="1"/>
      </w:r>
      <w:r w:rsidR="00941999" w:rsidRPr="00194419">
        <w:instrText xml:space="preserve">ADDIN CSL_CITATION {"citationItems":[{"id":"ITEM-1","itemData":{"DOI":"10.1016/j.gca.2017.01.033","ISSN":"00167037","abstract":"Analyses for81Kr and noble gases on groundwater from the deepest aquifer system of the Baltic Artesian Basin (BAB) were performed to determine groundwater ages and uncover the flow dynamics of the system on a timescale of several hundred thousand years. We find that the system is controlled by mixing of three distinct water masses: Interglacial or recent meteoric water (δ18O ≈ −10.4‰) with a poorly evolved chemical and noble gas signature, glacial meltwater (δ18O </w:instrText>
      </w:r>
      <w:r w:rsidR="00941999" w:rsidRPr="00194419">
        <w:rPr>
          <w:rFonts w:ascii="Cambria Math" w:hAnsi="Cambria Math" w:cs="Cambria Math"/>
        </w:rPr>
        <w:instrText>⩽</w:instrText>
      </w:r>
      <w:r w:rsidR="00941999" w:rsidRPr="00194419">
        <w:instrText xml:space="preserve"> −18‰) with elevated noble gas concentrations, and an old, high-salinity brine component (δ18O </w:instrText>
      </w:r>
      <w:r w:rsidR="00941999" w:rsidRPr="00194419">
        <w:rPr>
          <w:rFonts w:ascii="Cambria Math" w:hAnsi="Cambria Math" w:cs="Cambria Math"/>
        </w:rPr>
        <w:instrText>⩾</w:instrText>
      </w:r>
      <w:r w:rsidR="00941999" w:rsidRPr="00194419">
        <w:instrText xml:space="preserve"> −4.5‰, </w:instrText>
      </w:r>
      <w:r w:rsidR="00941999" w:rsidRPr="00194419">
        <w:rPr>
          <w:rFonts w:ascii="Cambria Math" w:hAnsi="Cambria Math" w:cs="Cambria Math"/>
        </w:rPr>
        <w:instrText>⩾</w:instrText>
      </w:r>
      <w:r w:rsidR="00941999" w:rsidRPr="00194419">
        <w:instrText xml:space="preserve"> 90 g Cl−/L) with strongly depleted atmospheric noble gas concentrations. The81Kr measurements are interpreted within this mixing framework to estimate the age of the end-members. Deconvoluted81Kr ages range from 300 ka to 1.3 Ma for interglacial or recent meteoric water and glacial meltwater. For the brine component, ages exceed the dating range of the ATTA-3 instrument of 1.3 Ma. The radiogenic noble gas components4He</w:instrText>
      </w:r>
      <w:r w:rsidR="00941999" w:rsidRPr="00194419">
        <w:rPr>
          <w:rFonts w:ascii="Cambria Math" w:hAnsi="Cambria Math" w:cs="Cambria Math"/>
        </w:rPr>
        <w:instrText>∗</w:instrText>
      </w:r>
      <w:r w:rsidR="00941999" w:rsidRPr="00194419">
        <w:instrText>and40Ar</w:instrText>
      </w:r>
      <w:r w:rsidR="00941999" w:rsidRPr="00194419">
        <w:rPr>
          <w:rFonts w:ascii="Cambria Math" w:hAnsi="Cambria Math" w:cs="Cambria Math"/>
        </w:rPr>
        <w:instrText>∗</w:instrText>
      </w:r>
      <w:r w:rsidR="00941999" w:rsidRPr="00194419">
        <w:instrText>are less conclusive but also support an age of &gt; 1 Ma for the brine. Based on the chemical and noble gas concentrations and the dating results, we conclude that the brine originates from evaporated seawater that has been modified by later water–rock interaction. As the obtained tracer ages cover several glacial cycles, we discuss the impact of the glacial cycles on flow patterns in the studied aquifer system.","author":[{"dropping-particle":"","family":"Gerber","given":"Christoph","non-dropping-particle":"","parse-names":false,"suffix":""},{"dropping-particle":"","family":"Vaikmäe","given":"Rein","non-dropping-particle":"","parse-names":false,"suffix":""},{"dropping-particle":"","family":"Aeschbach","given":"Werner","non-dropping-particle":"","parse-names":false,"suffix":""},{"dropping-particle":"","family":"Babre","given":"Alise","non-dropping-particle":"","parse-names":false,"suffix":""},{"dropping-particle":"","family":"Jiang","given":"Wei","non-dropping-particle":"","parse-names":false,"suffix":""},{"dropping-particle":"","family":"Leuenberger","given":"Markus","non-dropping-particle":"","parse-names":false,"suffix":""},{"dropping-particle":"","family":"Lu","given":"Zheng Tian","non-dropping-particle":"","parse-names":false,"suffix":""},{"dropping-particle":"","family":"Mokrik","given":"Robert","non-dropping-particle":"","parse-names":false,"suffix":""},{"dropping-particle":"","family":"Müller","given":"Peter","non-dropping-particle":"","parse-names":false,"suffix":""},{"dropping-particle":"","family":"Raidla","given":"Valle","non-dropping-particle":"","parse-names":false,"suffix":""},{"dropping-particle":"","family":"Saks","given":"Tomas","non-dropping-particle":"","parse-names":false,"suffix":""},{"dropping-particle":"","family":"Waber","given":"H. Niklaus","non-dropping-particle":"","parse-names":false,"suffix":""},{"dropping-particle":"","family":"Weissbach","given":"Therese","non-dropping-particle":"","parse-names":false,"suffix":""},{"dropping-particle":"","family":"Zappala","given":"Jake C.","non-dropping-particle":"","parse-names":false,"suffix":""},{"dropping-particle":"","family":"Purtschert","given":"Roland","non-dropping-particle":"","parse-names":false,"suffix":""}],"container-title":"Geochimica et Cosmochimica Acta","id":"ITEM-1","issued":{"date-parts":[["2017"]]},"page":"187-210","title":"Using &lt;sup&gt;81&lt;/sup&gt;Kr and noble gases to characterize and date groundwater and brines in the Baltic Artesian Basin on the one-million-year timescale","type":"article-journal","volume":"205"},"uris":["http://www.mendeley.com/documents/?uuid=d337e2a4-0c8f-4eb6-8ddb-58cf8d260fb4"]}],"mendeley":{"formattedCitation":"(Gerber et al., 2017)","plainTextFormattedCitation":"(Gerber et al., 2017)","previouslyFormattedCitation":"(Gerber et al., 2017)"},"properties":{"noteIndex":0},"schema":"https://github.com/citation-style-language/schema/raw/master/csl-citation.json"}</w:instrText>
      </w:r>
      <w:r w:rsidR="00D5177D" w:rsidRPr="00194419">
        <w:fldChar w:fldCharType="separate"/>
      </w:r>
      <w:r w:rsidR="00D5177D" w:rsidRPr="00194419">
        <w:rPr>
          <w:noProof/>
        </w:rPr>
        <w:t>(Gerber et al., 2017)</w:t>
      </w:r>
      <w:r w:rsidR="00D5177D" w:rsidRPr="00194419">
        <w:fldChar w:fldCharType="end"/>
      </w:r>
      <w:r w:rsidR="00BE64D2" w:rsidRPr="00194419">
        <w:t>.</w:t>
      </w:r>
      <w:r w:rsidR="00836BBC" w:rsidRPr="00194419">
        <w:t xml:space="preserve"> In </w:t>
      </w:r>
      <w:r w:rsidR="00BE64D2" w:rsidRPr="00194419">
        <w:t xml:space="preserve">both </w:t>
      </w:r>
      <w:r w:rsidR="00836BBC" w:rsidRPr="00194419">
        <w:t xml:space="preserve">cases, </w:t>
      </w:r>
      <w:r w:rsidR="00B2163E" w:rsidRPr="00194419">
        <w:t>the information derived from environmental tracers</w:t>
      </w:r>
      <w:r w:rsidR="00836BBC" w:rsidRPr="00194419">
        <w:t xml:space="preserve"> must be jointly interpreted with hydrogeochemical information.</w:t>
      </w:r>
    </w:p>
    <w:p w14:paraId="67BECA0A" w14:textId="70684073" w:rsidR="00B2163E" w:rsidRPr="00194419" w:rsidRDefault="00836BBC" w:rsidP="008A3630">
      <w:pPr>
        <w:spacing w:line="480" w:lineRule="auto"/>
      </w:pPr>
      <w:r w:rsidRPr="00194419">
        <w:t xml:space="preserve">The </w:t>
      </w:r>
      <w:r w:rsidR="001E1FA0" w:rsidRPr="00194419">
        <w:t>goal</w:t>
      </w:r>
      <w:r w:rsidRPr="00194419">
        <w:t xml:space="preserve"> of this work is to </w:t>
      </w:r>
      <w:r w:rsidR="000801F1" w:rsidRPr="00194419">
        <w:t xml:space="preserve">test the applicability of the </w:t>
      </w:r>
      <w:r w:rsidR="005930EC" w:rsidRPr="00194419">
        <w:t>combine</w:t>
      </w:r>
      <w:r w:rsidR="008530D6" w:rsidRPr="00194419">
        <w:t>d</w:t>
      </w:r>
      <w:r w:rsidR="000801F1" w:rsidRPr="00194419">
        <w:t xml:space="preserve"> use of</w:t>
      </w:r>
      <w:r w:rsidR="005930EC" w:rsidRPr="00194419">
        <w:t xml:space="preserve"> </w:t>
      </w:r>
      <w:r w:rsidR="00B2163E" w:rsidRPr="00194419">
        <w:t xml:space="preserve">groundwater dating </w:t>
      </w:r>
      <w:r w:rsidR="005930EC" w:rsidRPr="00194419">
        <w:t>(</w:t>
      </w:r>
      <w:r w:rsidR="000801F1" w:rsidRPr="00194419">
        <w:rPr>
          <w:vertAlign w:val="superscript"/>
        </w:rPr>
        <w:t>3</w:t>
      </w:r>
      <w:r w:rsidR="005930EC" w:rsidRPr="00194419">
        <w:t xml:space="preserve">H, </w:t>
      </w:r>
      <w:r w:rsidR="005930EC" w:rsidRPr="00194419">
        <w:rPr>
          <w:vertAlign w:val="superscript"/>
        </w:rPr>
        <w:t>3</w:t>
      </w:r>
      <w:r w:rsidR="005930EC" w:rsidRPr="00194419">
        <w:t xml:space="preserve">He, </w:t>
      </w:r>
      <w:r w:rsidR="000801F1" w:rsidRPr="00194419">
        <w:rPr>
          <w:vertAlign w:val="superscript"/>
        </w:rPr>
        <w:t>4</w:t>
      </w:r>
      <w:r w:rsidR="000801F1" w:rsidRPr="00194419">
        <w:t xml:space="preserve">He, </w:t>
      </w:r>
      <w:r w:rsidR="005930EC" w:rsidRPr="00194419">
        <w:t>CFC-12, SF</w:t>
      </w:r>
      <w:r w:rsidR="005930EC" w:rsidRPr="00194419">
        <w:rPr>
          <w:vertAlign w:val="subscript"/>
        </w:rPr>
        <w:t>6</w:t>
      </w:r>
      <w:r w:rsidR="005930EC" w:rsidRPr="00194419">
        <w:t xml:space="preserve">) </w:t>
      </w:r>
      <w:r w:rsidR="008B01AA" w:rsidRPr="00194419">
        <w:t xml:space="preserve">and hydrochemical tools </w:t>
      </w:r>
      <w:r w:rsidR="005930EC" w:rsidRPr="00194419">
        <w:t>to reach a better understanding of groundwater flow dynamics and residence times in geologically</w:t>
      </w:r>
      <w:r w:rsidR="000801F1" w:rsidRPr="00194419">
        <w:t xml:space="preserve"> complex aquitard formations, with scarce knowledge of their inner structure and</w:t>
      </w:r>
      <w:r w:rsidR="005930EC" w:rsidRPr="00194419">
        <w:t xml:space="preserve"> </w:t>
      </w:r>
      <w:r w:rsidR="000801F1" w:rsidRPr="00194419">
        <w:t xml:space="preserve">the </w:t>
      </w:r>
      <w:r w:rsidR="005930EC" w:rsidRPr="00194419">
        <w:t>hydraulic parameters</w:t>
      </w:r>
      <w:r w:rsidR="008B01AA" w:rsidRPr="00194419">
        <w:t xml:space="preserve"> of the host rock</w:t>
      </w:r>
      <w:r w:rsidR="005930EC" w:rsidRPr="00194419">
        <w:t xml:space="preserve">. </w:t>
      </w:r>
      <w:r w:rsidR="00D3622C" w:rsidRPr="00194419">
        <w:t>T</w:t>
      </w:r>
      <w:r w:rsidR="00185E48" w:rsidRPr="00194419">
        <w:t xml:space="preserve">he applicability of some groundwater dating tools in karst settings and brine groundwater are also discussed. </w:t>
      </w:r>
      <w:r w:rsidR="00B2163E" w:rsidRPr="00194419">
        <w:t xml:space="preserve">As pilot sites, </w:t>
      </w:r>
      <w:r w:rsidR="00185E48" w:rsidRPr="00194419">
        <w:t>four</w:t>
      </w:r>
      <w:r w:rsidR="00B2163E" w:rsidRPr="00194419">
        <w:t xml:space="preserve"> different areas have been selected within the so-called Chaotic Subbetic Complex</w:t>
      </w:r>
      <w:r w:rsidR="006266DD" w:rsidRPr="00194419">
        <w:t xml:space="preserve"> (CSC)</w:t>
      </w:r>
      <w:r w:rsidR="00B2163E" w:rsidRPr="00194419">
        <w:t xml:space="preserve">, an evaporite karst </w:t>
      </w:r>
      <w:r w:rsidR="006266DD" w:rsidRPr="00194419">
        <w:t xml:space="preserve">unit </w:t>
      </w:r>
      <w:r w:rsidR="00B2163E" w:rsidRPr="00194419">
        <w:t xml:space="preserve">in </w:t>
      </w:r>
      <w:r w:rsidR="003C50F3">
        <w:t>southern</w:t>
      </w:r>
      <w:r w:rsidR="00B2163E" w:rsidRPr="00194419">
        <w:t xml:space="preserve"> Spain </w:t>
      </w:r>
      <w:r w:rsidR="00BE64D2" w:rsidRPr="00194419">
        <w:t xml:space="preserve">(Fig. 1A) </w:t>
      </w:r>
      <w:r w:rsidR="00B2163E" w:rsidRPr="00194419">
        <w:t xml:space="preserve">with a predominant aquitard behavior but with significant local </w:t>
      </w:r>
      <w:r w:rsidR="003C50F3">
        <w:t>development</w:t>
      </w:r>
      <w:r w:rsidR="003C50F3" w:rsidRPr="00194419">
        <w:t xml:space="preserve"> </w:t>
      </w:r>
      <w:r w:rsidR="00B2163E" w:rsidRPr="00194419">
        <w:t xml:space="preserve">of second porosity due to karstification. Based on environmental tracer data, Binary </w:t>
      </w:r>
      <w:r w:rsidR="00D5177D" w:rsidRPr="00194419">
        <w:t xml:space="preserve">Mixing </w:t>
      </w:r>
      <w:r w:rsidR="00B2163E" w:rsidRPr="00194419">
        <w:t xml:space="preserve">and </w:t>
      </w:r>
      <w:r w:rsidR="00D5177D" w:rsidRPr="00194419">
        <w:t>Free</w:t>
      </w:r>
      <w:r w:rsidR="00B2163E" w:rsidRPr="00194419">
        <w:t>-</w:t>
      </w:r>
      <w:r w:rsidR="00D5177D" w:rsidRPr="00194419">
        <w:t xml:space="preserve">Shape Models </w:t>
      </w:r>
      <w:r w:rsidR="00B2163E" w:rsidRPr="00194419">
        <w:t>have been created</w:t>
      </w:r>
      <w:r w:rsidR="00791AE9">
        <w:t xml:space="preserve"> as well as some Lumped Parameter Models. </w:t>
      </w:r>
      <w:r w:rsidR="00B2163E" w:rsidRPr="00194419">
        <w:t xml:space="preserve"> </w:t>
      </w:r>
      <w:r w:rsidR="00791AE9">
        <w:t>S</w:t>
      </w:r>
      <w:r w:rsidR="00B2163E" w:rsidRPr="00194419">
        <w:t xml:space="preserve">ome </w:t>
      </w:r>
      <w:r w:rsidR="00DE41D3" w:rsidRPr="00194419">
        <w:t xml:space="preserve">describing </w:t>
      </w:r>
      <w:r w:rsidR="00B2163E" w:rsidRPr="00194419">
        <w:t xml:space="preserve">parameters derived from them have been proposed to </w:t>
      </w:r>
      <w:r w:rsidR="00DE41D3" w:rsidRPr="00194419">
        <w:t>investigate the age distribution of the springs draining the studied system</w:t>
      </w:r>
      <w:r w:rsidR="00791AE9">
        <w:t>, particularly the median groundwater age (GA</w:t>
      </w:r>
      <w:r w:rsidR="00791AE9" w:rsidRPr="00444A13">
        <w:rPr>
          <w:vertAlign w:val="subscript"/>
        </w:rPr>
        <w:t>50</w:t>
      </w:r>
      <w:r w:rsidR="00791AE9">
        <w:t>) and the percentage of old groundwater (&gt;70%)</w:t>
      </w:r>
      <w:r w:rsidR="00DE41D3" w:rsidRPr="00194419">
        <w:t xml:space="preserve">. The results derived from environmental tracers, jointly analyzed with hydrochemical data, has confirmed a theoretical hydrogeological conceptual model previously proposed </w:t>
      </w:r>
      <w:r w:rsidR="008530D6" w:rsidRPr="00194419">
        <w:t xml:space="preserve">for the </w:t>
      </w:r>
      <w:r w:rsidR="006266DD" w:rsidRPr="00194419">
        <w:t>CSC</w:t>
      </w:r>
      <w:r w:rsidR="008530D6" w:rsidRPr="00194419">
        <w:t xml:space="preserve"> </w:t>
      </w:r>
      <w:r w:rsidR="008530D6" w:rsidRPr="00194419">
        <w:fldChar w:fldCharType="begin" w:fldLock="1"/>
      </w:r>
      <w:r w:rsidR="00867A3A" w:rsidRPr="00194419">
        <w:instrText>ADDIN CSL_CITATION {"citationItems":[{"id":"ITEM-1","itemData":{"DOI":"10.1007/s12665-016-5545-1","abstract":"© 2016, Springer-Verlag Berlin Heidelberg. The northern sector of the External Zone of the Betic Cordillera (S Spain) is formed by an olistostrome unit known as the Chaotic Subbetic Complexes (CSC). This megabreccia is basically made of clays and evaporite rocks (gypsum and salt) of Upper Triassic (Keuper) age as well as other lithologies (dolostones, limestones, marls and calcareous sandstones) belonging to different ages (Jurassic, Cretaceous and Tertiary). Despite of low permeability has been traditionally assumed for these materials, water flow and storage through them is possible due to the aquitard behavior of clays and sandstones and the presence of conduits generated by dissolution/karstification processes within the evaporite rocks. The lithological complexity of the CSC determines its hydrogeological heterogeneity, with groundwater flows of different length and various scales from recharge areas to discharge zones. Thus, wetlands and springs placed at lower altitudes are associated with large (regional) groundwater flows, of greater residence time within the aquifer, and they normally drain high salinity waters mostly connected with ascending flow. This work provides an overview of the main geological and hydrogeological aspects related to groundwater flow within the CSC on the basis of several case-studies. Conceptual models are proposed for these cases, since they are the base to carry out a genetic-functional classification of wetlands potentially useful for their management.","author":[{"dropping-particle":"","family":"Andreo","given":"Bartolomé","non-dropping-particle":"","parse-names":false,"suffix":""},{"dropping-particle":"","family":"Gil-Márquez","given":"José Manuel","non-dropping-particle":"","parse-names":false,"suffix":""},{"dropping-particle":"","family":"Mudarra","given":"Matías","non-dropping-particle":"","parse-names":false,"suffix":""},{"dropping-particle":"","family":"Linares","given":"Luis","non-dropping-particle":"","parse-names":false,"suffix":""},{"dropping-particle":"","family":"Carrasco","given":"Francisco","non-dropping-particle":"","parse-names":false,"suffix":""}],"container-title":"Environmental Earth Sciences","id":"ITEM-1","issue":"9","issued":{"date-parts":[["2016"]]},"page":"1-19","title":"Hypothesis on the hydrogeological context of wetland areas and springs related to evaporitic karst aquifers (Málaga, Córdoba and Jaén provinces, Southern Spain)","type":"article-journal","volume":"75"},"uris":["http://www.mendeley.com/documents/?uuid=de2b44fe-b64d-31c9-9255-128364900901"]}],"mendeley":{"formattedCitation":"(Andreo et al., 2016)","plainTextFormattedCitation":"(Andreo et al., 2016)","previouslyFormattedCitation":"(Andreo et al., 2016)"},"properties":{"noteIndex":0},"schema":"https://github.com/citation-style-language/schema/raw/master/csl-citation.json"}</w:instrText>
      </w:r>
      <w:r w:rsidR="008530D6" w:rsidRPr="00194419">
        <w:fldChar w:fldCharType="separate"/>
      </w:r>
      <w:r w:rsidR="008530D6" w:rsidRPr="00194419">
        <w:rPr>
          <w:noProof/>
        </w:rPr>
        <w:t>(Andreo et al., 2016)</w:t>
      </w:r>
      <w:r w:rsidR="008530D6" w:rsidRPr="00194419">
        <w:fldChar w:fldCharType="end"/>
      </w:r>
      <w:r w:rsidR="008530D6" w:rsidRPr="00194419">
        <w:t xml:space="preserve">, which </w:t>
      </w:r>
      <w:r w:rsidR="00D3622C" w:rsidRPr="00194419">
        <w:t xml:space="preserve">has </w:t>
      </w:r>
      <w:r w:rsidR="008530D6" w:rsidRPr="00194419">
        <w:t>prove</w:t>
      </w:r>
      <w:r w:rsidR="00D3622C" w:rsidRPr="00194419">
        <w:t>d</w:t>
      </w:r>
      <w:r w:rsidR="008530D6" w:rsidRPr="00194419">
        <w:t xml:space="preserve"> the </w:t>
      </w:r>
      <w:r w:rsidR="008B01AA" w:rsidRPr="00194419">
        <w:t>usefulness</w:t>
      </w:r>
      <w:r w:rsidR="008530D6" w:rsidRPr="00194419">
        <w:t xml:space="preserve"> of the multiapproach </w:t>
      </w:r>
      <w:r w:rsidR="008B01AA" w:rsidRPr="00194419">
        <w:t>considered</w:t>
      </w:r>
      <w:r w:rsidR="003C50F3">
        <w:t xml:space="preserve"> here</w:t>
      </w:r>
      <w:r w:rsidR="008530D6" w:rsidRPr="00194419">
        <w:t>.</w:t>
      </w:r>
      <w:r w:rsidR="00185E48" w:rsidRPr="00194419">
        <w:t xml:space="preserve"> Additionally,</w:t>
      </w:r>
      <w:r w:rsidR="008530D6" w:rsidRPr="00194419">
        <w:t xml:space="preserve"> some </w:t>
      </w:r>
      <w:r w:rsidR="008B01AA" w:rsidRPr="00194419">
        <w:lastRenderedPageBreak/>
        <w:t xml:space="preserve">practical </w:t>
      </w:r>
      <w:r w:rsidR="006B6BF8" w:rsidRPr="00194419">
        <w:t>recommendations</w:t>
      </w:r>
      <w:r w:rsidR="008B01AA" w:rsidRPr="00194419">
        <w:t xml:space="preserve"> </w:t>
      </w:r>
      <w:r w:rsidR="001E1FA0" w:rsidRPr="00194419">
        <w:t>deal</w:t>
      </w:r>
      <w:r w:rsidR="006B6BF8" w:rsidRPr="00194419">
        <w:t>ing</w:t>
      </w:r>
      <w:r w:rsidR="001E1FA0" w:rsidRPr="00194419">
        <w:t xml:space="preserve"> with</w:t>
      </w:r>
      <w:r w:rsidR="008B01AA" w:rsidRPr="00194419">
        <w:t xml:space="preserve"> degassing are presented </w:t>
      </w:r>
      <w:r w:rsidR="001E1FA0" w:rsidRPr="00194419">
        <w:t xml:space="preserve">with the aim of being helpful </w:t>
      </w:r>
      <w:r w:rsidR="008B01AA" w:rsidRPr="00194419">
        <w:t>in future works</w:t>
      </w:r>
      <w:r w:rsidR="001E1FA0" w:rsidRPr="00194419">
        <w:t xml:space="preserve"> carried out </w:t>
      </w:r>
      <w:r w:rsidR="008B01AA" w:rsidRPr="00194419">
        <w:t>in similar settings worldwide.</w:t>
      </w:r>
    </w:p>
    <w:p w14:paraId="4F3C377A" w14:textId="77777777" w:rsidR="003C3F1F" w:rsidRPr="00194419" w:rsidRDefault="003C3F1F" w:rsidP="008A3630">
      <w:pPr>
        <w:pStyle w:val="Prrafodelista"/>
        <w:keepNext/>
        <w:numPr>
          <w:ilvl w:val="0"/>
          <w:numId w:val="1"/>
        </w:numPr>
        <w:spacing w:line="480" w:lineRule="auto"/>
        <w:ind w:left="357" w:hanging="357"/>
        <w:rPr>
          <w:b/>
        </w:rPr>
      </w:pPr>
      <w:r w:rsidRPr="00194419">
        <w:rPr>
          <w:b/>
        </w:rPr>
        <w:t>GEOGRAPHICAL AND HYDROGEOLOGICAL SETTINGS</w:t>
      </w:r>
    </w:p>
    <w:p w14:paraId="33C87263" w14:textId="6A7D7276" w:rsidR="00C200C4" w:rsidRPr="00194419" w:rsidRDefault="007F3479" w:rsidP="008A3630">
      <w:pPr>
        <w:spacing w:line="480" w:lineRule="auto"/>
      </w:pPr>
      <w:r w:rsidRPr="00194419">
        <w:t xml:space="preserve">The Chaotic Subbetic Complex </w:t>
      </w:r>
      <w:r w:rsidR="005A63C4" w:rsidRPr="00194419">
        <w:fldChar w:fldCharType="begin" w:fldLock="1"/>
      </w:r>
      <w:r w:rsidR="005A63C4" w:rsidRPr="00194419">
        <w:instrText>ADDIN CSL_CITATION {"citationItems":[{"id":"ITEM-1","itemData":{"author":[{"dropping-particle":"","family":"Vera","given":"J.A.","non-dropping-particle":"","parse-names":false,"suffix":""},{"dropping-particle":"","family":"Martín-Algarra","given":"A.","non-dropping-particle":"","parse-names":false,"suffix":""}],"container-title":"Geología de España","editor":[{"dropping-particle":"","family":"Vera","given":"J.A.","non-dropping-particle":"","parse-names":false,"suffix":""}],"id":"ITEM-1","issued":{"date-parts":[["2004"]]},"page":"345-464","publisher":"IGME-SGE","publisher-place":"Madrid","title":"Cordillera Bética","type":"chapter"},"uris":["http://www.mendeley.com/documents/?uuid=1afac446-ac5e-44b2-a857-01ef0ad82c52"]}],"mendeley":{"formattedCitation":"(Vera and Martín-Algarra, 2004)","plainTextFormattedCitation":"(Vera and Martín-Algarra, 2004)","previouslyFormattedCitation":"(Vera and Martín-Algarra, 2004)"},"properties":{"noteIndex":0},"schema":"https://github.com/citation-style-language/schema/raw/master/csl-citation.json"}</w:instrText>
      </w:r>
      <w:r w:rsidR="005A63C4" w:rsidRPr="00194419">
        <w:fldChar w:fldCharType="separate"/>
      </w:r>
      <w:r w:rsidR="005A63C4" w:rsidRPr="00194419">
        <w:rPr>
          <w:noProof/>
        </w:rPr>
        <w:t>(Vera and Martín-Algarra, 2004)</w:t>
      </w:r>
      <w:r w:rsidR="005A63C4" w:rsidRPr="00194419">
        <w:fldChar w:fldCharType="end"/>
      </w:r>
      <w:r w:rsidR="00FF0F0C" w:rsidRPr="00194419">
        <w:t xml:space="preserve"> is a large </w:t>
      </w:r>
      <w:r w:rsidR="00FE293F" w:rsidRPr="00194419">
        <w:t>olistostromic unit</w:t>
      </w:r>
      <w:r w:rsidR="00FF0F0C" w:rsidRPr="00194419">
        <w:t xml:space="preserve"> located in Andalusia (S Spain)</w:t>
      </w:r>
      <w:r w:rsidR="0096505C" w:rsidRPr="00194419">
        <w:t xml:space="preserve"> that </w:t>
      </w:r>
      <w:r w:rsidR="009438F8" w:rsidRPr="00194419">
        <w:t>extends along the southern border of Guadalquivir forelan</w:t>
      </w:r>
      <w:r w:rsidR="0096505C" w:rsidRPr="00194419">
        <w:t>d</w:t>
      </w:r>
      <w:r w:rsidR="009438F8" w:rsidRPr="00194419">
        <w:t xml:space="preserve"> basin</w:t>
      </w:r>
      <w:r w:rsidR="0096505C" w:rsidRPr="00194419">
        <w:t>,</w:t>
      </w:r>
      <w:r w:rsidR="009438F8" w:rsidRPr="00194419">
        <w:t xml:space="preserve"> in a wide</w:t>
      </w:r>
      <w:r w:rsidR="0096505C" w:rsidRPr="00194419">
        <w:t xml:space="preserve"> 300 km-long</w:t>
      </w:r>
      <w:r w:rsidR="009438F8" w:rsidRPr="00194419">
        <w:t xml:space="preserve"> band with SE-NE direction (Fig. 1</w:t>
      </w:r>
      <w:r w:rsidR="0096505C" w:rsidRPr="00194419">
        <w:t>A</w:t>
      </w:r>
      <w:r w:rsidR="009438F8" w:rsidRPr="00194419">
        <w:t>).</w:t>
      </w:r>
      <w:r w:rsidR="0096505C" w:rsidRPr="00194419">
        <w:t xml:space="preserve"> The CSC </w:t>
      </w:r>
      <w:r w:rsidR="007B08AD" w:rsidRPr="00194419">
        <w:rPr>
          <w:noProof/>
        </w:rPr>
        <w:t>is</w:t>
      </w:r>
      <w:r w:rsidR="0096505C" w:rsidRPr="00194419">
        <w:t xml:space="preserve"> mainly formed by</w:t>
      </w:r>
      <w:r w:rsidR="00F33465" w:rsidRPr="00194419">
        <w:t xml:space="preserve"> evaporites (anhydrite, gypsum</w:t>
      </w:r>
      <w:r w:rsidR="00D77611" w:rsidRPr="00194419">
        <w:t>,</w:t>
      </w:r>
      <w:r w:rsidR="00F33465" w:rsidRPr="00194419">
        <w:t xml:space="preserve"> </w:t>
      </w:r>
      <w:r w:rsidR="00F33465" w:rsidRPr="00194419">
        <w:rPr>
          <w:noProof/>
        </w:rPr>
        <w:t>and</w:t>
      </w:r>
      <w:r w:rsidR="00F33465" w:rsidRPr="00194419">
        <w:t xml:space="preserve"> halite) and multi-colored clays and sandstones of Upper Triassic (Keuper) a</w:t>
      </w:r>
      <w:r w:rsidR="001F66B6" w:rsidRPr="00194419">
        <w:t xml:space="preserve">ge, although other lithologies </w:t>
      </w:r>
      <w:r w:rsidR="00F33465" w:rsidRPr="00194419">
        <w:t xml:space="preserve">are also </w:t>
      </w:r>
      <w:r w:rsidR="00C200C4" w:rsidRPr="00194419">
        <w:t>present</w:t>
      </w:r>
      <w:r w:rsidR="00F33465" w:rsidRPr="00194419">
        <w:t xml:space="preserve"> (sandstones, marls, limestones and dolomites from Triassic to Miocene ages)</w:t>
      </w:r>
      <w:r w:rsidR="00C200C4" w:rsidRPr="00194419">
        <w:t>, normally</w:t>
      </w:r>
      <w:r w:rsidR="001F66B6" w:rsidRPr="00194419">
        <w:t>,</w:t>
      </w:r>
      <w:r w:rsidR="00C200C4" w:rsidRPr="00194419">
        <w:t xml:space="preserve"> as olistoliths</w:t>
      </w:r>
      <w:r w:rsidR="00F33465" w:rsidRPr="00194419">
        <w:t>. Th</w:t>
      </w:r>
      <w:r w:rsidR="007B08AD" w:rsidRPr="00194419">
        <w:t>is</w:t>
      </w:r>
      <w:r w:rsidR="00F33465" w:rsidRPr="00194419">
        <w:t xml:space="preserve"> geological unit is very folded and brecciated, </w:t>
      </w:r>
      <w:r w:rsidRPr="00194419">
        <w:t xml:space="preserve">which </w:t>
      </w:r>
      <w:r w:rsidR="00C57DEC" w:rsidRPr="00194419">
        <w:t>conferred the CSC a dis</w:t>
      </w:r>
      <w:r w:rsidRPr="00194419">
        <w:t xml:space="preserve">organized and chaotic structure. </w:t>
      </w:r>
      <w:r w:rsidR="00C200C4" w:rsidRPr="00194419">
        <w:t xml:space="preserve">Thus, the CSC can be defined as a megabreccia </w:t>
      </w:r>
      <w:r w:rsidR="00C57DEC" w:rsidRPr="00194419">
        <w:t xml:space="preserve">of </w:t>
      </w:r>
      <w:r w:rsidR="00C200C4" w:rsidRPr="00194419">
        <w:t>Triassic clayey-evaporite matrix, where different kind</w:t>
      </w:r>
      <w:r w:rsidR="00D77611" w:rsidRPr="00194419">
        <w:t>s</w:t>
      </w:r>
      <w:r w:rsidR="00C200C4" w:rsidRPr="00194419">
        <w:t xml:space="preserve"> of blocks </w:t>
      </w:r>
      <w:r w:rsidR="00C200C4" w:rsidRPr="00194419">
        <w:rPr>
          <w:noProof/>
        </w:rPr>
        <w:t>are</w:t>
      </w:r>
      <w:r w:rsidR="00C200C4" w:rsidRPr="00194419">
        <w:t xml:space="preserve"> embedded. Halite is not present at </w:t>
      </w:r>
      <w:r w:rsidR="00D77611" w:rsidRPr="00194419">
        <w:t xml:space="preserve">the </w:t>
      </w:r>
      <w:r w:rsidR="00C200C4" w:rsidRPr="00194419">
        <w:rPr>
          <w:noProof/>
        </w:rPr>
        <w:t>surface</w:t>
      </w:r>
      <w:r w:rsidR="00C200C4" w:rsidRPr="00194419">
        <w:t xml:space="preserve">, due to its high solubility, although its existence </w:t>
      </w:r>
      <w:r w:rsidR="003C50F3">
        <w:t>at</w:t>
      </w:r>
      <w:r w:rsidR="003C50F3" w:rsidRPr="00194419">
        <w:t xml:space="preserve"> </w:t>
      </w:r>
      <w:r w:rsidR="00C200C4" w:rsidRPr="00194419">
        <w:t>depth can be inferred from groundwater hydrochemistry and boreholes drilled in evaporite outcrops</w:t>
      </w:r>
      <w:r w:rsidR="005A63C4" w:rsidRPr="00194419">
        <w:t xml:space="preserve"> </w:t>
      </w:r>
      <w:r w:rsidR="005A63C4" w:rsidRPr="00194419">
        <w:fldChar w:fldCharType="begin" w:fldLock="1"/>
      </w:r>
      <w:r w:rsidR="005A63C4" w:rsidRPr="00194419">
        <w:instrText>ADDIN CSL_CITATION {"citationItems":[{"id":"ITEM-1","itemData":{"author":[{"dropping-particle":"","family":"Carrasco","given":"Francisco","non-dropping-particle":"","parse-names":false,"suffix":""}],"id":"ITEM-1","issued":{"date-parts":[["1986"]]},"publisher":"Universidad de Granada","title":"Contribucion al conocimiento de la cuenca alta del rio Guadalhorce. El medio físico. Hidrogeoquimica","type":"thesis"},"uris":["http://www.mendeley.com/documents/?uuid=f8dff126-996f-4603-a2e0-5f8f6a30e48d"]},{"id":"ITEM-2","itemData":{"abstract":"In the Triassic evaporite deposits of the Betic Cordillera, halokinesis has played a fundamental role in the morphodynamic evolution of gypsum karst, as evidenced by the morphology and distribution of dolines and poljes, by data obtained from caves, and from the types of water associated with evaporite domes. Distribution patterns of major exokarstic forms display a subcircular array with collapse sinkholes located in the centre of the domes and solution drawdown dolines on the outer limits of the diapiric forms. In addition, the least mineralized waters are situated in association with the caprock gypsum; hypersaline waters, which are also hotter, drain deeper flow systems that flow out at the edges of the halokinetic structures. The morphodynamic and hydrogeological information constitute a valuable tool for the correct interpretation of the tectonic structure of such complex areas.","author":[{"dropping-particle":"","family":"Calaforra","given":"José M.","non-dropping-particle":"","parse-names":false,"suffix":""},{"dropping-particle":"","family":"Pulido-Bosch","given":"Antonio","non-dropping-particle":"","parse-names":false,"suffix":""}],"container-title":"Geomorphology","id":"ITEM-2","issue":"3-4","issued":{"date-parts":[["1999"]]},"page":"251-264","title":"Gypsum karst features as evidence of diapiric processes in the Betic Cordillera, Southern Spain","type":"article-journal","volume":"29"},"uris":["http://www.mendeley.com/documents/?uuid=9f8dcc9e-09b0-4a5d-b902-e2100916ca77"]}],"mendeley":{"formattedCitation":"(Calaforra and Pulido-Bosch, 1999; Carrasco, 1986)","plainTextFormattedCitation":"(Calaforra and Pulido-Bosch, 1999; Carrasco, 1986)","previouslyFormattedCitation":"(Calaforra and Pulido-Bosch, 1999; Carrasco, 1986)"},"properties":{"noteIndex":0},"schema":"https://github.com/citation-style-language/schema/raw/master/csl-citation.json"}</w:instrText>
      </w:r>
      <w:r w:rsidR="005A63C4" w:rsidRPr="00194419">
        <w:fldChar w:fldCharType="separate"/>
      </w:r>
      <w:r w:rsidR="005A63C4" w:rsidRPr="00194419">
        <w:rPr>
          <w:noProof/>
        </w:rPr>
        <w:t>(Calaforra and Pulido-Bosch, 1999; Carrasco, 1986)</w:t>
      </w:r>
      <w:r w:rsidR="005A63C4" w:rsidRPr="00194419">
        <w:fldChar w:fldCharType="end"/>
      </w:r>
      <w:r w:rsidR="002C22B9">
        <w:t>.</w:t>
      </w:r>
    </w:p>
    <w:p w14:paraId="05AFA01E" w14:textId="4939ABD5" w:rsidR="00893C00" w:rsidRPr="00194419" w:rsidRDefault="001F66B6" w:rsidP="008A3630">
      <w:pPr>
        <w:spacing w:line="480" w:lineRule="auto"/>
      </w:pPr>
      <w:r w:rsidRPr="00194419">
        <w:t>Traditionally, CSC materials have been considered impervious due to the abundance of Triassic clays, marls</w:t>
      </w:r>
      <w:r w:rsidR="00D77611" w:rsidRPr="00194419">
        <w:t>,</w:t>
      </w:r>
      <w:r w:rsidRPr="00194419">
        <w:t xml:space="preserve"> </w:t>
      </w:r>
      <w:r w:rsidRPr="00194419">
        <w:rPr>
          <w:noProof/>
        </w:rPr>
        <w:t>and</w:t>
      </w:r>
      <w:r w:rsidRPr="00194419">
        <w:t xml:space="preserve"> sandstones. However, the high solubility of evaporite rocks </w:t>
      </w:r>
      <w:r w:rsidRPr="00194419">
        <w:rPr>
          <w:noProof/>
        </w:rPr>
        <w:t>favor</w:t>
      </w:r>
      <w:r w:rsidR="00D77611" w:rsidRPr="00194419">
        <w:rPr>
          <w:noProof/>
        </w:rPr>
        <w:t>s</w:t>
      </w:r>
      <w:r w:rsidRPr="00194419">
        <w:t xml:space="preserve"> the dev</w:t>
      </w:r>
      <w:r w:rsidR="007B08AD" w:rsidRPr="00194419">
        <w:t xml:space="preserve">elopment of second porosity </w:t>
      </w:r>
      <w:r w:rsidRPr="00194419">
        <w:t>through dissolution and karstification.</w:t>
      </w:r>
      <w:r w:rsidR="00E65964" w:rsidRPr="00194419">
        <w:t xml:space="preserve"> As a consequence, highly unstable cavities and conduits are formed, which lead to </w:t>
      </w:r>
      <w:r w:rsidR="008677F4" w:rsidRPr="00194419">
        <w:t xml:space="preserve">a </w:t>
      </w:r>
      <w:r w:rsidR="00E65964" w:rsidRPr="00194419">
        <w:t>fast geomorphological evolution</w:t>
      </w:r>
      <w:r w:rsidR="005A63C4" w:rsidRPr="00194419">
        <w:t xml:space="preserve"> </w:t>
      </w:r>
      <w:r w:rsidR="005A63C4" w:rsidRPr="00194419">
        <w:fldChar w:fldCharType="begin" w:fldLock="1"/>
      </w:r>
      <w:r w:rsidR="00394B2D" w:rsidRPr="00194419">
        <w:instrText>ADDIN CSL_CITATION {"citationItems":[{"id":"ITEM-1","itemData":{"abstract":"In the Triassic evaporite deposits of the Betic Cordillera, halokinesis has played a fundamental role in the morphodynamic evolution of gypsum karst, as evidenced by the morphology and distribution of dolines and poljes, by data obtained from caves, and from the types of water associated with evaporite domes. Distribution patterns of major exokarstic forms display a subcircular array with collapse sinkholes located in the centre of the domes and solution drawdown dolines on the outer limits of the diapiric forms. In addition, the least mineralized waters are situated in association with the caprock gypsum; hypersaline waters, which are also hotter, drain deeper flow systems that flow out at the edges of the halokinetic structures. The morphodynamic and hydrogeological information constitute a valuable tool for the correct interpretation of the tectonic structure of such complex areas.","author":[{"dropping-particle":"","family":"Calaforra","given":"José M.","non-dropping-particle":"","parse-names":false,"suffix":""},{"dropping-particle":"","family":"Pulido-Bosch","given":"Antonio","non-dropping-particle":"","parse-names":false,"suffix":""}],"container-title":"Geomorphology","id":"ITEM-1","issue":"3-4","issued":{"date-parts":[["1999"]]},"page":"251-264","title":"Gypsum karst features as evidence of diapiric processes in the Betic Cordillera, Southern Spain","type":"article-journal","volume":"29"},"uris":["http://www.mendeley.com/documents/?uuid=9f8dcc9e-09b0-4a5d-b902-e2100916ca77"]},{"id":"ITEM-2","itemData":{"DOI":"10.1007/s00254-007-0721-y","ISSN":"0943-0105","author":[{"dropping-particle":"","family":"Gutiérrez","given":"F.","non-dropping-particle":"","parse-names":false,"suffix":""},{"dropping-particle":"","family":"Calaforra","given":"J. M.","non-dropping-particle":"","parse-names":false,"suffix":""},{"dropping-particle":"","family":"Cardona","given":"F.","non-dropping-particle":"","parse-names":false,"suffix":""},{"dropping-particle":"","family":"Ortí","given":"F.","non-dropping-particle":"","parse-names":false,"suffix":""},{"dropping-particle":"","family":"Durán","given":"J. J.","non-dropping-particle":"","parse-names":false,"suffix":""},{"dropping-particle":"","family":"Garay","given":"P.","non-dropping-particle":"","parse-names":false,"suffix":""}],"container-title":"Environmental Geology","id":"ITEM-2","issue":"5","issued":{"date-parts":[["2008","4","12"]]},"page":"951-965","title":"Geological and environmental implications of the evaporite karst in Spain","type":"article-journal","volume":"53"},"uris":["http://www.mendeley.com/documents/?uuid=bd1bdc7b-f05e-4881-99f1-6b12c5e096df"]}],"mendeley":{"formattedCitation":"(Calaforra and Pulido-Bosch, 1999; Gutiérrez et al., 2008)","plainTextFormattedCitation":"(Calaforra and Pulido-Bosch, 1999; Gutiérrez et al., 2008)","previouslyFormattedCitation":"(Calaforra and Pulido-Bosch, 1999; Gutiérrez et al., 2008)"},"properties":{"noteIndex":0},"schema":"https://github.com/citation-style-language/schema/raw/master/csl-citation.json"}</w:instrText>
      </w:r>
      <w:r w:rsidR="005A63C4" w:rsidRPr="00194419">
        <w:fldChar w:fldCharType="separate"/>
      </w:r>
      <w:r w:rsidR="005A63C4" w:rsidRPr="00194419">
        <w:rPr>
          <w:noProof/>
        </w:rPr>
        <w:t>(Calaforra and Pulido-Bosch, 1999; Gutiérrez et al., 2008)</w:t>
      </w:r>
      <w:r w:rsidR="005A63C4" w:rsidRPr="00194419">
        <w:fldChar w:fldCharType="end"/>
      </w:r>
      <w:r w:rsidR="003C50F3">
        <w:t xml:space="preserve">and </w:t>
      </w:r>
      <w:r w:rsidR="00672AC7" w:rsidRPr="00194419">
        <w:t>result in the formation of endokarst and exokarst features, such as dolines, uvalas, swallow holes</w:t>
      </w:r>
      <w:r w:rsidR="00745A87">
        <w:t>,</w:t>
      </w:r>
      <w:r w:rsidR="00672AC7" w:rsidRPr="00194419">
        <w:t xml:space="preserve"> and speleological networks that are characteristic of karst aquifers</w:t>
      </w:r>
      <w:r w:rsidR="00394B2D" w:rsidRPr="00194419">
        <w:t xml:space="preserve"> </w:t>
      </w:r>
      <w:r w:rsidR="00394B2D" w:rsidRPr="00194419">
        <w:fldChar w:fldCharType="begin" w:fldLock="1"/>
      </w:r>
      <w:r w:rsidR="00912438" w:rsidRPr="00194419">
        <w:instrText>ADDIN CSL_CITATION {"citationItems":[{"id":"ITEM-1","itemData":{"author":[{"dropping-particle":"","family":"White","given":"William B.","non-dropping-particle":"","parse-names":false,"suffix":""}],"editor":[{"dropping-particle":"","family":"Press","given":"Oxford University","non-dropping-particle":"","parse-names":false,"suffix":""}],"id":"ITEM-1","issued":{"date-parts":[["1988"]]},"number-of-pages":"480","title":"Geomorphology and Hydrology of Karst Terrains","type":"book"},"uris":["http://www.mendeley.com/documents/?uuid=6b947456-7516-48b0-b24f-c8952df29443"]},{"id":"ITEM-2","itemData":{"ISBN":"9780470849965","author":[{"dropping-particle":"","family":"Ford","given":"Derek","non-dropping-particle":"","parse-names":false,"suffix":""},{"dropping-particle":"","family":"Williams","given":"Paul","non-dropping-particle":"","parse-names":false,"suffix":""}],"id":"ITEM-2","issued":{"date-parts":[["2007"]]},"number-of-pages":"562","publisher":"John Wiley &amp; Sons, Ltd","publisher-place":"Chichester","title":"Karst Hydrogeology and Geomorphology","type":"book"},"uris":["http://www.mendeley.com/documents/?uuid=13e72909-e43b-4f72-b726-345448914ffa"]}],"mendeley":{"formattedCitation":"(Ford and Williams, 2007; White, 1988)","plainTextFormattedCitation":"(Ford and Williams, 2007; White, 1988)","previouslyFormattedCitation":"(Ford and Williams, 2007; White, 1988)"},"properties":{"noteIndex":0},"schema":"https://github.com/citation-style-language/schema/raw/master/csl-citation.json"}</w:instrText>
      </w:r>
      <w:r w:rsidR="00394B2D" w:rsidRPr="00194419">
        <w:fldChar w:fldCharType="separate"/>
      </w:r>
      <w:r w:rsidR="00394B2D" w:rsidRPr="00194419">
        <w:rPr>
          <w:noProof/>
        </w:rPr>
        <w:t>(Ford and Williams, 2007; White, 1988)</w:t>
      </w:r>
      <w:r w:rsidR="00394B2D" w:rsidRPr="00194419">
        <w:fldChar w:fldCharType="end"/>
      </w:r>
      <w:r w:rsidR="00672AC7" w:rsidRPr="00194419">
        <w:t>.</w:t>
      </w:r>
      <w:r w:rsidR="002E4C1A" w:rsidRPr="00194419">
        <w:t xml:space="preserve"> </w:t>
      </w:r>
      <w:r w:rsidR="00893C00" w:rsidRPr="00194419">
        <w:t>Thus, the abundance of evaporite rocks play</w:t>
      </w:r>
      <w:r w:rsidR="008677F4" w:rsidRPr="00194419">
        <w:t>s</w:t>
      </w:r>
      <w:r w:rsidR="00893C00" w:rsidRPr="00194419">
        <w:t xml:space="preserve"> a key role in the hydrogeological </w:t>
      </w:r>
      <w:r w:rsidR="00893C00" w:rsidRPr="00194419">
        <w:lastRenderedPageBreak/>
        <w:t xml:space="preserve">functioning of CSC outcrops, allowing </w:t>
      </w:r>
      <w:r w:rsidR="007B08AD" w:rsidRPr="00194419">
        <w:t xml:space="preserve">a </w:t>
      </w:r>
      <w:r w:rsidR="00893C00" w:rsidRPr="00194419">
        <w:t>local karst functioning wher</w:t>
      </w:r>
      <w:r w:rsidR="008677F4" w:rsidRPr="00194419">
        <w:t>e</w:t>
      </w:r>
      <w:r w:rsidR="00893C00" w:rsidRPr="00194419">
        <w:t xml:space="preserve"> </w:t>
      </w:r>
      <w:r w:rsidR="008677F4" w:rsidRPr="00194419">
        <w:t xml:space="preserve">the </w:t>
      </w:r>
      <w:r w:rsidR="00893C00" w:rsidRPr="00194419">
        <w:t>evaporite formations a</w:t>
      </w:r>
      <w:r w:rsidR="00745A87">
        <w:t>re</w:t>
      </w:r>
      <w:r w:rsidR="00893C00" w:rsidRPr="00194419">
        <w:t xml:space="preserve"> </w:t>
      </w:r>
      <w:r w:rsidR="008677F4" w:rsidRPr="00194419">
        <w:t>more continuous</w:t>
      </w:r>
      <w:r w:rsidR="00912438" w:rsidRPr="00194419">
        <w:t xml:space="preserve"> </w:t>
      </w:r>
      <w:r w:rsidR="00912438" w:rsidRPr="00194419">
        <w:fldChar w:fldCharType="begin" w:fldLock="1"/>
      </w:r>
      <w:r w:rsidR="003A7DC8" w:rsidRPr="00194419">
        <w:instrText>ADDIN CSL_CITATION {"citationItems":[{"id":"ITEM-1","itemData":{"DOI":"https://doi.org/10.5038/1827-806X.46.2.2115","author":[{"dropping-particle":"","family":"Gil-Márquez","given":"José Manuel","non-dropping-particle":"","parse-names":false,"suffix":""},{"dropping-particle":"","family":"Barberá","given":"Juan Antonio","non-dropping-particle":"","parse-names":false,"suffix":""},{"dropping-particle":"","family":"Mudarra","given":"Matías","non-dropping-particle":"","parse-names":false,"suffix":""},{"dropping-particle":"","family":"Andreo","given":"Bartolomé","non-dropping-particle":"","parse-names":false,"suffix":""},{"dropping-particle":"","family":"Prieto-Mera","given":"Jorge","non-dropping-particle":"","parse-names":false,"suffix":""},{"dropping-particle":"","family":"Sánchez","given":"Damián","non-dropping-particle":"","parse-names":false,"suffix":""},{"dropping-particle":"","family":"Rizo-Decelis","given":"Luis David","non-dropping-particle":"","parse-names":false,"suffix":""},{"dropping-particle":"","family":"Argamasilla","given":"Manuel","non-dropping-particle":"","parse-names":false,"suffix":""},{"dropping-particle":"","family":"Nieto","given":"José Manuel","non-dropping-particle":"","parse-names":false,"suffix":""},{"dropping-particle":"","family":"la Torre","given":"Beatriz","non-dropping-particle":"De","parse-names":false,"suffix":""}],"container-title":"International Journal of Speleology","id":"ITEM-1","issue":"2","issued":{"date-parts":[["2017"]]},"page":"219-235","title":"Karst development of an evaporitic system and its hydrogeological implications inferred from GIS-based analysis and tracing techniques","type":"article-journal","volume":"46"},"uris":["http://www.mendeley.com/documents/?uuid=b1611886-1290-41cb-984d-a71ada92160d"]}],"mendeley":{"formattedCitation":"(José Manuel Gil-Márquez et al., 2017)","manualFormatting":"(Gil-Márquez et al., 2017a)","plainTextFormattedCitation":"(José Manuel Gil-Márquez et al., 2017)","previouslyFormattedCitation":"(José Manuel Gil-Márquez et al., 2017)"},"properties":{"noteIndex":0},"schema":"https://github.com/citation-style-language/schema/raw/master/csl-citation.json"}</w:instrText>
      </w:r>
      <w:r w:rsidR="00912438" w:rsidRPr="00194419">
        <w:fldChar w:fldCharType="separate"/>
      </w:r>
      <w:r w:rsidR="007B08AD" w:rsidRPr="00194419">
        <w:rPr>
          <w:noProof/>
        </w:rPr>
        <w:t>(</w:t>
      </w:r>
      <w:r w:rsidR="0003615F" w:rsidRPr="00194419">
        <w:rPr>
          <w:noProof/>
        </w:rPr>
        <w:t>Gil-Márquez et al., 2017</w:t>
      </w:r>
      <w:r w:rsidR="006266DD" w:rsidRPr="00194419">
        <w:rPr>
          <w:noProof/>
        </w:rPr>
        <w:t>a</w:t>
      </w:r>
      <w:r w:rsidR="0003615F" w:rsidRPr="00194419">
        <w:rPr>
          <w:noProof/>
        </w:rPr>
        <w:t>)</w:t>
      </w:r>
      <w:r w:rsidR="00912438" w:rsidRPr="00194419">
        <w:fldChar w:fldCharType="end"/>
      </w:r>
      <w:r w:rsidR="00893C00" w:rsidRPr="00194419">
        <w:t>. However, the predominance of low permeability materials (clays, sandstones, dolomite blocks), which function as aquitard</w:t>
      </w:r>
      <w:r w:rsidR="008677F4" w:rsidRPr="00194419">
        <w:t>s</w:t>
      </w:r>
      <w:r w:rsidR="00893C00" w:rsidRPr="00194419">
        <w:t>, confers the whole CSC a high hydrogeological complexity.</w:t>
      </w:r>
    </w:p>
    <w:p w14:paraId="6A590E2E" w14:textId="4481F5C0" w:rsidR="00275E6D" w:rsidRPr="00194419" w:rsidRDefault="002E4C1A" w:rsidP="008A3630">
      <w:pPr>
        <w:spacing w:line="480" w:lineRule="auto"/>
      </w:pPr>
      <w:r w:rsidRPr="00194419">
        <w:t xml:space="preserve">The most common landforms in the CSC are karst depressions, some of which </w:t>
      </w:r>
      <w:r w:rsidRPr="00194419">
        <w:rPr>
          <w:noProof/>
        </w:rPr>
        <w:t>are naturally drain</w:t>
      </w:r>
      <w:r w:rsidR="00D77611" w:rsidRPr="00194419">
        <w:rPr>
          <w:noProof/>
        </w:rPr>
        <w:t>ed</w:t>
      </w:r>
      <w:r w:rsidRPr="00194419">
        <w:t xml:space="preserve"> through karst swallow holes that become active during rainfall episodes, keeping the bottom of endorheic areas dry or slightly flooded during short </w:t>
      </w:r>
      <w:r w:rsidR="00893C00" w:rsidRPr="00194419">
        <w:t>periods</w:t>
      </w:r>
      <w:r w:rsidR="00912438" w:rsidRPr="00194419">
        <w:t xml:space="preserve"> </w:t>
      </w:r>
      <w:r w:rsidR="00912438" w:rsidRPr="00194419">
        <w:fldChar w:fldCharType="begin" w:fldLock="1"/>
      </w:r>
      <w:r w:rsidR="00912438" w:rsidRPr="00194419">
        <w:instrText>ADDIN CSL_CITATION {"citationItems":[{"id":"ITEM-1","itemData":{"DOI":"10.1007/s12665-016-5545-1","abstract":"© 2016, Springer-Verlag Berlin Heidelberg. The northern sector of the External Zone of the Betic Cordillera (S Spain) is formed by an olistostrome unit known as the Chaotic Subbetic Complexes (CSC). This megabreccia is basically made of clays and evaporite rocks (gypsum and salt) of Upper Triassic (Keuper) age as well as other lithologies (dolostones, limestones, marls and calcareous sandstones) belonging to different ages (Jurassic, Cretaceous and Tertiary). Despite of low permeability has been traditionally assumed for these materials, water flow and storage through them is possible due to the aquitard behavior of clays and sandstones and the presence of conduits generated by dissolution/karstification processes within the evaporite rocks. The lithological complexity of the CSC determines its hydrogeological heterogeneity, with groundwater flows of different length and various scales from recharge areas to discharge zones. Thus, wetlands and springs placed at lower altitudes are associated with large (regional) groundwater flows, of greater residence time within the aquifer, and they normally drain high salinity waters mostly connected with ascending flow. This work provides an overview of the main geological and hydrogeological aspects related to groundwater flow within the CSC on the basis of several case-studies. Conceptual models are proposed for these cases, since they are the base to carry out a genetic-functional classification of wetlands potentially useful for their management.","author":[{"dropping-particle":"","family":"Andreo","given":"Bartolomé","non-dropping-particle":"","parse-names":false,"suffix":""},{"dropping-particle":"","family":"Gil-Márquez","given":"José Manuel","non-dropping-particle":"","parse-names":false,"suffix":""},{"dropping-particle":"","family":"Mudarra","given":"Matías","non-dropping-particle":"","parse-names":false,"suffix":""},{"dropping-particle":"","family":"Linares","given":"Luis","non-dropping-particle":"","parse-names":false,"suffix":""},{"dropping-particle":"","family":"Carrasco","given":"Francisco","non-dropping-particle":"","parse-names":false,"suffix":""}],"container-title":"Environmental Earth Sciences","id":"ITEM-1","issue":"9","issued":{"date-parts":[["2016"]]},"page":"1-19","title":"Hypothesis on the hydrogeological context of wetland areas and springs related to evaporitic karst aquifers (Málaga, Córdoba and Jaén provinces, Southern Spain)","type":"article-journal","volume":"75"},"uris":["http://www.mendeley.com/documents/?uuid=de2b44fe-b64d-31c9-9255-128364900901"]}],"mendeley":{"formattedCitation":"(Andreo et al., 2016)","plainTextFormattedCitation":"(Andreo et al., 2016)","previouslyFormattedCitation":"(Andreo et al., 2016)"},"properties":{"noteIndex":0},"schema":"https://github.com/citation-style-language/schema/raw/master/csl-citation.json"}</w:instrText>
      </w:r>
      <w:r w:rsidR="00912438" w:rsidRPr="00194419">
        <w:fldChar w:fldCharType="separate"/>
      </w:r>
      <w:r w:rsidR="00912438" w:rsidRPr="00194419">
        <w:rPr>
          <w:noProof/>
        </w:rPr>
        <w:t>(Andreo et al., 2016)</w:t>
      </w:r>
      <w:r w:rsidR="00912438" w:rsidRPr="00194419">
        <w:fldChar w:fldCharType="end"/>
      </w:r>
      <w:r w:rsidR="00F15060" w:rsidRPr="00194419">
        <w:t xml:space="preserve">. In contrast, </w:t>
      </w:r>
      <w:r w:rsidRPr="00194419">
        <w:t xml:space="preserve">where no </w:t>
      </w:r>
      <w:r w:rsidR="00893C00" w:rsidRPr="00194419">
        <w:t>swallow holes</w:t>
      </w:r>
      <w:r w:rsidRPr="00194419">
        <w:t xml:space="preserve"> exist, </w:t>
      </w:r>
      <w:r w:rsidR="00893C00" w:rsidRPr="00194419">
        <w:t xml:space="preserve">dolines and karst depressions remain flooded longer or even permanently. Such areas are considered </w:t>
      </w:r>
      <w:r w:rsidR="00745A87">
        <w:t xml:space="preserve">as </w:t>
      </w:r>
      <w:r w:rsidR="00893C00" w:rsidRPr="00194419">
        <w:t xml:space="preserve">wetlands, whose genesis and </w:t>
      </w:r>
      <w:r w:rsidR="007B08AD" w:rsidRPr="00194419">
        <w:t xml:space="preserve">natural </w:t>
      </w:r>
      <w:r w:rsidR="00893C00" w:rsidRPr="00194419">
        <w:t xml:space="preserve">hydric dynamic </w:t>
      </w:r>
      <w:r w:rsidR="00F15060" w:rsidRPr="00194419">
        <w:t>are</w:t>
      </w:r>
      <w:r w:rsidR="00893C00" w:rsidRPr="00194419">
        <w:t xml:space="preserve"> related to evaporite-karst. They are very diverse, with a high range of water mineralization and hydrochemical facies, as well as hydroperiods of diverse length</w:t>
      </w:r>
      <w:r w:rsidR="00912438" w:rsidRPr="00194419">
        <w:t xml:space="preserve"> </w:t>
      </w:r>
      <w:r w:rsidR="00912438" w:rsidRPr="00194419">
        <w:fldChar w:fldCharType="begin" w:fldLock="1"/>
      </w:r>
      <w:r w:rsidR="00912438" w:rsidRPr="00194419">
        <w:instrText>ADDIN CSL_CITATION {"citationItems":[{"id":"ITEM-1","itemData":{"DOI":"10.1016/j.jaridenv.2010.03.018","ISBN":"0140-1963","ISSN":"01401963","abstract":"We analyzed the main morphometric, climatic and hydrochemical characteristics of 48 ponds and playa-lakes of the semi-arid Guadalquivir River basin (southern Spain). Based on a simple conceptual model we were able to develop a Hydrological Function Index (HFI) that relates the effective rainfall in each playa-lake to its watershed (WS). We verified that the average flooded surfaces (AFSs) adjust to their respective WSs in the systems that are not altered by human activities with few exceptions. Thus, the HFI allowed us to discriminate water bodies that adjust to the proposed model from the rest of the ponds studied. On the other hand, we observed that the morphology of a playa-lake basin (maximum depth) is the main factor related to the temporality in these temporal ecosystems, so we developed a temporality index (TI) relating such a characteristic with the average annual potential evapotranspiration (ET0) calculated for each location. The results adjust reasonably with the scarce and scattered information available about the evolution of the water level in these systems. Finally, we analyzed the data using well-known multivariate statistical techniques and classified the studied playa-lakes. The information presented in this study could be useful in guiding restoration plans in altered ecosystems. © 2010 Elsevier Ltd.","author":[{"dropping-particle":"","family":"Rodríguez-Rodríguez","given":"M.","non-dropping-particle":"","parse-names":false,"suffix":""},{"dropping-particle":"","family":"Moral","given":"F.","non-dropping-particle":"","parse-names":false,"suffix":""},{"dropping-particle":"","family":"Benavente","given":"J.","non-dropping-particle":"","parse-names":false,"suffix":""},{"dropping-particle":"","family":"Beltrán","given":"M.","non-dropping-particle":"","parse-names":false,"suffix":""}],"container-title":"Journal of Arid Environments","id":"ITEM-1","issue":"11","issued":{"date-parts":[["2010"]]},"page":"1478-1486","publisher":"Elsevier Ltd","title":"Developing hydrological indices in semi-arid playa-lakes by analyzing their main morphometric, climatic and hydrochemical characteristics","type":"article-journal","volume":"74"},"uris":["http://www.mendeley.com/documents/?uuid=7cd79376-ffb3-48ec-9ed3-3ad3fff163bf"]}],"mendeley":{"formattedCitation":"(Rodríguez-Rodríguez et al., 2010)","plainTextFormattedCitation":"(Rodríguez-Rodríguez et al., 2010)","previouslyFormattedCitation":"(Rodríguez-Rodríguez et al., 2010)"},"properties":{"noteIndex":0},"schema":"https://github.com/citation-style-language/schema/raw/master/csl-citation.json"}</w:instrText>
      </w:r>
      <w:r w:rsidR="00912438" w:rsidRPr="00194419">
        <w:fldChar w:fldCharType="separate"/>
      </w:r>
      <w:r w:rsidR="00912438" w:rsidRPr="00194419">
        <w:rPr>
          <w:noProof/>
        </w:rPr>
        <w:t>(Rodríguez-Rodríguez et al., 2010)</w:t>
      </w:r>
      <w:r w:rsidR="00912438" w:rsidRPr="00194419">
        <w:fldChar w:fldCharType="end"/>
      </w:r>
      <w:r w:rsidR="00893C00" w:rsidRPr="00194419">
        <w:t>.</w:t>
      </w:r>
      <w:r w:rsidR="0088726B" w:rsidRPr="00194419">
        <w:t xml:space="preserve"> </w:t>
      </w:r>
      <w:r w:rsidR="00275E6D" w:rsidRPr="00194419">
        <w:t>In addition to karst development</w:t>
      </w:r>
      <w:r w:rsidR="00893C00" w:rsidRPr="00194419">
        <w:t xml:space="preserve"> and wetland areas</w:t>
      </w:r>
      <w:r w:rsidR="00275E6D" w:rsidRPr="00194419">
        <w:t>, the presence of springs, wells</w:t>
      </w:r>
      <w:r w:rsidR="00D77611" w:rsidRPr="00194419">
        <w:t>,</w:t>
      </w:r>
      <w:r w:rsidR="00893C00" w:rsidRPr="00194419">
        <w:t xml:space="preserve"> </w:t>
      </w:r>
      <w:r w:rsidR="00893C00" w:rsidRPr="00194419">
        <w:rPr>
          <w:noProof/>
        </w:rPr>
        <w:t>and</w:t>
      </w:r>
      <w:r w:rsidR="00275E6D" w:rsidRPr="00194419">
        <w:t xml:space="preserve"> boreholes, also </w:t>
      </w:r>
      <w:r w:rsidR="00F15060" w:rsidRPr="00194419">
        <w:t>evidences</w:t>
      </w:r>
      <w:r w:rsidR="00275E6D" w:rsidRPr="00194419">
        <w:t xml:space="preserve"> the </w:t>
      </w:r>
      <w:r w:rsidR="00E228AA" w:rsidRPr="00194419">
        <w:t xml:space="preserve">existence of groundwater flows within the CSC. </w:t>
      </w:r>
      <w:r w:rsidR="00461A81" w:rsidRPr="00194419">
        <w:t>The s</w:t>
      </w:r>
      <w:r w:rsidR="00E228AA" w:rsidRPr="00194419">
        <w:t xml:space="preserve">prings often drain brine groundwater with Na-Cl facies, especially those located at lower </w:t>
      </w:r>
      <w:r w:rsidR="00745A87">
        <w:t>elevations.</w:t>
      </w:r>
    </w:p>
    <w:p w14:paraId="474DCB35" w14:textId="41FEC1F6" w:rsidR="0064166A" w:rsidRPr="00194419" w:rsidRDefault="00C95746" w:rsidP="008A3630">
      <w:pPr>
        <w:spacing w:line="480" w:lineRule="auto"/>
      </w:pPr>
      <w:r w:rsidRPr="00194419">
        <w:rPr>
          <w:lang w:val="es-ES_tradnl"/>
        </w:rPr>
        <w:t>Andreo et al.</w:t>
      </w:r>
      <w:r w:rsidR="00912438" w:rsidRPr="00194419">
        <w:rPr>
          <w:lang w:val="es-ES_tradnl"/>
        </w:rPr>
        <w:t xml:space="preserve"> </w:t>
      </w:r>
      <w:r w:rsidR="00912438" w:rsidRPr="00194419">
        <w:fldChar w:fldCharType="begin" w:fldLock="1"/>
      </w:r>
      <w:r w:rsidR="00E17737" w:rsidRPr="00194419">
        <w:rPr>
          <w:lang w:val="es-ES_tradnl"/>
        </w:rPr>
        <w:instrText>ADDIN CSL_CITATION {"citationItems":[{"id":"ITEM-1","itemData":{"DOI":"10.1007/s12665-016-5545-1","abstract":"© 2016, Springer-Verlag Berlin Heidelberg. The northern sector of the External Zone of the Betic Cordillera (S Spain) is formed by an olistostrome unit known as the Chaotic Subbetic Complexes (CSC). This megabreccia is basically made of clays and evaporite rocks (gypsum and salt) of Upper Triassic (Keuper) age as well as other lithologies (dolostones, limestones, marls and calcareous sandstones) belonging to different ages (Jurassic, Cretaceous and Tertiary). Despite of low permeability has been traditionally assumed for these materials, water flow and storage through them is possible due to the aquitard behavior of clays and sandstones and the presence of conduits generated by dissolution/karstification processes within the evaporite rocks. The lithological complexity of the CSC determines its hydrogeological heterogeneity, with groundwater flows of different length and various scales from recharge areas to discharge zones. Thus, wetlands and springs placed at lower altitudes are associated with large (regional) groundwater flows, of greater residence time within the aquifer, and they normally drain high salinity waters mostly connected with ascending flow. This work provides an overview of the main geological and hydrogeological aspects related to groundwater flow within the CSC on the basis of several case-studies. Conceptual models are proposed for t</w:instrText>
      </w:r>
      <w:r w:rsidR="00E17737" w:rsidRPr="00444A13">
        <w:rPr>
          <w:lang w:val="es-ES_tradnl"/>
        </w:rPr>
        <w:instrText>hese cases, since they are the base to carry out a genetic-functional classification of wetlands potentially useful for their management.","author":[{"dropping-particle":"","family":"Andreo","given":"Bartolomé","non-dropping-particle":"","parse-names":false,"suffix":""},{"dropping-particle":"","family":"Gil-Márquez","given":"José Manuel","non-dropping-particle":"","parse-names":false,"suffix":""},{"dropping-particle":"","family":"Mudarra","given":"Matías","non-dropping-particle":"","parse-names":false,"suffix":""},{"dropping-particle":"","family":"Linares","given":"Luis","non-dropping-particle":"","parse-names":false,"suffix":""},{"dropping-particle":"","family":"Carrasco","given":"Francisco","non-dropping-particle":"","parse-names":false,"suffix":""}],"container-title":"Environmental Earth Sciences","id":"ITEM-1","issue":"9","issued":{"date-parts":[["2016"]]},"page":"1-19","title":"Hypothesis on the hydrogeological context of wetland areas and springs related to evaporitic karst aquifers (Málaga, Córdoba and Jaén provinces, Southern Spain)","type":"article-journal","volume":"75"},"uris":["http://www.mendeley.com/documents/?uuid=de2b44fe-b64d-31c9-9255-128364900901"]}],"mendeley":{"formattedCitation":"(Andreo et al., 2016)","manualFormatting":"(2016)","plainTextFormattedCitation":"(Andreo et al., 2016)","previouslyFormattedCitation":"(Andreo et al., 2016)"},"properties":{"noteIndex":0},"schema":"https://github.com/citation-style-language/schema/raw/master/csl-citation.json"}</w:instrText>
      </w:r>
      <w:r w:rsidR="00912438" w:rsidRPr="00194419">
        <w:fldChar w:fldCharType="separate"/>
      </w:r>
      <w:r w:rsidR="00912438" w:rsidRPr="00444A13">
        <w:rPr>
          <w:noProof/>
          <w:lang w:val="es-ES_tradnl"/>
        </w:rPr>
        <w:t>(2016)</w:t>
      </w:r>
      <w:r w:rsidR="00912438" w:rsidRPr="00194419">
        <w:fldChar w:fldCharType="end"/>
      </w:r>
      <w:r w:rsidRPr="00444A13">
        <w:rPr>
          <w:lang w:val="es-ES_tradnl"/>
        </w:rPr>
        <w:t xml:space="preserve"> explained </w:t>
      </w:r>
      <w:r w:rsidR="00D93D68" w:rsidRPr="00444A13">
        <w:rPr>
          <w:lang w:val="es-ES_tradnl"/>
        </w:rPr>
        <w:t xml:space="preserve">the hydrogeological complexity </w:t>
      </w:r>
      <w:r w:rsidR="0088726B" w:rsidRPr="00444A13">
        <w:rPr>
          <w:lang w:val="es-ES_tradnl"/>
        </w:rPr>
        <w:t>found in</w:t>
      </w:r>
      <w:r w:rsidR="00D93D68" w:rsidRPr="00444A13">
        <w:rPr>
          <w:lang w:val="es-ES_tradnl"/>
        </w:rPr>
        <w:t xml:space="preserve"> the CSC in a hydrogeological conceptual model inspired by Toth’s </w:t>
      </w:r>
      <w:r w:rsidR="006266DD" w:rsidRPr="00444A13">
        <w:rPr>
          <w:lang w:val="es-ES_tradnl"/>
        </w:rPr>
        <w:t>Gravity</w:t>
      </w:r>
      <w:r w:rsidR="00D93D68" w:rsidRPr="00444A13">
        <w:rPr>
          <w:lang w:val="es-ES_tradnl"/>
        </w:rPr>
        <w:t>-</w:t>
      </w:r>
      <w:r w:rsidR="006266DD" w:rsidRPr="00444A13">
        <w:rPr>
          <w:lang w:val="es-ES_tradnl"/>
        </w:rPr>
        <w:t>Driven Regional Groundwater Flow M</w:t>
      </w:r>
      <w:r w:rsidR="00D93D68" w:rsidRPr="00444A13">
        <w:rPr>
          <w:lang w:val="es-ES_tradnl"/>
        </w:rPr>
        <w:t xml:space="preserve">odel –GDRGF- </w:t>
      </w:r>
      <w:r w:rsidR="00912438" w:rsidRPr="00194419">
        <w:fldChar w:fldCharType="begin" w:fldLock="1"/>
      </w:r>
      <w:r w:rsidR="003A7DC8" w:rsidRPr="00444A13">
        <w:rPr>
          <w:lang w:val="es-ES_tradnl"/>
        </w:rPr>
        <w:instrText>ADDIN CSL_CITATION {"citationItems":[{"id":"ITEM-1","itemData":{"DOI":"10.1029/JZ068i016p04795","ISBN":"2156-2202","author":[{"dropping-particle":"","family":"Toth","given":"J","non-dropping-particle":"","parse-names":false,"suffix":""}],"container-title":"Journal of Geophysical Research","id":"ITEM-1","issue":"16","issued":{"date-parts":[["1963"]]},"page":"4795-4812","title":"A Theoretical Analysis of Groundwater Flow in Small Drainage Basins","type":"article-journal","volume":"68"},"uris":["http://www.mendeley.com/documents/?uuid=17fc6677-2b4e-4ac8-8225-4338143819b8"]},{"id":"ITEM-2","itemData":{"DOI":"10.1016/0022-1694(70)90186-1","ISSN":"00221694","abstract":"A conceptual model for the description, explanation, prediction, and control of hydrogeologic conditions is composed of two systems of physical and chemical parameters: the Hydrogeologic Environment, and the Groundwater Regime. The three components of the environment, each comprising a great number of parameters, are: topography, geology, and climate. The necessary and sufficient six parameters of the groundwater regime are: amount of water, geometric distribution of water movement, volum</w:instrText>
      </w:r>
      <w:r w:rsidR="003A7DC8" w:rsidRPr="00444A13">
        <w:instrText>e or velocity of the flow, chemical composition, temperature, and regime variance, or the time changes of the above parameters. The environment and regime a</w:instrText>
      </w:r>
      <w:r w:rsidR="003A7DC8" w:rsidRPr="00194419">
        <w:instrText>re related quantitatively and each regime parameter can be expressed mathematically as a function of the environmental components. This allows the evaluation of the groundwater regime if the environmental conditions are known, as well as inferences concerning the rock framework from known properties of the regime. To date few parameters have been evaluated exactly, and mostly conceptual equations are presented. Conceptually, however, the groundwater regime may be defined as the sum of the six environmental parameters:. R = W(P) + f{hook} (grad Φ) + qc +Cw + θ + ∑15 ∂Pi ∂t. © 1970.","author":[{"dropping-particle":"","family":"Tóth","given":"J.","non-dropping-particle":"","parse-names":false,"suffix":""}],"container-title":"Journal of Hydrology","id":"ITEM-2","issue":"2","issued":{"date-parts":[["1970"]]},"page":"164-176","title":"A conceptual model of the groundwater regime and the hydrogeologic environment","type":"article-journal","volume":"10"},"uris":["http://www.mendeley.com/documents/?uuid=66de345e-4759-46c9-a912-cd0efc23a738"]}],"mendeley":{"formattedCitation":"(Toth, 1963; Tóth, 1970)","plainTextFormattedCitation":"(Toth, 1963; Tóth, 1970)","previouslyFormattedCitation":"(Toth, 1963; Tóth, 1970)"},"properties":{"noteIndex":0},"schema":"https://github.com/citation-style-language/schema/raw/master/csl-citation.json"}</w:instrText>
      </w:r>
      <w:r w:rsidR="00912438" w:rsidRPr="00194419">
        <w:fldChar w:fldCharType="separate"/>
      </w:r>
      <w:r w:rsidR="003A7DC8" w:rsidRPr="00194419">
        <w:rPr>
          <w:noProof/>
        </w:rPr>
        <w:t>(Toth, 1963; Tóth, 1970)</w:t>
      </w:r>
      <w:r w:rsidR="00912438" w:rsidRPr="00194419">
        <w:fldChar w:fldCharType="end"/>
      </w:r>
      <w:r w:rsidR="0088726B" w:rsidRPr="00194419">
        <w:t>. The proposed</w:t>
      </w:r>
      <w:r w:rsidR="00F84433" w:rsidRPr="00194419">
        <w:t xml:space="preserve"> approach </w:t>
      </w:r>
      <w:r w:rsidR="00F84433" w:rsidRPr="00194419">
        <w:rPr>
          <w:noProof/>
        </w:rPr>
        <w:t>explain</w:t>
      </w:r>
      <w:r w:rsidR="00D77611" w:rsidRPr="00194419">
        <w:rPr>
          <w:noProof/>
        </w:rPr>
        <w:t>s</w:t>
      </w:r>
      <w:r w:rsidR="00F84433" w:rsidRPr="00194419">
        <w:t xml:space="preserve"> the hydrodiversity (hydrochemistry, hydro</w:t>
      </w:r>
      <w:r w:rsidR="006266DD" w:rsidRPr="00194419">
        <w:t>-</w:t>
      </w:r>
      <w:r w:rsidR="00F84433" w:rsidRPr="00194419">
        <w:t>period) of wetlands</w:t>
      </w:r>
      <w:r w:rsidR="002D30CC" w:rsidRPr="00194419">
        <w:t xml:space="preserve"> </w:t>
      </w:r>
      <w:r w:rsidR="000A4DBE" w:rsidRPr="00194419">
        <w:t xml:space="preserve">and springs </w:t>
      </w:r>
      <w:r w:rsidR="002D30CC" w:rsidRPr="00194419">
        <w:t xml:space="preserve">based on their </w:t>
      </w:r>
      <w:r w:rsidR="0088726B" w:rsidRPr="00194419">
        <w:t>geological-</w:t>
      </w:r>
      <w:r w:rsidR="002D30CC" w:rsidRPr="00194419">
        <w:t>hydrogeological context</w:t>
      </w:r>
      <w:r w:rsidR="0088726B" w:rsidRPr="00194419">
        <w:t>s</w:t>
      </w:r>
      <w:r w:rsidR="00F84433" w:rsidRPr="00194419">
        <w:t xml:space="preserve">, as several authors have also done in other areas </w:t>
      </w:r>
      <w:r w:rsidR="0088726B" w:rsidRPr="00194419">
        <w:t>worldwide</w:t>
      </w:r>
      <w:r w:rsidR="00912438" w:rsidRPr="00194419">
        <w:t xml:space="preserve"> </w:t>
      </w:r>
      <w:r w:rsidR="00912438" w:rsidRPr="00194419">
        <w:fldChar w:fldCharType="begin" w:fldLock="1"/>
      </w:r>
      <w:r w:rsidR="00194E22" w:rsidRPr="00194419">
        <w:instrText>ADDIN CSL_CITATION {"citationItems":[{"id":"ITEM-1","itemData":{"author":[{"dropping-particle":"","family":"Lissey","given":"A.","non-dropping-particle":"","parse-names":false,"suffix":""}],"container-title":"Special Paper Geological Association of Canada","id":"ITEM-1","issued":{"date-parts":[["1971","11","4"]]},"page":"333-3411971","title":"Depression-focused transient groundwater flow patterns in Manitoba","type":"article-journal"},"uris":["http://www.mendeley.com/documents/?uuid=78e57ae0-1e9a-3635-b3eb-3361df3df44b"]},{"id":"ITEM-2","itemData":{"DOI":"10.1007/s100400050178","ISBN":"14312174 (ISSN)","ISSN":"1431-2174","abstract":"Surface-water bodies are integral parts of groundwater flow systems. Groundwater interacts with surface water in nearly all landscapes, ranging from small streams, lakes, and wetlands in headwater areas to major river valleys and seacoasts. Although it gener- ally is assumed that topographically high areas are groundwater recharge areas and topographically low areas are groundwater discharge areas, this is true primarily for regional flow systems. The superposition of local flow systems associated with surface-water bodies on this regional framework results in complex interactions between groundwater and surface water in all landscapes, regardless of regional topographic posi- tion. Hydrologic processes associated with the surface- water bodies themselves, such as seasonally high surface-water levels and evaporation and transpiration of groundwater from around the perimeter of surface- water bodies, are a major cause of the complex and seasonally dynamic groundwater flow fields associated with surface water. These processes have been docu- mented at research sites in glacial, dune, coastal, mantled karst, and riverine terrains.","author":[{"dropping-particle":"","family":"Winter","given":"Thomas C.","non-dropping-particle":"","parse-names":false,"suffix":""}],"container-title":"Hydrogeology Journal","id":"ITEM-2","issue":"1","issued":{"date-parts":[["1999"]]},"page":"28-45","title":"Relation of streams, lakes, and wetlands to groundwater flow systems","type":"article-journal","volume":"7"},"uris":["http://www.mendeley.com/documents/?uuid=c49cb441-bb3f-401a-a0e1-70c42c1d4fde"]},{"id":"ITEM-3","itemData":{"DOI":"10.1672/0277-5212(2004)024[0448:TWCACF]2.0.CO;2","ISBN":"0277-5212","ISSN":"0277-5212","abstract":"We describe a conceptual model, the wetland continuum, which allows wetland managers, sci-entists, and ecologists to consider simultaneously the influence of climate and hydrologic setting on wetland biological communities. Although multidimensional, the wetland continuum is most easily represented as a two-dimensional gradient, with ground water and atmospheric water constituting the horizontal and vertical axes, respectively. By locating the position of a wetland on both axes of the continuum, the potential biological expression of the wetland can be predicted at any point in time. The model provides a framework useful in the organization and interpretation of biological data from wetlands by incorporating the dynamic changes these systems undergo as a result of normal climatic variation rather than placing them into static categories common to many wetland classification systems. While we developed this model from the liter-ature available for depressional wetlands in the prairie pothole region of North America, we believe the concept has application to wetlands in many other geographic locations.","author":[{"dropping-particle":"","family":"Euliss","given":"Ned H","non-dropping-particle":"","parse-names":false,"suffix":""},{"dropping-particle":"","family":"Labaugh","given":"James W","non-dropping-particle":"","parse-names":false,"suffix":""},{"dropping-particle":"","family":"Fredrickson","given":"Leigh H","non-dropping-particle":"","parse-names":false,"suffix":""},{"dropping-particle":"","family":"Mushet","given":"David M","non-dropping-particle":"","parse-names":false,"suffix":""},{"dropping-particle":"","family":"Laubhan","given":"Murray K","non-dropping-particle":"","parse-names":false,"suffix":""},{"dropping-particle":"","family":"Swanson","given":"George A","non-dropping-particle":"","parse-names":false,"suffix":""},{"dropping-particle":"","family":"Winter","given":"Thomas C","non-dropping-particle":"","parse-names":false,"suffix":""},{"dropping-particle":"","family":"Rosenberry","given":"Donald O","non-dropping-particle":"","parse-names":false,"suffix":""},{"dropping-particle":"","family":"Nelson","given":"Richard D","non-dropping-particle":"","parse-names":false,"suffix":""}],"container-title":"Wetlands","id":"ITEM-3","issue":"2","issued":{"date-parts":[["2004"]]},"page":"448-458","title":"the Wetland Continuum: a Conceptual Framework for Interpreting Biological Studies","type":"article-journal","volume":"24"},"uris":["http://www.mendeley.com/documents/?uuid=1322c5af-7a31-4a4e-9520-94fdf955485f"]}],"mendeley":{"formattedCitation":"(Euliss et al., 2004; Lissey, 1971; Winter, 1999)","plainTextFormattedCitation":"(Euliss et al., 2004; Lissey, 1971; Winter, 1999)","previouslyFormattedCitation":"(Euliss et al., 2004; Lissey, 1971; Winter, 1999)"},"properties":{"noteIndex":0},"schema":"https://github.com/citation-style-language/schema/raw/master/csl-citation.json"}</w:instrText>
      </w:r>
      <w:r w:rsidR="00912438" w:rsidRPr="00194419">
        <w:fldChar w:fldCharType="separate"/>
      </w:r>
      <w:r w:rsidR="00912438" w:rsidRPr="00194419">
        <w:rPr>
          <w:noProof/>
        </w:rPr>
        <w:t>(Euliss et al., 2004; Lissey, 1971; Winter, 1999)</w:t>
      </w:r>
      <w:r w:rsidR="00912438" w:rsidRPr="00194419">
        <w:fldChar w:fldCharType="end"/>
      </w:r>
      <w:r w:rsidR="005C59DD" w:rsidRPr="00194419">
        <w:t xml:space="preserve">. </w:t>
      </w:r>
      <w:r w:rsidR="00542F36" w:rsidRPr="00194419">
        <w:t xml:space="preserve">In general terms, springs found at lower positions </w:t>
      </w:r>
      <w:r w:rsidR="00F15060" w:rsidRPr="00194419">
        <w:t>of</w:t>
      </w:r>
      <w:r w:rsidR="005C59DD" w:rsidRPr="00194419">
        <w:t xml:space="preserve"> CSC </w:t>
      </w:r>
      <w:r w:rsidR="00F15060" w:rsidRPr="00194419">
        <w:t xml:space="preserve">outcrops </w:t>
      </w:r>
      <w:r w:rsidR="00542F36" w:rsidRPr="00194419">
        <w:t xml:space="preserve">drain brine and warm groundwater, as they would be linked to long (regional) and ascending groundwater flows of great residence time within the </w:t>
      </w:r>
      <w:r w:rsidR="00542F36" w:rsidRPr="00194419">
        <w:lastRenderedPageBreak/>
        <w:t xml:space="preserve">media. </w:t>
      </w:r>
      <w:r w:rsidR="004D18E0" w:rsidRPr="00194419">
        <w:t>“Discharge w</w:t>
      </w:r>
      <w:r w:rsidR="00542F36" w:rsidRPr="00194419">
        <w:t>etlands</w:t>
      </w:r>
      <w:r w:rsidR="004D18E0" w:rsidRPr="00194419">
        <w:t>”,</w:t>
      </w:r>
      <w:r w:rsidR="00542F36" w:rsidRPr="00194419">
        <w:t xml:space="preserve"> </w:t>
      </w:r>
      <w:r w:rsidR="00444A13">
        <w:t>located</w:t>
      </w:r>
      <w:r w:rsidR="00745A87" w:rsidRPr="00194419">
        <w:t xml:space="preserve"> </w:t>
      </w:r>
      <w:r w:rsidR="00542F36" w:rsidRPr="00194419">
        <w:t>in the</w:t>
      </w:r>
      <w:r w:rsidR="005A0BA2" w:rsidRPr="00194419">
        <w:t xml:space="preserve"> same</w:t>
      </w:r>
      <w:r w:rsidR="00542F36" w:rsidRPr="00194419">
        <w:t xml:space="preserve"> context</w:t>
      </w:r>
      <w:r w:rsidR="004D18E0" w:rsidRPr="00194419">
        <w:t>,</w:t>
      </w:r>
      <w:r w:rsidR="00542F36" w:rsidRPr="00194419">
        <w:t xml:space="preserve"> </w:t>
      </w:r>
      <w:r w:rsidR="00F15060" w:rsidRPr="00194419">
        <w:t xml:space="preserve">would </w:t>
      </w:r>
      <w:r w:rsidR="004D18E0" w:rsidRPr="00194419">
        <w:t xml:space="preserve">continuously </w:t>
      </w:r>
      <w:r w:rsidR="00542F36" w:rsidRPr="00194419">
        <w:t>receive groundwater inputs, normally of high salinity, leading to long-lasting or even permanent flooding.</w:t>
      </w:r>
      <w:r w:rsidR="004D18E0" w:rsidRPr="00194419">
        <w:t xml:space="preserve"> </w:t>
      </w:r>
      <w:r w:rsidR="005A0BA2" w:rsidRPr="00194419">
        <w:t>On the other hand, a</w:t>
      </w:r>
      <w:r w:rsidR="004D18E0" w:rsidRPr="00194419">
        <w:t xml:space="preserve">t the highest </w:t>
      </w:r>
      <w:r w:rsidR="00601D74" w:rsidRPr="00194419">
        <w:rPr>
          <w:noProof/>
        </w:rPr>
        <w:t>location</w:t>
      </w:r>
      <w:r w:rsidR="004D18E0" w:rsidRPr="00194419">
        <w:t>, wetlands are located above the phreatic level and they constitute recharge features of</w:t>
      </w:r>
      <w:r w:rsidR="0088726B" w:rsidRPr="00194419">
        <w:t xml:space="preserve"> the</w:t>
      </w:r>
      <w:r w:rsidR="004D18E0" w:rsidRPr="00194419">
        <w:t xml:space="preserve"> aquifers (“recharge wetlands”). They </w:t>
      </w:r>
      <w:r w:rsidR="001E0836" w:rsidRPr="00194419">
        <w:t xml:space="preserve">normally </w:t>
      </w:r>
      <w:r w:rsidR="004D18E0" w:rsidRPr="00194419">
        <w:t xml:space="preserve">have ephemeral flooding and low-mineralized water, </w:t>
      </w:r>
      <w:r w:rsidR="004D18E0" w:rsidRPr="00194419">
        <w:rPr>
          <w:noProof/>
        </w:rPr>
        <w:t>ow</w:t>
      </w:r>
      <w:r w:rsidR="00D77611" w:rsidRPr="00194419">
        <w:rPr>
          <w:noProof/>
        </w:rPr>
        <w:t>ing</w:t>
      </w:r>
      <w:r w:rsidR="004D18E0" w:rsidRPr="00194419">
        <w:t xml:space="preserve"> to their meteoric origin or to sporadic groundwater inputs related to short local flows. Similarly, small springs and leakages found in high areas also </w:t>
      </w:r>
      <w:r w:rsidR="00F84433" w:rsidRPr="00194419">
        <w:t xml:space="preserve">drain groundwater with low salinity that would </w:t>
      </w:r>
      <w:r w:rsidR="001E0836" w:rsidRPr="00194419">
        <w:t xml:space="preserve">have </w:t>
      </w:r>
      <w:r w:rsidR="00F84433" w:rsidRPr="00194419">
        <w:t>ha</w:t>
      </w:r>
      <w:r w:rsidR="001E0836" w:rsidRPr="00194419">
        <w:t>d</w:t>
      </w:r>
      <w:r w:rsidR="00F84433" w:rsidRPr="00194419">
        <w:t xml:space="preserve"> </w:t>
      </w:r>
      <w:r w:rsidR="00D77611" w:rsidRPr="00194419">
        <w:t xml:space="preserve">a </w:t>
      </w:r>
      <w:r w:rsidR="00F84433" w:rsidRPr="00194419">
        <w:rPr>
          <w:noProof/>
        </w:rPr>
        <w:t>short</w:t>
      </w:r>
      <w:r w:rsidR="00F84433" w:rsidRPr="00194419">
        <w:t xml:space="preserve"> residence time within the aquifer. </w:t>
      </w:r>
      <w:r w:rsidR="005A0BA2" w:rsidRPr="00194419">
        <w:t>Lastly, in intermediate positions between discharge and recharge areas, there are springs and “transit wetlands” that do not constitute the final destination of groundwater flows, which would instead go towards discharge areas. Groundwater drain</w:t>
      </w:r>
      <w:r w:rsidR="001E0836" w:rsidRPr="00194419">
        <w:t>ed</w:t>
      </w:r>
      <w:r w:rsidR="005A0BA2" w:rsidRPr="00194419">
        <w:t xml:space="preserve"> through such spring</w:t>
      </w:r>
      <w:r w:rsidR="001E0836" w:rsidRPr="00194419">
        <w:t>s</w:t>
      </w:r>
      <w:r w:rsidR="005A0BA2" w:rsidRPr="00194419">
        <w:t xml:space="preserve"> and wetlands present variable mineralization</w:t>
      </w:r>
      <w:r w:rsidR="00422A4A" w:rsidRPr="00194419">
        <w:t xml:space="preserve">, as a consequence of variable contribution of groundwater flows </w:t>
      </w:r>
      <w:r w:rsidR="001E0836" w:rsidRPr="00194419">
        <w:t>with</w:t>
      </w:r>
      <w:r w:rsidR="00422A4A" w:rsidRPr="00194419">
        <w:t xml:space="preserve"> different residence times, but also</w:t>
      </w:r>
      <w:r w:rsidR="00745A87">
        <w:t xml:space="preserve"> due</w:t>
      </w:r>
      <w:r w:rsidR="00422A4A" w:rsidRPr="00194419">
        <w:t xml:space="preserve"> to the lithological heterogeneity of the media.</w:t>
      </w:r>
    </w:p>
    <w:p w14:paraId="2F2E3CAD" w14:textId="2F72DF42" w:rsidR="00422A4A" w:rsidRPr="00194419" w:rsidRDefault="00422A4A" w:rsidP="008A3630">
      <w:pPr>
        <w:spacing w:line="480" w:lineRule="auto"/>
      </w:pPr>
      <w:r w:rsidRPr="00194419">
        <w:t xml:space="preserve">The theoretical conceptual model of Andreo </w:t>
      </w:r>
      <w:r w:rsidRPr="00194419">
        <w:rPr>
          <w:i/>
        </w:rPr>
        <w:t>et al</w:t>
      </w:r>
      <w:r w:rsidRPr="00194419">
        <w:t xml:space="preserve">. </w:t>
      </w:r>
      <w:r w:rsidR="00194E22" w:rsidRPr="00194419">
        <w:fldChar w:fldCharType="begin" w:fldLock="1"/>
      </w:r>
      <w:r w:rsidR="00194E22" w:rsidRPr="00194419">
        <w:instrText>ADDIN CSL_CITATION {"citationItems":[{"id":"ITEM-1","itemData":{"DOI":"10.1007/s12665-016-5545-1","abstract":"© 2016, Springer-Verlag Berlin Heidelberg. The northern sector of the External Zone of the Betic Cordillera (S Spain) is formed by an olistostrome unit known as the Chaotic Subbetic Complexes (CSC). This megabreccia is basically made of clays and evaporite rocks (gypsum and salt) of Upper Triassic (Keuper) age as well as other lithologies (dolostones, limestones, marls and calcareous sandstones) belonging to different ages (Jurassic, Cretaceous and Tertiary). Despite of low permeability has been traditionally assumed for these materials, water flow and storage through them is possible due to the aquitard behavior of clays and sandstones and the presence of conduits generated by dissolution/karstification processes within the evaporite rocks. The lithological complexity of the CSC determines its hydrogeological heterogeneity, with groundwater flows of different length and various scales from recharge areas to discharge zones. Thus, wetlands and springs placed at lower altitudes are associated with large (regional) groundwater flows, of greater residence time within the aquifer, and they normally drain high salinity waters mostly connected with ascending flow. This work provides an overview of the main geological and hydrogeological aspects related to groundwater flow within the CSC on the basis of several case-studies. Conceptual models are proposed for these cases, since they are the base to carry out a genetic-functional classification of wetlands potentially useful for their management.","author":[{"dropping-particle":"","family":"Andreo","given":"Bartolomé","non-dropping-particle":"","parse-names":false,"suffix":""},{"dropping-particle":"","family":"Gil-Márquez","given":"José Manuel","non-dropping-particle":"","parse-names":false,"suffix":""},{"dropping-particle":"","family":"Mudarra","given":"Matías","non-dropping-particle":"","parse-names":false,"suffix":""},{"dropping-particle":"","family":"Linares","given":"Luis","non-dropping-particle":"","parse-names":false,"suffix":""},{"dropping-particle":"","family":"Carrasco","given":"Francisco","non-dropping-particle":"","parse-names":false,"suffix":""}],"container-title":"Environmental Earth Sciences","id":"ITEM-1","issue":"9","issued":{"date-parts":[["2016"]]},"page":"1-19","title":"Hypothesis on the hydrogeological context of wetland areas and springs related to evaporitic karst aquifers (Málaga, Córdoba and Jaén provinces, Southern Spain)","type":"article-journal","volume":"75"},"uris":["http://www.mendeley.com/documents/?uuid=de2b44fe-b64d-31c9-9255-128364900901"]}],"mendeley":{"formattedCitation":"(Andreo et al., 2016)","manualFormatting":"(2016)","plainTextFormattedCitation":"(Andreo et al., 2016)","previouslyFormattedCitation":"(Andreo et al., 2016)"},"properties":{"noteIndex":0},"schema":"https://github.com/citation-style-language/schema/raw/master/csl-citation.json"}</w:instrText>
      </w:r>
      <w:r w:rsidR="00194E22" w:rsidRPr="00194419">
        <w:fldChar w:fldCharType="separate"/>
      </w:r>
      <w:r w:rsidR="00194E22" w:rsidRPr="00194419">
        <w:rPr>
          <w:noProof/>
        </w:rPr>
        <w:t>(2016)</w:t>
      </w:r>
      <w:r w:rsidR="00194E22" w:rsidRPr="00194419">
        <w:fldChar w:fldCharType="end"/>
      </w:r>
      <w:r w:rsidRPr="00194419">
        <w:t xml:space="preserve"> is appropriate to describe the </w:t>
      </w:r>
      <w:r w:rsidR="00BC2D80" w:rsidRPr="00194419">
        <w:t xml:space="preserve">general </w:t>
      </w:r>
      <w:r w:rsidRPr="00194419">
        <w:t xml:space="preserve">hydrodiversity and the hydrogeological context of wetlands </w:t>
      </w:r>
      <w:r w:rsidR="00745A87">
        <w:t>located</w:t>
      </w:r>
      <w:r w:rsidR="00745A87" w:rsidRPr="00194419">
        <w:t xml:space="preserve"> </w:t>
      </w:r>
      <w:r w:rsidRPr="00194419">
        <w:t xml:space="preserve">in the CSC. </w:t>
      </w:r>
      <w:r w:rsidR="00BC2D80" w:rsidRPr="00194419">
        <w:t xml:space="preserve">However, </w:t>
      </w:r>
      <w:r w:rsidRPr="00194419">
        <w:t xml:space="preserve">this model </w:t>
      </w:r>
      <w:r w:rsidR="00BC2D80" w:rsidRPr="00194419">
        <w:t>is not</w:t>
      </w:r>
      <w:r w:rsidRPr="00194419">
        <w:t xml:space="preserve"> completely </w:t>
      </w:r>
      <w:r w:rsidR="00BC2D80" w:rsidRPr="00194419">
        <w:t>replicated in every</w:t>
      </w:r>
      <w:r w:rsidRPr="00194419">
        <w:t xml:space="preserve"> evaporitic karst </w:t>
      </w:r>
      <w:r w:rsidR="0088726B" w:rsidRPr="00194419">
        <w:t>area</w:t>
      </w:r>
      <w:r w:rsidRPr="00194419">
        <w:t>,</w:t>
      </w:r>
      <w:r w:rsidR="00BC2D80" w:rsidRPr="00194419">
        <w:t xml:space="preserve"> due to their specific </w:t>
      </w:r>
      <w:r w:rsidRPr="00194419">
        <w:t>g</w:t>
      </w:r>
      <w:r w:rsidR="00BC2D80" w:rsidRPr="00194419">
        <w:t xml:space="preserve">eological and geomorphological particularities. Consequently, </w:t>
      </w:r>
      <w:r w:rsidR="006266DD" w:rsidRPr="00194419">
        <w:t xml:space="preserve">four </w:t>
      </w:r>
      <w:r w:rsidR="00D6764F" w:rsidRPr="00194419">
        <w:t xml:space="preserve">different study areas have been considered in this work, which </w:t>
      </w:r>
      <w:r w:rsidR="00D6764F" w:rsidRPr="00194419">
        <w:rPr>
          <w:noProof/>
        </w:rPr>
        <w:t>are</w:t>
      </w:r>
      <w:r w:rsidR="00D6764F" w:rsidRPr="00194419">
        <w:t xml:space="preserve"> located in different provinces of Andalusia (Fig. 1): </w:t>
      </w:r>
      <w:r w:rsidR="003E4886">
        <w:t xml:space="preserve">the </w:t>
      </w:r>
      <w:r w:rsidR="00D6764F" w:rsidRPr="00194419">
        <w:t xml:space="preserve">Jarales area, in </w:t>
      </w:r>
      <w:r w:rsidR="003E4886">
        <w:t xml:space="preserve">the </w:t>
      </w:r>
      <w:r w:rsidR="00D6764F" w:rsidRPr="00194419">
        <w:t>Cordoba Province</w:t>
      </w:r>
      <w:r w:rsidR="001939D1" w:rsidRPr="00194419">
        <w:t xml:space="preserve">; </w:t>
      </w:r>
      <w:r w:rsidR="006266DD" w:rsidRPr="00194419">
        <w:t xml:space="preserve">Western (Los Hoyos) and Eastern sectors of </w:t>
      </w:r>
      <w:r w:rsidR="003E4886">
        <w:t xml:space="preserve">the </w:t>
      </w:r>
      <w:r w:rsidR="0088726B" w:rsidRPr="00194419">
        <w:t>Trias of Antequera area, in</w:t>
      </w:r>
      <w:r w:rsidR="003E4886">
        <w:t xml:space="preserve"> the</w:t>
      </w:r>
      <w:r w:rsidR="0088726B" w:rsidRPr="00194419">
        <w:t xml:space="preserve"> Málaga province; and </w:t>
      </w:r>
      <w:r w:rsidR="003E4886">
        <w:t xml:space="preserve">the </w:t>
      </w:r>
      <w:r w:rsidR="001939D1" w:rsidRPr="00194419">
        <w:t xml:space="preserve">Brujuelo area, in </w:t>
      </w:r>
      <w:r w:rsidR="003E4886">
        <w:t xml:space="preserve">the </w:t>
      </w:r>
      <w:r w:rsidR="001939D1" w:rsidRPr="00194419">
        <w:t>Jaén Province</w:t>
      </w:r>
      <w:r w:rsidR="006266DD" w:rsidRPr="00194419">
        <w:t>.</w:t>
      </w:r>
    </w:p>
    <w:p w14:paraId="2EF920AC" w14:textId="24FCBF57" w:rsidR="0088726B" w:rsidRPr="00194419" w:rsidRDefault="0088726B" w:rsidP="00444A13">
      <w:pPr>
        <w:pStyle w:val="Prrafodelista"/>
        <w:keepNext/>
        <w:numPr>
          <w:ilvl w:val="1"/>
          <w:numId w:val="1"/>
        </w:numPr>
        <w:spacing w:line="480" w:lineRule="auto"/>
        <w:ind w:left="788" w:hanging="431"/>
        <w:rPr>
          <w:b/>
        </w:rPr>
      </w:pPr>
      <w:r w:rsidRPr="00194419">
        <w:rPr>
          <w:b/>
        </w:rPr>
        <w:lastRenderedPageBreak/>
        <w:t>Jarales area</w:t>
      </w:r>
    </w:p>
    <w:p w14:paraId="086128AF" w14:textId="433704C3" w:rsidR="007B3FB9" w:rsidRPr="00194419" w:rsidRDefault="003E4886" w:rsidP="008A3630">
      <w:pPr>
        <w:spacing w:line="480" w:lineRule="auto"/>
      </w:pPr>
      <w:r>
        <w:t xml:space="preserve">The </w:t>
      </w:r>
      <w:r w:rsidR="00A33C1A" w:rsidRPr="00194419">
        <w:t xml:space="preserve">Jarales area </w:t>
      </w:r>
      <w:r w:rsidR="00FF2A2B" w:rsidRPr="00194419">
        <w:t>(Fig. 1B)</w:t>
      </w:r>
      <w:r w:rsidR="00C749B2" w:rsidRPr="00194419">
        <w:t xml:space="preserve"> </w:t>
      </w:r>
      <w:r w:rsidR="00A33C1A" w:rsidRPr="00194419">
        <w:t>is a plateau (80 km</w:t>
      </w:r>
      <w:r w:rsidR="00A33C1A" w:rsidRPr="00194419">
        <w:rPr>
          <w:vertAlign w:val="superscript"/>
        </w:rPr>
        <w:t>2</w:t>
      </w:r>
      <w:r w:rsidR="00A33C1A" w:rsidRPr="00194419">
        <w:t>) surrounded by Genil</w:t>
      </w:r>
      <w:r w:rsidR="00FF2A2B" w:rsidRPr="00194419">
        <w:t xml:space="preserve"> River</w:t>
      </w:r>
      <w:r w:rsidR="00A33C1A" w:rsidRPr="00194419">
        <w:t xml:space="preserve"> (SW)</w:t>
      </w:r>
      <w:r w:rsidR="00FF2A2B" w:rsidRPr="00194419">
        <w:t xml:space="preserve"> and its tributary, Anzur R</w:t>
      </w:r>
      <w:r w:rsidR="00A33C1A" w:rsidRPr="00194419">
        <w:t xml:space="preserve">iver </w:t>
      </w:r>
      <w:r w:rsidR="00FF2A2B" w:rsidRPr="00194419">
        <w:t>(NE)</w:t>
      </w:r>
      <w:r w:rsidR="001971A1" w:rsidRPr="00194419">
        <w:t xml:space="preserve">. </w:t>
      </w:r>
      <w:r w:rsidR="007A1C22" w:rsidRPr="00194419">
        <w:t xml:space="preserve">The central part of the area rises </w:t>
      </w:r>
      <w:r w:rsidR="00F32AC9" w:rsidRPr="00194419">
        <w:t>350 to 440 m a.s.l.</w:t>
      </w:r>
      <w:r w:rsidR="007A1C22" w:rsidRPr="00194419">
        <w:t xml:space="preserve"> and has smooth </w:t>
      </w:r>
      <w:r w:rsidR="00D77611" w:rsidRPr="00194419">
        <w:rPr>
          <w:noProof/>
        </w:rPr>
        <w:t>relief</w:t>
      </w:r>
      <w:r w:rsidR="007A1C22" w:rsidRPr="00194419">
        <w:t xml:space="preserve">, </w:t>
      </w:r>
      <w:r w:rsidR="001E0836" w:rsidRPr="00194419">
        <w:t xml:space="preserve">with a </w:t>
      </w:r>
      <w:r w:rsidR="00AE52F1" w:rsidRPr="00194419">
        <w:t xml:space="preserve">poorly </w:t>
      </w:r>
      <w:r w:rsidR="007A1C22" w:rsidRPr="00194419">
        <w:t>d</w:t>
      </w:r>
      <w:r w:rsidR="00AE52F1" w:rsidRPr="00194419">
        <w:t>efine drainage network and numerous endorheic areas, some of which often host wetlands, as</w:t>
      </w:r>
      <w:r w:rsidR="001E0836" w:rsidRPr="00194419">
        <w:t xml:space="preserve"> a</w:t>
      </w:r>
      <w:r w:rsidR="00AE52F1" w:rsidRPr="00194419">
        <w:t xml:space="preserve"> result of hydraulic interactions with the water table</w:t>
      </w:r>
      <w:r w:rsidR="000A4DBE" w:rsidRPr="00194419">
        <w:t>, while</w:t>
      </w:r>
      <w:r w:rsidR="0079487B" w:rsidRPr="00194419">
        <w:t xml:space="preserve"> </w:t>
      </w:r>
      <w:r w:rsidR="00E93737" w:rsidRPr="00194419">
        <w:t>some</w:t>
      </w:r>
      <w:r w:rsidR="0079487B" w:rsidRPr="00194419">
        <w:t xml:space="preserve"> </w:t>
      </w:r>
      <w:r w:rsidR="000A4DBE" w:rsidRPr="00194419">
        <w:t xml:space="preserve">others </w:t>
      </w:r>
      <w:r w:rsidR="0079487B" w:rsidRPr="00194419">
        <w:t>are naturally drained through swallow holes</w:t>
      </w:r>
      <w:r w:rsidR="00E93737" w:rsidRPr="00194419">
        <w:t>.</w:t>
      </w:r>
      <w:r w:rsidR="003D29BE" w:rsidRPr="00194419">
        <w:t xml:space="preserve"> </w:t>
      </w:r>
      <w:r w:rsidR="000A4DBE" w:rsidRPr="00194419">
        <w:t>R</w:t>
      </w:r>
      <w:r w:rsidR="00525C92" w:rsidRPr="00194419">
        <w:t xml:space="preserve">echarge occurs by </w:t>
      </w:r>
      <w:r w:rsidR="000A4DBE" w:rsidRPr="00194419">
        <w:t xml:space="preserve">the direct entrance of runoff through swallow holes, by </w:t>
      </w:r>
      <w:r w:rsidR="00525C92" w:rsidRPr="00194419">
        <w:t>means of water infiltration through permeable exposures and, likely, through the bottom of wetlands. Groundwater flows</w:t>
      </w:r>
      <w:r w:rsidR="00EB18F9" w:rsidRPr="00194419">
        <w:t xml:space="preserve">, </w:t>
      </w:r>
      <w:r w:rsidR="00525C92" w:rsidRPr="00194419">
        <w:t>in a radial</w:t>
      </w:r>
      <w:r w:rsidR="00EB18F9" w:rsidRPr="00194419">
        <w:t xml:space="preserve"> and</w:t>
      </w:r>
      <w:r w:rsidR="00525C92" w:rsidRPr="00194419">
        <w:t xml:space="preserve"> centrifugal way, from the central part of the plateau</w:t>
      </w:r>
      <w:r w:rsidR="00EB18F9" w:rsidRPr="00194419">
        <w:t xml:space="preserve"> towards its borders (Fig. 1B), where the main outlets are located. The most important discharge points are Lower Anzur spring (J1, 247 </w:t>
      </w:r>
      <w:r w:rsidR="00EB18F9" w:rsidRPr="00194419">
        <w:rPr>
          <w:noProof/>
        </w:rPr>
        <w:t>m a</w:t>
      </w:r>
      <w:r w:rsidR="00EB18F9" w:rsidRPr="00194419">
        <w:t xml:space="preserve">.s.l.), to the north, Salinillas spring (J2, 253 </w:t>
      </w:r>
      <w:r w:rsidR="00EB18F9" w:rsidRPr="00194419">
        <w:rPr>
          <w:noProof/>
        </w:rPr>
        <w:t>m a</w:t>
      </w:r>
      <w:r w:rsidR="00EB18F9" w:rsidRPr="00194419">
        <w:t xml:space="preserve">.s.l.), by Genil River, and Upper Anzur spring (J3, 300 </w:t>
      </w:r>
      <w:r w:rsidR="00EB18F9" w:rsidRPr="00194419">
        <w:rPr>
          <w:noProof/>
        </w:rPr>
        <w:t>m a</w:t>
      </w:r>
      <w:r w:rsidR="00EB18F9" w:rsidRPr="00194419">
        <w:t>.s.l.), eastwards (Fig. 1B)</w:t>
      </w:r>
      <w:r w:rsidR="00257E68" w:rsidRPr="00194419">
        <w:t>; all of them draining brine water</w:t>
      </w:r>
      <w:r w:rsidR="00EB18F9" w:rsidRPr="00194419">
        <w:t xml:space="preserve">. </w:t>
      </w:r>
      <w:r w:rsidR="00257E68" w:rsidRPr="00194419">
        <w:t>Lower Anzur spring (J1)</w:t>
      </w:r>
      <w:r w:rsidR="00EB18F9" w:rsidRPr="00194419">
        <w:t xml:space="preserve"> </w:t>
      </w:r>
      <w:r w:rsidR="00744AAF" w:rsidRPr="00194419">
        <w:t>is</w:t>
      </w:r>
      <w:r w:rsidR="00525C92" w:rsidRPr="00194419">
        <w:t xml:space="preserve"> hydrogeologically connected to </w:t>
      </w:r>
      <w:r w:rsidR="00744AAF" w:rsidRPr="00194419">
        <w:t>some karst swallow holes</w:t>
      </w:r>
      <w:r w:rsidR="00525C92" w:rsidRPr="00194419">
        <w:t>, as</w:t>
      </w:r>
      <w:r w:rsidR="0088726B" w:rsidRPr="00194419">
        <w:t xml:space="preserve"> </w:t>
      </w:r>
      <w:r w:rsidRPr="00194419">
        <w:t xml:space="preserve">proved </w:t>
      </w:r>
      <w:r>
        <w:t xml:space="preserve">by </w:t>
      </w:r>
      <w:r w:rsidR="0088726B" w:rsidRPr="00194419">
        <w:t>a</w:t>
      </w:r>
      <w:r w:rsidR="00525C92" w:rsidRPr="00194419">
        <w:t xml:space="preserve"> </w:t>
      </w:r>
      <w:r w:rsidR="0088726B" w:rsidRPr="00194419">
        <w:t xml:space="preserve">multi-injection </w:t>
      </w:r>
      <w:r w:rsidR="00525C92" w:rsidRPr="00194419">
        <w:t>dye tracer test</w:t>
      </w:r>
      <w:r w:rsidR="00E93737" w:rsidRPr="00194419">
        <w:t xml:space="preserve"> </w:t>
      </w:r>
      <w:r w:rsidR="00194E22" w:rsidRPr="00194419">
        <w:fldChar w:fldCharType="begin" w:fldLock="1"/>
      </w:r>
      <w:r w:rsidR="003A7DC8" w:rsidRPr="00194419">
        <w:instrText>ADDIN CSL_CITATION {"citationItems":[{"id":"ITEM-1","itemData":{"DOI":"https://doi.org/10.5038/1827-806X.46.2.2115","author":[{"dropping-particle":"","family":"Gil-Márquez","given":"José Manuel","non-dropping-particle":"","parse-names":false,"suffix":""},{"dropping-particle":"","family":"Barberá","given":"Juan Antonio","non-dropping-particle":"","parse-names":false,"suffix":""},{"dropping-particle":"","family":"Mudarra","given":"Matías","non-dropping-particle":"","parse-names":false,"suffix":""},{"dropping-particle":"","family":"Andreo","given":"Bartolomé","non-dropping-particle":"","parse-names":false,"suffix":""},{"dropping-particle":"","family":"Prieto-Mera","given":"Jorge","non-dropping-particle":"","parse-names":false,"suffix":""},{"dropping-particle":"","family":"Sánchez","given":"Damián","non-dropping-particle":"","parse-names":false,"suffix":""},{"dropping-particle":"","family":"Rizo-Decelis","given":"Luis David","non-dropping-particle":"","parse-names":false,"suffix":""},{"dropping-particle":"","family":"Argamasilla","given":"Manuel","non-dropping-particle":"","parse-names":false,"suffix":""},{"dropping-particle":"","family":"Nieto","given":"José Manuel","non-dropping-particle":"","parse-names":false,"suffix":""},{"dropping-particle":"","family":"la Torre","given":"Beatriz","non-dropping-particle":"De","parse-names":false,"suffix":""}],"container-title":"International Journal of Speleology","id":"ITEM-1","issue":"2","issued":{"date-parts":[["2017"]]},"page":"219-235","title":"Karst development of an evaporitic system and its hydrogeological implications inferred from GIS-based analysis and tracing techniques","type":"article-journal","volume":"46"},"uris":["http://www.mendeley.com/documents/?uuid=b1611886-1290-41cb-984d-a71ada92160d"]}],"mendeley":{"formattedCitation":"(José Manuel Gil-Márquez et al., 2017)","manualFormatting":"(Gil-Márquez et al., 2017a)","plainTextFormattedCitation":"(José Manuel Gil-Márquez et al., 2017)","previouslyFormattedCitation":"(José Manuel Gil-Márquez et al., 2017)"},"properties":{"noteIndex":0},"schema":"https://github.com/citation-style-language/schema/raw/master/csl-citation.json"}</w:instrText>
      </w:r>
      <w:r w:rsidR="00194E22" w:rsidRPr="00194419">
        <w:fldChar w:fldCharType="separate"/>
      </w:r>
      <w:r w:rsidR="0003615F" w:rsidRPr="00194419">
        <w:rPr>
          <w:noProof/>
        </w:rPr>
        <w:t>(Gil-Márquez et al., 2017</w:t>
      </w:r>
      <w:r w:rsidR="006266DD" w:rsidRPr="00194419">
        <w:rPr>
          <w:noProof/>
        </w:rPr>
        <w:t>a</w:t>
      </w:r>
      <w:r w:rsidR="0003615F" w:rsidRPr="00194419">
        <w:rPr>
          <w:noProof/>
        </w:rPr>
        <w:t>)</w:t>
      </w:r>
      <w:r w:rsidR="00194E22" w:rsidRPr="00194419">
        <w:fldChar w:fldCharType="end"/>
      </w:r>
      <w:r w:rsidR="00744AAF" w:rsidRPr="00194419">
        <w:t xml:space="preserve">, allowing rapid and abundant arrival of </w:t>
      </w:r>
      <w:r w:rsidR="00B53F19" w:rsidRPr="00194419">
        <w:t>recently</w:t>
      </w:r>
      <w:r w:rsidR="00744AAF" w:rsidRPr="00194419">
        <w:t xml:space="preserve"> infiltrated water</w:t>
      </w:r>
      <w:r w:rsidR="00B53F19" w:rsidRPr="00194419">
        <w:t>.</w:t>
      </w:r>
    </w:p>
    <w:p w14:paraId="3DBFA126" w14:textId="207FF9E8" w:rsidR="0088726B" w:rsidRPr="00194419" w:rsidRDefault="0088726B" w:rsidP="008A3630">
      <w:pPr>
        <w:pStyle w:val="Prrafodelista"/>
        <w:numPr>
          <w:ilvl w:val="1"/>
          <w:numId w:val="1"/>
        </w:numPr>
        <w:spacing w:line="480" w:lineRule="auto"/>
        <w:rPr>
          <w:b/>
        </w:rPr>
      </w:pPr>
      <w:r w:rsidRPr="00194419">
        <w:rPr>
          <w:b/>
        </w:rPr>
        <w:t>Trias de Antequera area</w:t>
      </w:r>
    </w:p>
    <w:p w14:paraId="34139CA3" w14:textId="077A4235" w:rsidR="000A4DBE" w:rsidRPr="00194419" w:rsidRDefault="00410688" w:rsidP="008A3630">
      <w:pPr>
        <w:spacing w:line="480" w:lineRule="auto"/>
      </w:pPr>
      <w:r w:rsidRPr="00194419">
        <w:t xml:space="preserve">The </w:t>
      </w:r>
      <w:r w:rsidR="00B53F19" w:rsidRPr="00194419">
        <w:t xml:space="preserve">Trias </w:t>
      </w:r>
      <w:r w:rsidR="001E2814" w:rsidRPr="00194419">
        <w:t xml:space="preserve">de </w:t>
      </w:r>
      <w:r w:rsidR="00B53F19" w:rsidRPr="00194419">
        <w:t xml:space="preserve">Antequera </w:t>
      </w:r>
      <w:r w:rsidR="003B217F" w:rsidRPr="00194419">
        <w:t xml:space="preserve">(TA) </w:t>
      </w:r>
      <w:r w:rsidR="00B53F19" w:rsidRPr="00194419">
        <w:t xml:space="preserve">area (Fig. 1C) is an elongated CSC outcrop of ENE-WSW direction located in the northern part of Malaga province. It is one of the most remarkable evaporite karst in Spain, with </w:t>
      </w:r>
      <w:r w:rsidR="00C3609F" w:rsidRPr="00194419">
        <w:t xml:space="preserve">numerous examples of </w:t>
      </w:r>
      <w:r w:rsidR="00B53F19" w:rsidRPr="00194419">
        <w:t xml:space="preserve">exokarst </w:t>
      </w:r>
      <w:r w:rsidR="00C20B9C" w:rsidRPr="00194419">
        <w:t xml:space="preserve">(dolines, collapses, karstic canyons) </w:t>
      </w:r>
      <w:r w:rsidR="00B53F19" w:rsidRPr="00194419">
        <w:t xml:space="preserve">and endokarst </w:t>
      </w:r>
      <w:r w:rsidR="00C20B9C" w:rsidRPr="00194419">
        <w:t xml:space="preserve">(caves) </w:t>
      </w:r>
      <w:r w:rsidR="00C3609F" w:rsidRPr="00194419">
        <w:t>features</w:t>
      </w:r>
      <w:r w:rsidR="00257E68" w:rsidRPr="00194419">
        <w:t xml:space="preserve">, whose appearance is conditioned by the uplifting of the ground due to halokinetic </w:t>
      </w:r>
      <w:r w:rsidR="008F25A3" w:rsidRPr="00194419">
        <w:t>processes</w:t>
      </w:r>
      <w:r w:rsidRPr="00194419">
        <w:t xml:space="preserve"> </w:t>
      </w:r>
      <w:r w:rsidR="00194E22" w:rsidRPr="00194419">
        <w:fldChar w:fldCharType="begin" w:fldLock="1"/>
      </w:r>
      <w:r w:rsidR="00194E22" w:rsidRPr="00194419">
        <w:instrText>ADDIN CSL_CITATION {"citationItems":[{"id":"ITEM-1","itemData":{"abstract":"In the Triassic evaporite deposits of the Betic Cordillera, halokinesis has played a fundamental role in the morphodynamic evolution of gypsum karst, as evidenced by the morphology and distribution of dolines and poljes, by data obtained from caves, and from the types of water associated with evaporite domes. Distribution patterns of major exokarstic forms display a subcircular array with collapse sinkholes located in the centre of the domes and solution drawdown dolines on the outer limits of the diapiric forms. In addition, the least mineralized waters are situated in association with the caprock gypsum; hypersaline waters, which are also hotter, drain deeper flow systems that flow out at the edges of the halokinetic structures. The morphodynamic and hydrogeological information constitute a valuable tool for the correct interpretation of the tectonic structure of such complex areas.","author":[{"dropping-particle":"","family":"Calaforra","given":"José M.","non-dropping-particle":"","parse-names":false,"suffix":""},{"dropping-particle":"","family":"Pulido-Bosch","given":"Antonio","non-dropping-particle":"","parse-names":false,"suffix":""}],"container-title":"Geomorphology","id":"ITEM-1","issue":"3-4","issued":{"date-parts":[["1999"]]},"page":"251-264","title":"Gypsum karst features as evidence of diapiric processes in the Betic Cordillera, Southern Spain","type":"article-journal","volume":"29"},"uris":["http://www.mendeley.com/documents/?uuid=9f8dcc9e-09b0-4a5d-b902-e2100916ca77"]}],"mendeley":{"formattedCitation":"(Calaforra and Pulido-Bosch, 1999)","plainTextFormattedCitation":"(Calaforra and Pulido-Bosch, 1999)","previouslyFormattedCitation":"(Calaforra and Pulido-Bosch, 1999)"},"properties":{"noteIndex":0},"schema":"https://github.com/citation-style-language/schema/raw/master/csl-citation.json"}</w:instrText>
      </w:r>
      <w:r w:rsidR="00194E22" w:rsidRPr="00194419">
        <w:fldChar w:fldCharType="separate"/>
      </w:r>
      <w:r w:rsidR="00194E22" w:rsidRPr="00194419">
        <w:rPr>
          <w:noProof/>
        </w:rPr>
        <w:t>(Calaforra and Pulido-Bosch, 1999)</w:t>
      </w:r>
      <w:r w:rsidR="00194E22" w:rsidRPr="00194419">
        <w:fldChar w:fldCharType="end"/>
      </w:r>
      <w:r w:rsidR="00C20B9C" w:rsidRPr="00194419">
        <w:t xml:space="preserve">. </w:t>
      </w:r>
      <w:r w:rsidR="008F25A3" w:rsidRPr="00194419">
        <w:t>The hydrogeological functioning of</w:t>
      </w:r>
      <w:r w:rsidR="00E90CF9" w:rsidRPr="00194419">
        <w:t xml:space="preserve"> the</w:t>
      </w:r>
      <w:r w:rsidR="008F25A3" w:rsidRPr="00194419">
        <w:t xml:space="preserve"> </w:t>
      </w:r>
      <w:r w:rsidR="00E90CF9" w:rsidRPr="00194419">
        <w:t>TA</w:t>
      </w:r>
      <w:r w:rsidR="008F25A3" w:rsidRPr="00194419">
        <w:t xml:space="preserve"> is highly influenced by preferential </w:t>
      </w:r>
      <w:r w:rsidR="00C749B2" w:rsidRPr="00194419">
        <w:t>infiltration</w:t>
      </w:r>
      <w:r w:rsidR="008F25A3" w:rsidRPr="00194419">
        <w:t xml:space="preserve"> forms related to karst dynamic. </w:t>
      </w:r>
      <w:r w:rsidR="00712965" w:rsidRPr="00194419">
        <w:t xml:space="preserve">There are </w:t>
      </w:r>
      <w:r w:rsidR="008F25A3" w:rsidRPr="00194419">
        <w:t xml:space="preserve">also </w:t>
      </w:r>
      <w:r w:rsidR="00712965" w:rsidRPr="00194419">
        <w:t>important wetlands in this area</w:t>
      </w:r>
      <w:r w:rsidR="00257E68" w:rsidRPr="00194419">
        <w:t xml:space="preserve">, such as the </w:t>
      </w:r>
      <w:r w:rsidR="00C749B2" w:rsidRPr="00194419">
        <w:lastRenderedPageBreak/>
        <w:t xml:space="preserve">complexes of </w:t>
      </w:r>
      <w:r w:rsidR="00257E68" w:rsidRPr="00194419">
        <w:t>wetland</w:t>
      </w:r>
      <w:r w:rsidR="00C749B2" w:rsidRPr="00194419">
        <w:t>s</w:t>
      </w:r>
      <w:r w:rsidR="00257E68" w:rsidRPr="00194419">
        <w:t xml:space="preserve"> of Campillos, Antequera</w:t>
      </w:r>
      <w:r w:rsidRPr="00194419">
        <w:t>,</w:t>
      </w:r>
      <w:r w:rsidR="00257E68" w:rsidRPr="00194419">
        <w:t xml:space="preserve"> </w:t>
      </w:r>
      <w:r w:rsidR="00257E68" w:rsidRPr="00194419">
        <w:rPr>
          <w:noProof/>
        </w:rPr>
        <w:t>and</w:t>
      </w:r>
      <w:r w:rsidR="00257E68" w:rsidRPr="00194419">
        <w:t xml:space="preserve"> Archidona (Fig. 1C). </w:t>
      </w:r>
      <w:r w:rsidR="008F25A3" w:rsidRPr="00194419">
        <w:t xml:space="preserve">Groundwater discharge takes place towards some of </w:t>
      </w:r>
      <w:r w:rsidR="008F25A3" w:rsidRPr="00194419">
        <w:rPr>
          <w:noProof/>
        </w:rPr>
        <w:t>th</w:t>
      </w:r>
      <w:r w:rsidRPr="00194419">
        <w:rPr>
          <w:noProof/>
        </w:rPr>
        <w:t>ese</w:t>
      </w:r>
      <w:r w:rsidR="008F25A3" w:rsidRPr="00194419">
        <w:rPr>
          <w:noProof/>
        </w:rPr>
        <w:t xml:space="preserve"> wetlands</w:t>
      </w:r>
      <w:r w:rsidR="00194E22" w:rsidRPr="00194419">
        <w:rPr>
          <w:noProof/>
        </w:rPr>
        <w:t xml:space="preserve"> </w:t>
      </w:r>
      <w:r w:rsidR="00194E22" w:rsidRPr="00194419">
        <w:rPr>
          <w:noProof/>
        </w:rPr>
        <w:fldChar w:fldCharType="begin" w:fldLock="1"/>
      </w:r>
      <w:r w:rsidR="00194E22" w:rsidRPr="00194419">
        <w:rPr>
          <w:noProof/>
        </w:rPr>
        <w:instrText>ADDIN CSL_CITATION {"citationItems":[{"id":"ITEM-1","itemData":{"author":[{"dropping-particle":"","family":"Linares","given":"Luis","non-dropping-particle":"","parse-names":false,"suffix":""}],"id":"ITEM-1","issued":{"date-parts":[["1990"]]},"publisher":"Univ. Granada","title":"Hydrogeology of Fuente de Piedra Wetland (Málaga).","type":"thesis"},"uris":["http://www.mendeley.com/documents/?uuid=a4cb8928-222a-45dd-bf6d-62b674c04af3"]},{"id":"ITEM-2","itemData":{"DOI":"10.1016/j.jaridenv.2005.10.018","ISBN":"0140-1963","ISSN":"01401963","abstract":"Playa lakes occur in arid and semi-arid climates and have a significant economic, ecological and cultural value. They are particularly vulnerable to changing hydrologic regimes due to climate change or human activities. We determined the hydrological regime of 10 playa lakes in southern Spain based on water budgets for a 5-year period (1997-2001). Surface runoff was measured in the watersheds, precipitation and evaporation/evapo-transpiration estimated using local meteorological data and ground-water flows assessed using a network of wells and piezometers. The examination of seasonal variations in the lakes' water levels and the water budgets indicated that ground-water discharge plays a key role in the hydrological dynamics and the maintenance of the playa ecosystems. Major inorganic ions and stable hydrogen and oxygen isotopes in lake water, ground-water and springs were measured. Water samples from the lakes and ground-water were a mixture of cations -SO4\n2- and -Cl- type due to the aridity of the climate and lithologies of the basin. The high TDS (63.4 g/l) content of some ground-water samples indicates regional geologic control on water quality and the dissolution of gypsum and halite. Stable oxygen isotope ratios for lake water (-3.6 to 9.8‰ δ18OSMOW) were different from those of ground-water and springs (-6.8 to 1.1‰ δ18OSMOW) suggesting different evolutional patterns. The results of this study provides evidence that the combination of water budgets, hydrochemistry and stable isotope hydrology can lead to a better understanding of wet playa's hydrology. This approach could, thus, prove helpful to establish hydrological regimes in this type of semi-arid environments. © 2005 Elsevier Ltd. All rights reserved.","author":[{"dropping-particle":"","family":"Rodríguez-Rodríguez","given":"M.","non-dropping-particle":"","parse-names":false,"suffix":""},{"dropping-particle":"","family":"Benavente","given":"J.","non-dropping-particle":"","parse-names":false,"suffix":""},{"dropping-particle":"","family":"Cruz-San Julián","given":"J. J.","non-dropping-particle":"","parse-names":false,"suffix":""},{"dropping-particle":"","family":"Moral Martos","given":"F.","non-dropping-particle":"","parse-names":false,"suffix":""}],"container-title":"Journal of Arid Environments","id":"ITEM-2","issue":"2","issued":{"date-parts":[["2006"]]},"page":"272-289","title":"Estimation of ground-water exchange with semi-arid playa lakes (Antequera region, southern Spain)","type":"article-journal","volume":"66"},"uris":["http://www.mendeley.com/documents/?uuid=91ef1231-dc44-4c00-8f4e-60d538f7d17a"]},{"id":"ITEM-3","itemData":{"author":[{"dropping-particle":"","family":"Almécija","given":"C.","non-dropping-particle":"","parse-names":false,"suffix":""}],"id":"ITEM-3","issued":{"date-parts":[["1997"]]},"publisher":"Univ. Granada","title":"Hydrological and hydrochemical study of the wetland complexes at the north of the province of Malaga","type":"thesis"},"uris":["http://www.mendeley.com/documents/?uuid=4e760178-f36e-47c1-8eda-407ac43bf531"]}],"mendeley":{"formattedCitation":"(Almécija, 1997; Linares, 1990; Rodríguez-Rodríguez et al., 2006)","plainTextFormattedCitation":"(Almécija, 1997; Linares, 1990; Rodríguez-Rodríguez et al., 2006)","previouslyFormattedCitation":"(Almécija, 1997; Linares, 1990; Rodríguez-Rodríguez et al., 2006)"},"properties":{"noteIndex":0},"schema":"https://github.com/citation-style-language/schema/raw/master/csl-citation.json"}</w:instrText>
      </w:r>
      <w:r w:rsidR="00194E22" w:rsidRPr="00194419">
        <w:rPr>
          <w:noProof/>
        </w:rPr>
        <w:fldChar w:fldCharType="separate"/>
      </w:r>
      <w:r w:rsidR="00194E22" w:rsidRPr="00194419">
        <w:rPr>
          <w:noProof/>
        </w:rPr>
        <w:t>(Almécija, 1997; Linares, 1990; Rodríguez-Rodríguez et al., 2006)</w:t>
      </w:r>
      <w:r w:rsidR="00194E22" w:rsidRPr="00194419">
        <w:rPr>
          <w:noProof/>
        </w:rPr>
        <w:fldChar w:fldCharType="end"/>
      </w:r>
      <w:r w:rsidR="008F25A3" w:rsidRPr="00194419">
        <w:t xml:space="preserve"> but also through springs. The outlets are mainly distributed in the borders of some diapiric-structures </w:t>
      </w:r>
      <w:r w:rsidR="00194E22" w:rsidRPr="00194419">
        <w:fldChar w:fldCharType="begin" w:fldLock="1"/>
      </w:r>
      <w:r w:rsidR="00194E22" w:rsidRPr="00194419">
        <w:instrText>ADDIN CSL_CITATION {"citationItems":[{"id":"ITEM-1","itemData":{"abstract":"In the Triassic evaporite deposits of the Betic Cordillera, halokinesis has played a fundamental role in the morphodynamic evolution of gypsum karst, as evidenced by the morphology and distribution of dolines and poljes, by data obtained from caves, and from the types of water associated with evaporite domes. Distribution patterns of major exokarstic forms display a subcircular array with collapse sinkholes located in the centre of the domes and solution drawdown dolines on the outer limits of the diapiric forms. In addition, the least mineralized waters are situated in association with the caprock gypsum; hypersaline waters, which are also hotter, drain deeper flow systems that flow out at the edges of the halokinetic structures. The morphodynamic and hydrogeological information constitute a valuable tool for the correct interpretation of the tectonic structure of such complex areas.","author":[{"dropping-particle":"","family":"Calaforra","given":"José M.","non-dropping-particle":"","parse-names":false,"suffix":""},{"dropping-particle":"","family":"Pulido-Bosch","given":"Antonio","non-dropping-particle":"","parse-names":false,"suffix":""}],"container-title":"Geomorphology","id":"ITEM-1","issue":"3-4","issued":{"date-parts":[["1999"]]},"page":"251-264","title":"Gypsum karst features as evidence of diapiric processes in the Betic Cordillera, Southern Spain","type":"article-journal","volume":"29"},"uris":["http://www.mendeley.com/documents/?uuid=9f8dcc9e-09b0-4a5d-b902-e2100916ca77"]}],"mendeley":{"formattedCitation":"(Calaforra and Pulido-Bosch, 1999)","plainTextFormattedCitation":"(Calaforra and Pulido-Bosch, 1999)","previouslyFormattedCitation":"(Calaforra and Pulido-Bosch, 1999)"},"properties":{"noteIndex":0},"schema":"https://github.com/citation-style-language/schema/raw/master/csl-citation.json"}</w:instrText>
      </w:r>
      <w:r w:rsidR="00194E22" w:rsidRPr="00194419">
        <w:fldChar w:fldCharType="separate"/>
      </w:r>
      <w:r w:rsidR="00194E22" w:rsidRPr="00194419">
        <w:rPr>
          <w:noProof/>
        </w:rPr>
        <w:t>(Calaforra and Pulido-Bosch, 1999)</w:t>
      </w:r>
      <w:r w:rsidR="00194E22" w:rsidRPr="00194419">
        <w:rPr>
          <w:noProof/>
        </w:rPr>
        <w:fldChar w:fldCharType="end"/>
      </w:r>
      <w:r w:rsidR="001E2814" w:rsidRPr="00194419">
        <w:rPr>
          <w:noProof/>
        </w:rPr>
        <w:t>.</w:t>
      </w:r>
      <w:r w:rsidR="006266DD" w:rsidRPr="00194419">
        <w:rPr>
          <w:noProof/>
        </w:rPr>
        <w:t xml:space="preserve"> </w:t>
      </w:r>
      <w:r w:rsidR="007907D6" w:rsidRPr="00194419">
        <w:t xml:space="preserve">In this </w:t>
      </w:r>
      <w:r w:rsidR="00E90CF9" w:rsidRPr="00194419">
        <w:t>research</w:t>
      </w:r>
      <w:r w:rsidR="007907D6" w:rsidRPr="00194419">
        <w:t xml:space="preserve">, two sectors within </w:t>
      </w:r>
      <w:r w:rsidRPr="00194419">
        <w:t xml:space="preserve">the </w:t>
      </w:r>
      <w:r w:rsidR="007907D6" w:rsidRPr="00194419">
        <w:rPr>
          <w:noProof/>
        </w:rPr>
        <w:t>T</w:t>
      </w:r>
      <w:r w:rsidR="003B217F" w:rsidRPr="00194419">
        <w:rPr>
          <w:noProof/>
        </w:rPr>
        <w:t>A</w:t>
      </w:r>
      <w:r w:rsidR="007907D6" w:rsidRPr="00194419">
        <w:t xml:space="preserve"> area</w:t>
      </w:r>
      <w:r w:rsidR="003C1AB6" w:rsidRPr="00194419">
        <w:t xml:space="preserve"> were separately treated</w:t>
      </w:r>
      <w:r w:rsidR="007907D6" w:rsidRPr="00194419">
        <w:t xml:space="preserve">: the </w:t>
      </w:r>
      <w:r w:rsidR="006E74F7" w:rsidRPr="00194419">
        <w:t>w</w:t>
      </w:r>
      <w:r w:rsidR="007907D6" w:rsidRPr="00194419">
        <w:t xml:space="preserve">estern sector, nearby Guadalhorce reservoir, and the </w:t>
      </w:r>
      <w:r w:rsidR="006E74F7" w:rsidRPr="00194419">
        <w:t>e</w:t>
      </w:r>
      <w:r w:rsidR="007907D6" w:rsidRPr="00194419">
        <w:t>ast sector, also called Los Hoyos area (Fig.</w:t>
      </w:r>
      <w:r w:rsidR="006266DD" w:rsidRPr="00194419">
        <w:t xml:space="preserve"> </w:t>
      </w:r>
      <w:r w:rsidR="007907D6" w:rsidRPr="00194419">
        <w:t>1C</w:t>
      </w:r>
      <w:r w:rsidR="00E90CF9" w:rsidRPr="00194419">
        <w:t>).</w:t>
      </w:r>
    </w:p>
    <w:p w14:paraId="7DE4B20A" w14:textId="3E593E02" w:rsidR="007907D6" w:rsidRPr="00194419" w:rsidRDefault="007907D6" w:rsidP="008A3630">
      <w:pPr>
        <w:spacing w:line="480" w:lineRule="auto"/>
      </w:pPr>
      <w:r w:rsidRPr="00194419">
        <w:t xml:space="preserve">The most important </w:t>
      </w:r>
      <w:r w:rsidR="003C1AB6" w:rsidRPr="00194419">
        <w:t xml:space="preserve">discharge </w:t>
      </w:r>
      <w:r w:rsidR="001E625C" w:rsidRPr="00194419">
        <w:t>zone</w:t>
      </w:r>
      <w:r w:rsidRPr="00194419">
        <w:t xml:space="preserve"> in the </w:t>
      </w:r>
      <w:r w:rsidR="006E74F7" w:rsidRPr="00194419">
        <w:t>e</w:t>
      </w:r>
      <w:r w:rsidRPr="00194419">
        <w:t>astern T</w:t>
      </w:r>
      <w:r w:rsidR="003B217F" w:rsidRPr="00194419">
        <w:t>A</w:t>
      </w:r>
      <w:r w:rsidRPr="00194419">
        <w:t xml:space="preserve"> is</w:t>
      </w:r>
      <w:r w:rsidR="001E625C" w:rsidRPr="00194419">
        <w:t xml:space="preserve"> Meliones spring,</w:t>
      </w:r>
      <w:r w:rsidRPr="00194419">
        <w:t xml:space="preserve"> </w:t>
      </w:r>
      <w:r w:rsidR="001E625C" w:rsidRPr="00194419">
        <w:t xml:space="preserve">by Guadalhorce River. </w:t>
      </w:r>
      <w:r w:rsidR="001E2814" w:rsidRPr="00194419">
        <w:t>The b</w:t>
      </w:r>
      <w:r w:rsidR="001E625C" w:rsidRPr="00194419">
        <w:t>rine groundwater</w:t>
      </w:r>
      <w:r w:rsidR="001E2814" w:rsidRPr="00194419">
        <w:t xml:space="preserve"> that it drains</w:t>
      </w:r>
      <w:r w:rsidRPr="00194419">
        <w:t xml:space="preserve"> lead</w:t>
      </w:r>
      <w:r w:rsidR="001E2814" w:rsidRPr="00194419">
        <w:t>s</w:t>
      </w:r>
      <w:r w:rsidRPr="00194419">
        <w:t xml:space="preserve"> to the </w:t>
      </w:r>
      <w:r w:rsidR="003C1AB6" w:rsidRPr="00194419">
        <w:t xml:space="preserve">salinization of the </w:t>
      </w:r>
      <w:r w:rsidR="001E625C" w:rsidRPr="00194419">
        <w:t>downstream</w:t>
      </w:r>
      <w:r w:rsidR="00410688" w:rsidRPr="00194419">
        <w:t xml:space="preserve"> water resources, particularly</w:t>
      </w:r>
      <w:r w:rsidR="003C1AB6" w:rsidRPr="00194419">
        <w:t xml:space="preserve"> </w:t>
      </w:r>
      <w:r w:rsidR="001E2814" w:rsidRPr="00194419">
        <w:t>Gualdahorce Reservoir</w:t>
      </w:r>
      <w:r w:rsidR="003C1AB6" w:rsidRPr="00194419">
        <w:t xml:space="preserve">. </w:t>
      </w:r>
      <w:r w:rsidR="001E625C" w:rsidRPr="00194419">
        <w:t xml:space="preserve">Several outlets </w:t>
      </w:r>
      <w:r w:rsidR="006E1A7A" w:rsidRPr="00194419">
        <w:t>appear</w:t>
      </w:r>
      <w:r w:rsidR="001E625C" w:rsidRPr="00194419">
        <w:t xml:space="preserve"> </w:t>
      </w:r>
      <w:r w:rsidR="003E4886">
        <w:t xml:space="preserve">by </w:t>
      </w:r>
      <w:r w:rsidR="001E625C" w:rsidRPr="00194419">
        <w:t xml:space="preserve">said </w:t>
      </w:r>
      <w:r w:rsidR="003E4886">
        <w:t>reservoir</w:t>
      </w:r>
      <w:r w:rsidR="001E625C" w:rsidRPr="00194419">
        <w:t>, hereby calle</w:t>
      </w:r>
      <w:r w:rsidR="006D18D8" w:rsidRPr="00194419">
        <w:t>d</w:t>
      </w:r>
      <w:r w:rsidR="001E625C" w:rsidRPr="00194419">
        <w:t xml:space="preserve"> Meliones 1 (T</w:t>
      </w:r>
      <w:r w:rsidR="006E1A7A" w:rsidRPr="00194419">
        <w:t>1</w:t>
      </w:r>
      <w:r w:rsidR="006D18D8" w:rsidRPr="00194419">
        <w:t xml:space="preserve">, 345 </w:t>
      </w:r>
      <w:r w:rsidR="006D18D8" w:rsidRPr="00194419">
        <w:rPr>
          <w:noProof/>
        </w:rPr>
        <w:t>m a</w:t>
      </w:r>
      <w:r w:rsidR="006D18D8" w:rsidRPr="00194419">
        <w:t>.s.l.</w:t>
      </w:r>
      <w:r w:rsidR="001E625C" w:rsidRPr="00194419">
        <w:t>) and Meliones 2 (T</w:t>
      </w:r>
      <w:r w:rsidR="006E1A7A" w:rsidRPr="00194419">
        <w:t>2</w:t>
      </w:r>
      <w:r w:rsidR="006D18D8" w:rsidRPr="00194419">
        <w:t xml:space="preserve">, 350 </w:t>
      </w:r>
      <w:r w:rsidR="006D18D8" w:rsidRPr="00194419">
        <w:rPr>
          <w:noProof/>
        </w:rPr>
        <w:t>m a</w:t>
      </w:r>
      <w:r w:rsidR="006D18D8" w:rsidRPr="00194419">
        <w:t>.s.l.</w:t>
      </w:r>
      <w:r w:rsidR="00E90CF9" w:rsidRPr="00194419">
        <w:t>)</w:t>
      </w:r>
      <w:r w:rsidR="006D18D8" w:rsidRPr="00194419">
        <w:t>. They are</w:t>
      </w:r>
      <w:r w:rsidR="001E625C" w:rsidRPr="00194419">
        <w:t xml:space="preserve"> normally submerged </w:t>
      </w:r>
      <w:r w:rsidR="001E625C" w:rsidRPr="00194419">
        <w:rPr>
          <w:noProof/>
        </w:rPr>
        <w:t>below</w:t>
      </w:r>
      <w:r w:rsidR="001E625C" w:rsidRPr="00194419">
        <w:t xml:space="preserve"> the reservoir water level, except for short periods</w:t>
      </w:r>
      <w:r w:rsidR="000A4DBE" w:rsidRPr="00194419">
        <w:t>, so they are rarely accessible</w:t>
      </w:r>
      <w:r w:rsidR="001E625C" w:rsidRPr="00194419">
        <w:t xml:space="preserve">. </w:t>
      </w:r>
      <w:r w:rsidR="006D18D8" w:rsidRPr="00194419">
        <w:t xml:space="preserve">Other significant discharge points in the eastern sector are Cañaveralejo spring (T3, 400 </w:t>
      </w:r>
      <w:r w:rsidR="006D18D8" w:rsidRPr="00194419">
        <w:rPr>
          <w:noProof/>
        </w:rPr>
        <w:t>m a</w:t>
      </w:r>
      <w:r w:rsidR="006D18D8" w:rsidRPr="00194419">
        <w:t xml:space="preserve">.s.l.), south of Campillos Wetland Complex, and Saladilla (T4, 450 </w:t>
      </w:r>
      <w:r w:rsidR="006D18D8" w:rsidRPr="00194419">
        <w:rPr>
          <w:noProof/>
        </w:rPr>
        <w:t>m a</w:t>
      </w:r>
      <w:r w:rsidR="006D18D8" w:rsidRPr="00194419">
        <w:t>.s.l.), East of Antequera city (Fig. 1C).</w:t>
      </w:r>
    </w:p>
    <w:p w14:paraId="75A95833" w14:textId="3323A683" w:rsidR="00D72FBE" w:rsidRPr="00194419" w:rsidRDefault="00D72FBE" w:rsidP="008A3630">
      <w:pPr>
        <w:spacing w:line="480" w:lineRule="auto"/>
      </w:pPr>
      <w:r w:rsidRPr="00194419">
        <w:t xml:space="preserve">Los Hoyos area (Fig. 1C) is one of several diapiric structures appearing at </w:t>
      </w:r>
      <w:r w:rsidR="00E90CF9" w:rsidRPr="00194419">
        <w:t xml:space="preserve">the </w:t>
      </w:r>
      <w:r w:rsidR="003B217F" w:rsidRPr="00194419">
        <w:t>TA</w:t>
      </w:r>
      <w:r w:rsidRPr="00194419">
        <w:t xml:space="preserve"> area</w:t>
      </w:r>
      <w:r w:rsidR="00E17737" w:rsidRPr="00194419">
        <w:t xml:space="preserve"> </w:t>
      </w:r>
      <w:r w:rsidR="00E17737" w:rsidRPr="00194419">
        <w:fldChar w:fldCharType="begin" w:fldLock="1"/>
      </w:r>
      <w:r w:rsidR="00E17737" w:rsidRPr="00194419">
        <w:instrText>ADDIN CSL_CITATION {"citationItems":[{"id":"ITEM-1","itemData":{"abstract":"In the Triassic evaporite deposits of the Betic Cordillera, halokinesis has played a fundamental role in the morphodynamic evolution of gypsum karst, as evidenced by the morphology and distribution of dolines and poljes, by data obtained from caves, and from the types of water associated with evaporite domes. Distribution patterns of major exokarstic forms display a subcircular array with collapse sinkholes located in the centre of the domes and solution drawdown dolines on the outer limits of the diapiric forms. In addition, the least mineralized waters are situated in association with the caprock gypsum; hypersaline waters, which are also hotter, drain deeper flow systems that flow out at the edges of the halokinetic structures. The morphodynamic and hydrogeological information constitute a valuable tool for the correct interpretation of the tectonic structure of such complex areas.","author":[{"dropping-particle":"","family":"Calaforra","given":"José M.","non-dropping-particle":"","parse-names":false,"suffix":""},{"dropping-particle":"","family":"Pulido-Bosch","given":"Antonio","non-dropping-particle":"","parse-names":false,"suffix":""}],"container-title":"Geomorphology","id":"ITEM-1","issue":"3-4","issued":{"date-parts":[["1999"]]},"page":"251-264","title":"Gypsum karst features as evidence of diapiric processes in the Betic Cordillera, Southern Spain","type":"article-journal","volume":"29"},"uris":["http://www.mendeley.com/documents/?uuid=9f8dcc9e-09b0-4a5d-b902-e2100916ca77"]}],"mendeley":{"formattedCitation":"(Calaforra and Pulido-Bosch, 1999)","plainTextFormattedCitation":"(Calaforra and Pulido-Bosch, 1999)","previouslyFormattedCitation":"(Calaforra and Pulido-Bosch, 1999)"},"properties":{"noteIndex":0},"schema":"https://github.com/citation-style-language/schema/raw/master/csl-citation.json"}</w:instrText>
      </w:r>
      <w:r w:rsidR="00E17737" w:rsidRPr="00194419">
        <w:fldChar w:fldCharType="separate"/>
      </w:r>
      <w:r w:rsidR="00E17737" w:rsidRPr="00194419">
        <w:rPr>
          <w:noProof/>
        </w:rPr>
        <w:t>(Calaforra and Pulido-Bosch, 1999)</w:t>
      </w:r>
      <w:r w:rsidR="00E17737" w:rsidRPr="00194419">
        <w:fldChar w:fldCharType="end"/>
      </w:r>
      <w:r w:rsidR="004F7E50" w:rsidRPr="00194419">
        <w:t xml:space="preserve">. It </w:t>
      </w:r>
      <w:r w:rsidR="003E4886">
        <w:t>covers</w:t>
      </w:r>
      <w:r w:rsidR="003E4886" w:rsidRPr="00194419">
        <w:t xml:space="preserve"> </w:t>
      </w:r>
      <w:r w:rsidR="004F7E50" w:rsidRPr="00194419">
        <w:t>20 km</w:t>
      </w:r>
      <w:r w:rsidR="004F7E50" w:rsidRPr="00194419">
        <w:rPr>
          <w:vertAlign w:val="superscript"/>
        </w:rPr>
        <w:t>2</w:t>
      </w:r>
      <w:r w:rsidR="004F7E50" w:rsidRPr="00194419">
        <w:t xml:space="preserve"> and </w:t>
      </w:r>
      <w:r w:rsidR="003E4886">
        <w:t xml:space="preserve">rises </w:t>
      </w:r>
      <w:r w:rsidR="00604065">
        <w:t>to 700-</w:t>
      </w:r>
      <w:r w:rsidR="003E4886" w:rsidRPr="00194419">
        <w:t xml:space="preserve">900 </w:t>
      </w:r>
      <w:r w:rsidR="003E4886" w:rsidRPr="00194419">
        <w:rPr>
          <w:noProof/>
        </w:rPr>
        <w:t>m a</w:t>
      </w:r>
      <w:r w:rsidR="003E4886" w:rsidRPr="00194419">
        <w:t>.s.l.</w:t>
      </w:r>
      <w:r w:rsidR="00604065">
        <w:t>,</w:t>
      </w:r>
      <w:r w:rsidR="003E4886" w:rsidRPr="00194419">
        <w:t xml:space="preserve"> approximately 50 m </w:t>
      </w:r>
      <w:r w:rsidR="003E4886">
        <w:t>above</w:t>
      </w:r>
      <w:r w:rsidR="003E4886" w:rsidRPr="00194419">
        <w:t xml:space="preserve"> the surrounding zones</w:t>
      </w:r>
      <w:r w:rsidR="004F7E50" w:rsidRPr="00194419">
        <w:t xml:space="preserve">,. The landscape is full of karst landforms, </w:t>
      </w:r>
      <w:r w:rsidR="00892FED" w:rsidRPr="00194419">
        <w:t xml:space="preserve">mainly </w:t>
      </w:r>
      <w:r w:rsidR="004F7E50" w:rsidRPr="00194419">
        <w:t>dolines of different typology,</w:t>
      </w:r>
      <w:r w:rsidR="00892FED" w:rsidRPr="00194419">
        <w:t xml:space="preserve"> but also</w:t>
      </w:r>
      <w:r w:rsidR="004F7E50" w:rsidRPr="00194419">
        <w:t xml:space="preserve"> sinkholes</w:t>
      </w:r>
      <w:r w:rsidR="00892FED" w:rsidRPr="00194419">
        <w:t>, swallow holes, and small surfaced depressions, which favor w</w:t>
      </w:r>
      <w:r w:rsidR="00892FED" w:rsidRPr="00194419">
        <w:rPr>
          <w:noProof/>
        </w:rPr>
        <w:t>ater r</w:t>
      </w:r>
      <w:r w:rsidR="00892FED" w:rsidRPr="00194419">
        <w:t xml:space="preserve">echarge. Those dolines </w:t>
      </w:r>
      <w:r w:rsidR="00745A87">
        <w:t>located</w:t>
      </w:r>
      <w:r w:rsidR="00745A87" w:rsidRPr="00194419">
        <w:t xml:space="preserve"> </w:t>
      </w:r>
      <w:r w:rsidR="00892FED" w:rsidRPr="00194419">
        <w:t>at the central part of the study area, above 800 m a.s.l., are normally smaller and they may present flooding for short periods</w:t>
      </w:r>
      <w:r w:rsidR="00296D82" w:rsidRPr="00194419">
        <w:t xml:space="preserve">, as the groundwater table is </w:t>
      </w:r>
      <w:r w:rsidR="00745A87">
        <w:t>located</w:t>
      </w:r>
      <w:r w:rsidR="00745A87" w:rsidRPr="00194419">
        <w:t xml:space="preserve"> </w:t>
      </w:r>
      <w:r w:rsidR="00296D82" w:rsidRPr="00194419">
        <w:rPr>
          <w:noProof/>
        </w:rPr>
        <w:t>below</w:t>
      </w:r>
      <w:r w:rsidR="00296D82" w:rsidRPr="00194419">
        <w:t xml:space="preserve"> their bottom</w:t>
      </w:r>
      <w:r w:rsidR="00892FED" w:rsidRPr="00194419">
        <w:t xml:space="preserve">. </w:t>
      </w:r>
      <w:r w:rsidR="00410688" w:rsidRPr="00194419">
        <w:t>T</w:t>
      </w:r>
      <w:r w:rsidR="00892FED" w:rsidRPr="00194419">
        <w:t>owards the edges of the diapiric structure</w:t>
      </w:r>
      <w:r w:rsidR="001E2814" w:rsidRPr="00194419">
        <w:t>,</w:t>
      </w:r>
      <w:r w:rsidR="00892FED" w:rsidRPr="00194419">
        <w:t xml:space="preserve"> closed depressions </w:t>
      </w:r>
      <w:r w:rsidR="001E2814" w:rsidRPr="00194419">
        <w:t>present greater size</w:t>
      </w:r>
      <w:r w:rsidR="00892FED" w:rsidRPr="00194419">
        <w:t xml:space="preserve"> and their hydroperiod </w:t>
      </w:r>
      <w:r w:rsidR="001E2814" w:rsidRPr="00194419">
        <w:t>are longer</w:t>
      </w:r>
      <w:r w:rsidR="00892FED" w:rsidRPr="00194419">
        <w:t>. Two of them are wetlands of great environmental value: Grande and Chica lake</w:t>
      </w:r>
      <w:r w:rsidR="00CD3B7E" w:rsidRPr="00194419">
        <w:t>s</w:t>
      </w:r>
      <w:r w:rsidR="001D2F8D" w:rsidRPr="00194419">
        <w:t xml:space="preserve"> </w:t>
      </w:r>
      <w:r w:rsidR="00E17737" w:rsidRPr="00194419">
        <w:fldChar w:fldCharType="begin" w:fldLock="1"/>
      </w:r>
      <w:r w:rsidR="00E17737" w:rsidRPr="00194419">
        <w:instrText>ADDIN CSL_CITATION {"citationItems":[{"id":"ITEM-1","itemData":{"DOI":"10.1007/s00254-006-0580-y","ISSN":"0943-0105","author":[{"dropping-particle":"","family":"Rodríguez-Rodríguez","given":"M.","non-dropping-particle":"","parse-names":false,"suffix":""},{"dropping-particle":"","family":"Moral","given":"F.","non-dropping-particle":"","parse-names":false,"suffix":""},{"dropping-particle":"","family":"Benavente","given":"J.","non-dropping-particle":"","parse-names":false,"suffix":""}],"container-title":"Environmental Geology","id":"ITEM-1","issue":"7","issued":{"date-parts":[["2007","12","1"]]},"page":"1375-1386","title":"Hydro-morphological characteristics and hydrogeological functioning of a wetland system: a case study in southern Spain","type":"article-journal","volume":"52"},"uris":["http://www.mendeley.com/documents/?uuid=8ea4a7e4-762c-4aee-afcc-d9327379df6c"]}],"mendeley":{"formattedCitation":"(Rodríguez-Rodríguez et al., 2007)","plainTextFormattedCitation":"(Rodríguez-Rodríguez et al., 2007)","previouslyFormattedCitation":"(Rodríguez-Rodríguez et al., 2007)"},"properties":{"noteIndex":0},"schema":"https://github.com/citation-style-language/schema/raw/master/csl-citation.json"}</w:instrText>
      </w:r>
      <w:r w:rsidR="00E17737" w:rsidRPr="00194419">
        <w:fldChar w:fldCharType="separate"/>
      </w:r>
      <w:r w:rsidR="00E17737" w:rsidRPr="00194419">
        <w:rPr>
          <w:noProof/>
        </w:rPr>
        <w:t>(Rodríguez-</w:t>
      </w:r>
      <w:r w:rsidR="00E17737" w:rsidRPr="00194419">
        <w:rPr>
          <w:noProof/>
        </w:rPr>
        <w:lastRenderedPageBreak/>
        <w:t>Rodríguez et al., 2007)</w:t>
      </w:r>
      <w:r w:rsidR="00E17737" w:rsidRPr="00194419">
        <w:fldChar w:fldCharType="end"/>
      </w:r>
      <w:r w:rsidR="007269AB" w:rsidRPr="00194419">
        <w:t>.</w:t>
      </w:r>
      <w:r w:rsidR="006E74F7" w:rsidRPr="00194419">
        <w:t xml:space="preserve"> Near Grande Lake,</w:t>
      </w:r>
      <w:r w:rsidR="00E90CF9" w:rsidRPr="00194419">
        <w:t xml:space="preserve"> there is a </w:t>
      </w:r>
      <w:r w:rsidR="001D2F8D" w:rsidRPr="00194419">
        <w:t>spring</w:t>
      </w:r>
      <w:r w:rsidR="00E90CF9" w:rsidRPr="00194419">
        <w:t>,</w:t>
      </w:r>
      <w:r w:rsidR="001D2F8D" w:rsidRPr="00194419">
        <w:t xml:space="preserve"> whose </w:t>
      </w:r>
      <w:r w:rsidR="00C749B2" w:rsidRPr="00194419">
        <w:t xml:space="preserve">direct </w:t>
      </w:r>
      <w:r w:rsidR="001D2F8D" w:rsidRPr="00194419">
        <w:t xml:space="preserve">hydrogeological connection with the wetland seems unlikely despite </w:t>
      </w:r>
      <w:r w:rsidR="00296D82" w:rsidRPr="00194419">
        <w:t>it is</w:t>
      </w:r>
      <w:r w:rsidR="001D2F8D" w:rsidRPr="00194419">
        <w:t xml:space="preserve"> </w:t>
      </w:r>
      <w:r w:rsidR="00296D82" w:rsidRPr="00194419">
        <w:t>located</w:t>
      </w:r>
      <w:r w:rsidR="001D2F8D" w:rsidRPr="00194419">
        <w:t xml:space="preserve"> </w:t>
      </w:r>
      <w:r w:rsidR="00CD3B7E" w:rsidRPr="00194419">
        <w:t>787 m a.s.l.</w:t>
      </w:r>
      <w:r w:rsidR="001D2F8D" w:rsidRPr="00194419">
        <w:t xml:space="preserve">, below the </w:t>
      </w:r>
      <w:r w:rsidR="006E74F7" w:rsidRPr="00194419">
        <w:t>wetland</w:t>
      </w:r>
      <w:r w:rsidR="001D2F8D" w:rsidRPr="00194419">
        <w:t xml:space="preserve"> water surface </w:t>
      </w:r>
      <w:r w:rsidR="00E17737" w:rsidRPr="00194419">
        <w:fldChar w:fldCharType="begin" w:fldLock="1"/>
      </w:r>
      <w:r w:rsidR="00117611">
        <w:instrText>ADDIN CSL_CITATION {"citationItems":[{"id":"ITEM-1","itemData":{"author":[{"dropping-particle":"","family":"Gil-Márquez","given":"José Manuel","non-dropping-particle":"","parse-names":false,"suffix":""},{"dropping-particle":"","family":"Mudarra","given":"Matías","non-dropping-particle":"","parse-names":false,"suffix":""},{"dropping-particle":"","family":"Andreo","given":"Bartolomé","non-dropping-particle":"","parse-names":false,"suffix":""},{"dropping-particle":"","family":"Linares","given":"Luis","non-dropping-particle":"","parse-names":false,"suffix":""},{"dropping-particle":"","family":"Carrasco","given":"Francisco","non-dropping-particle":"","parse-names":false,"suffix":""},{"dropping-particle":"","family":"Benavente","given":"José","non-dropping-particle":"","parse-names":false,"suffix":""}],"container-title":"Acta carsologica","id":"ITEM-1","issue":"2","issued":{"date-parts":[["2016"]]},"page":"147-160","title":"Hydrogeological characterization of the Salinas- Los Hoyos evaporitic karst ( Malaga province , S Spain ) using topographic , hydrodynamic , hydrochemical and isotopic methods","type":"article-journal","volume":"45"},"uris":["http://www.mendeley.com/documents/?uuid=2b7d0d5f-2366-4a25-a9f9-38d433b88d86"]}],"mendeley":{"formattedCitation":"(Gil-Márquez et al., 2016)","plainTextFormattedCitation":"(Gil-Márquez et al., 2016)","previouslyFormattedCitation":"(Gil-Márquez et al., 2016)"},"properties":{"noteIndex":0},"schema":"https://github.com/citation-style-language/schema/raw/master/csl-citation.json"}</w:instrText>
      </w:r>
      <w:r w:rsidR="00E17737" w:rsidRPr="00194419">
        <w:fldChar w:fldCharType="separate"/>
      </w:r>
      <w:r w:rsidR="00117611" w:rsidRPr="00117611">
        <w:rPr>
          <w:noProof/>
        </w:rPr>
        <w:t>(Gil-Márquez et al., 2016)</w:t>
      </w:r>
      <w:r w:rsidR="00E17737" w:rsidRPr="00194419">
        <w:fldChar w:fldCharType="end"/>
      </w:r>
      <w:r w:rsidR="00E17737" w:rsidRPr="00194419">
        <w:t>.</w:t>
      </w:r>
      <w:r w:rsidR="001D2F8D" w:rsidRPr="00194419">
        <w:t xml:space="preserve"> On the opposite part of Los Hoyos area, near Fuente Camacho village, discharge takes place at </w:t>
      </w:r>
      <w:r w:rsidR="00410688" w:rsidRPr="00194419">
        <w:t xml:space="preserve">a </w:t>
      </w:r>
      <w:r w:rsidR="001D2F8D" w:rsidRPr="00194419">
        <w:rPr>
          <w:noProof/>
        </w:rPr>
        <w:t>lower</w:t>
      </w:r>
      <w:r w:rsidR="001D2F8D" w:rsidRPr="00194419">
        <w:t xml:space="preserve"> altitude (725-748 </w:t>
      </w:r>
      <w:r w:rsidR="001D2F8D" w:rsidRPr="00194419">
        <w:rPr>
          <w:noProof/>
        </w:rPr>
        <w:t>m a</w:t>
      </w:r>
      <w:r w:rsidR="001D2F8D" w:rsidRPr="00194419">
        <w:t xml:space="preserve">.s.l.) by several </w:t>
      </w:r>
      <w:r w:rsidR="000A4DBE" w:rsidRPr="00194419">
        <w:t xml:space="preserve">brine </w:t>
      </w:r>
      <w:r w:rsidR="001D2F8D" w:rsidRPr="00194419">
        <w:t>outlets. Two of those point</w:t>
      </w:r>
      <w:r w:rsidR="007B0BF4" w:rsidRPr="00194419">
        <w:t>s</w:t>
      </w:r>
      <w:r w:rsidR="001D2F8D" w:rsidRPr="00194419">
        <w:t xml:space="preserve"> were sampled during this study: Fuente Camacho I (H</w:t>
      </w:r>
      <w:r w:rsidR="006E1A7A" w:rsidRPr="00194419">
        <w:t>1</w:t>
      </w:r>
      <w:r w:rsidR="001D2F8D" w:rsidRPr="00194419">
        <w:t>) and Fuente Camacho II (H</w:t>
      </w:r>
      <w:r w:rsidR="006E1A7A" w:rsidRPr="00194419">
        <w:t>2</w:t>
      </w:r>
      <w:r w:rsidR="001D2F8D" w:rsidRPr="00194419">
        <w:t>)</w:t>
      </w:r>
      <w:r w:rsidR="006E1A7A" w:rsidRPr="00194419">
        <w:t>.</w:t>
      </w:r>
    </w:p>
    <w:p w14:paraId="760FDC1E" w14:textId="703DFD8B" w:rsidR="0088726B" w:rsidRPr="00194419" w:rsidRDefault="0088726B" w:rsidP="008A3630">
      <w:pPr>
        <w:pStyle w:val="Prrafodelista"/>
        <w:numPr>
          <w:ilvl w:val="1"/>
          <w:numId w:val="1"/>
        </w:numPr>
        <w:spacing w:line="480" w:lineRule="auto"/>
        <w:rPr>
          <w:b/>
        </w:rPr>
      </w:pPr>
      <w:r w:rsidRPr="00194419">
        <w:rPr>
          <w:b/>
        </w:rPr>
        <w:t>Brujuelo area</w:t>
      </w:r>
    </w:p>
    <w:p w14:paraId="64F1335F" w14:textId="09A973DC" w:rsidR="006D18D8" w:rsidRPr="00194419" w:rsidRDefault="0045649E" w:rsidP="008A3630">
      <w:pPr>
        <w:spacing w:line="480" w:lineRule="auto"/>
      </w:pPr>
      <w:r w:rsidRPr="00194419">
        <w:t xml:space="preserve">Lastly, Brujuelo area is </w:t>
      </w:r>
      <w:r w:rsidR="00745A87">
        <w:t>located</w:t>
      </w:r>
      <w:r w:rsidR="00745A87" w:rsidRPr="00194419">
        <w:t xml:space="preserve"> </w:t>
      </w:r>
      <w:r w:rsidR="00C749B2" w:rsidRPr="00194419">
        <w:t xml:space="preserve">12 km </w:t>
      </w:r>
      <w:r w:rsidR="007B0BF4" w:rsidRPr="00194419">
        <w:t>north of</w:t>
      </w:r>
      <w:r w:rsidR="003E4886">
        <w:t xml:space="preserve"> the city of</w:t>
      </w:r>
      <w:r w:rsidR="007B0BF4" w:rsidRPr="00194419">
        <w:t xml:space="preserve"> Jaen</w:t>
      </w:r>
      <w:r w:rsidR="00296D82" w:rsidRPr="00194419">
        <w:t>, in a relatively high plain w</w:t>
      </w:r>
      <w:r w:rsidR="007B0BF4" w:rsidRPr="00194419">
        <w:t xml:space="preserve">est of </w:t>
      </w:r>
      <w:r w:rsidR="004915E1" w:rsidRPr="00194419">
        <w:t xml:space="preserve">a tributary of </w:t>
      </w:r>
      <w:r w:rsidR="006266DD" w:rsidRPr="00194419">
        <w:t xml:space="preserve">Guadalquivir </w:t>
      </w:r>
      <w:r w:rsidR="004915E1" w:rsidRPr="00194419">
        <w:t xml:space="preserve">River: </w:t>
      </w:r>
      <w:r w:rsidR="007B0BF4" w:rsidRPr="00194419">
        <w:t>Salado Stream (Fig. 1D). This area does not have abundant exokarst features, except for some small depressions and few surface collapses. The two biggest karst depressions are occupied by Brujuelo and Cirueña wetlands</w:t>
      </w:r>
      <w:r w:rsidR="00F324DE" w:rsidRPr="00194419">
        <w:t xml:space="preserve">, with seasonal and ephemeral hydroperiods, respectively. </w:t>
      </w:r>
      <w:r w:rsidR="00C749B2" w:rsidRPr="00194419">
        <w:t>D</w:t>
      </w:r>
      <w:r w:rsidR="00F324DE" w:rsidRPr="00194419">
        <w:rPr>
          <w:noProof/>
        </w:rPr>
        <w:t>if</w:t>
      </w:r>
      <w:r w:rsidR="000657B7" w:rsidRPr="00194419">
        <w:rPr>
          <w:noProof/>
        </w:rPr>
        <w:t>fu</w:t>
      </w:r>
      <w:r w:rsidR="00F324DE" w:rsidRPr="00194419">
        <w:rPr>
          <w:noProof/>
        </w:rPr>
        <w:t>se</w:t>
      </w:r>
      <w:r w:rsidR="00F324DE" w:rsidRPr="00194419">
        <w:t xml:space="preserve"> recharge takes place in the area, as suggested by isotopic information</w:t>
      </w:r>
      <w:r w:rsidR="00E17737" w:rsidRPr="00194419">
        <w:t xml:space="preserve"> </w:t>
      </w:r>
      <w:r w:rsidR="00E17737" w:rsidRPr="00194419">
        <w:fldChar w:fldCharType="begin" w:fldLock="1"/>
      </w:r>
      <w:r w:rsidR="0037121E" w:rsidRPr="00194419">
        <w:instrText>ADDIN CSL_CITATION {"citationItems":[{"id":"ITEM-1","itemData":{"DOI":"10.1016/j.jhydrol.2016.11.062","ISSN":"00221694","author":[{"dropping-particle":"","family":"Gil-Márquez","given":"J.M.","non-dropping-particle":"","parse-names":false,"suffix":""},{"dropping-particle":"","family":"Barberá","given":"J.A.","non-dropping-particle":"","parse-names":false,"suffix":""},{"dropping-particle":"","family":"Andreo","given":"B.","non-dropping-particle":"","parse-names":false,"suffix":""},{"dropping-particle":"","family":"Mudarra","given":"M.","non-dropping-particle":"","parse-names":false,"suffix":""}],"container-title":"Journal of Hydrology","id":"ITEM-1","issue":"1","issued":{"date-parts":[["2017"]]},"page":"538-554","title":"Hydrological and geochemical processes constraining groundwater salinity in wetland areas related to evaporitic (karst) systems. A case study from Southern Spain","type":"article-journal","volume":"544"},"uris":["http://www.mendeley.com/documents/?uuid=8e962595-dee3-4ce0-ad26-66ab9d704bfc"]}],"mendeley":{"formattedCitation":"(Gil-Márquez et al., 2017)","manualFormatting":"(Gil-Márquez et al., 2017b)","plainTextFormattedCitation":"(Gil-Márquez et al., 2017)","previouslyFormattedCitation":"(Gil-Márquez et al., 2017)"},"properties":{"noteIndex":0},"schema":"https://github.com/citation-style-language/schema/raw/master/csl-citation.json"}</w:instrText>
      </w:r>
      <w:r w:rsidR="00E17737" w:rsidRPr="00194419">
        <w:fldChar w:fldCharType="separate"/>
      </w:r>
      <w:r w:rsidR="00E17737" w:rsidRPr="00194419">
        <w:rPr>
          <w:noProof/>
        </w:rPr>
        <w:t>(Gil-Márquez et al., 2017b)</w:t>
      </w:r>
      <w:r w:rsidR="00E17737" w:rsidRPr="00194419">
        <w:fldChar w:fldCharType="end"/>
      </w:r>
      <w:r w:rsidR="00F324DE" w:rsidRPr="00194419">
        <w:t xml:space="preserve">. Groundwater flow in a </w:t>
      </w:r>
      <w:r w:rsidR="00296D82" w:rsidRPr="00194419">
        <w:t>diffuse</w:t>
      </w:r>
      <w:r w:rsidR="00F324DE" w:rsidRPr="00194419">
        <w:t xml:space="preserve"> way from the SW towards Salado Stream</w:t>
      </w:r>
      <w:r w:rsidR="00296D82" w:rsidRPr="00194419">
        <w:t xml:space="preserve"> (N and E)</w:t>
      </w:r>
      <w:r w:rsidR="00F324DE" w:rsidRPr="00194419">
        <w:t xml:space="preserve">, where the main </w:t>
      </w:r>
      <w:r w:rsidR="00F324DE" w:rsidRPr="00194419">
        <w:rPr>
          <w:noProof/>
        </w:rPr>
        <w:t>outle</w:t>
      </w:r>
      <w:r w:rsidR="000657B7" w:rsidRPr="00194419">
        <w:rPr>
          <w:noProof/>
        </w:rPr>
        <w:t>t</w:t>
      </w:r>
      <w:r w:rsidR="00F324DE" w:rsidRPr="00194419">
        <w:rPr>
          <w:noProof/>
        </w:rPr>
        <w:t>s</w:t>
      </w:r>
      <w:r w:rsidR="00F324DE" w:rsidRPr="00194419">
        <w:t xml:space="preserve"> are found: San Carlos (B1, 375 </w:t>
      </w:r>
      <w:r w:rsidR="00F324DE" w:rsidRPr="00194419">
        <w:rPr>
          <w:noProof/>
        </w:rPr>
        <w:t>m a</w:t>
      </w:r>
      <w:r w:rsidR="00F324DE" w:rsidRPr="00194419">
        <w:t xml:space="preserve">.s.l.) and Don Benito (B3, 440 </w:t>
      </w:r>
      <w:r w:rsidR="00F324DE" w:rsidRPr="00194419">
        <w:rPr>
          <w:noProof/>
        </w:rPr>
        <w:t>m a</w:t>
      </w:r>
      <w:r w:rsidR="00F324DE" w:rsidRPr="00194419">
        <w:t>.s</w:t>
      </w:r>
      <w:r w:rsidR="00296D82" w:rsidRPr="00194419">
        <w:t>.</w:t>
      </w:r>
      <w:r w:rsidR="00F324DE" w:rsidRPr="00194419">
        <w:t xml:space="preserve">l.) springs (Fig. 1D). Other outlets found in </w:t>
      </w:r>
      <w:r w:rsidR="004915E1" w:rsidRPr="00194419">
        <w:t>the area</w:t>
      </w:r>
      <w:r w:rsidR="00F324DE" w:rsidRPr="00194419">
        <w:t xml:space="preserve"> are, in descending order, Tosquillas (B5, 490 </w:t>
      </w:r>
      <w:r w:rsidR="00F324DE" w:rsidRPr="00194419">
        <w:rPr>
          <w:noProof/>
        </w:rPr>
        <w:t>m a</w:t>
      </w:r>
      <w:r w:rsidR="00F324DE" w:rsidRPr="00194419">
        <w:t xml:space="preserve">.s.l.) and Brujuelo (B4, 450 </w:t>
      </w:r>
      <w:r w:rsidR="00F324DE" w:rsidRPr="00194419">
        <w:rPr>
          <w:noProof/>
        </w:rPr>
        <w:t>m a</w:t>
      </w:r>
      <w:r w:rsidR="00F324DE" w:rsidRPr="00194419">
        <w:t xml:space="preserve">.s.l.) </w:t>
      </w:r>
      <w:r w:rsidR="006E74F7" w:rsidRPr="00194419">
        <w:t>l</w:t>
      </w:r>
      <w:r w:rsidR="00F324DE" w:rsidRPr="00194419">
        <w:t xml:space="preserve">eakages, and Brujuelo spring (B2, 425 </w:t>
      </w:r>
      <w:r w:rsidR="00F324DE" w:rsidRPr="00194419">
        <w:rPr>
          <w:noProof/>
        </w:rPr>
        <w:t>m a</w:t>
      </w:r>
      <w:r w:rsidR="00F324DE" w:rsidRPr="00194419">
        <w:t xml:space="preserve">.s.l.). Previous </w:t>
      </w:r>
      <w:r w:rsidR="00F324DE" w:rsidRPr="00194419">
        <w:rPr>
          <w:noProof/>
        </w:rPr>
        <w:t>hydroge</w:t>
      </w:r>
      <w:r w:rsidR="000657B7" w:rsidRPr="00194419">
        <w:rPr>
          <w:noProof/>
        </w:rPr>
        <w:t>o</w:t>
      </w:r>
      <w:r w:rsidR="00F324DE" w:rsidRPr="00194419">
        <w:rPr>
          <w:noProof/>
        </w:rPr>
        <w:t>chemical</w:t>
      </w:r>
      <w:r w:rsidR="00F324DE" w:rsidRPr="00194419">
        <w:t xml:space="preserve"> work carried out in this area </w:t>
      </w:r>
      <w:r w:rsidR="00E17737" w:rsidRPr="00194419">
        <w:fldChar w:fldCharType="begin" w:fldLock="1"/>
      </w:r>
      <w:r w:rsidR="0037121E" w:rsidRPr="00194419">
        <w:instrText>ADDIN CSL_CITATION {"citationItems":[{"id":"ITEM-1","itemData":{"DOI":"10.1016/j.jhydrol.2016.11.062","ISSN":"00221694","author":[{"dropping-particle":"","family":"Gil-Márquez","given":"J.M.","non-dropping-particle":"","parse-names":false,"suffix":""},{"dropping-particle":"","family":"Barberá","given":"J.A.","non-dropping-particle":"","parse-names":false,"suffix":""},{"dropping-particle":"","family":"Andreo","given":"B.","non-dropping-particle":"","parse-names":false,"suffix":""},{"dropping-particle":"","family":"Mudarra","given":"M.","non-dropping-particle":"","parse-names":false,"suffix":""}],"container-title":"Journal of Hydrology","id":"ITEM-1","issue":"1","issued":{"date-parts":[["2017"]]},"page":"538-554","title":"Hydrological and geochemical processes constraining groundwater salinity in wetland areas related to evaporitic (karst) systems. A case study from Southern Spain","type":"article-journal","volume":"544"},"uris":["http://www.mendeley.com/documents/?uuid=8e962595-dee3-4ce0-ad26-66ab9d704bfc"]}],"mendeley":{"formattedCitation":"(Gil-Márquez et al., 2017)","manualFormatting":"(Gil-Márquez et al., 2017b)","plainTextFormattedCitation":"(Gil-Márquez et al., 2017)","previouslyFormattedCitation":"(Gil-Márquez et al., 2017)"},"properties":{"noteIndex":0},"schema":"https://github.com/citation-style-language/schema/raw/master/csl-citation.json"}</w:instrText>
      </w:r>
      <w:r w:rsidR="00E17737" w:rsidRPr="00194419">
        <w:fldChar w:fldCharType="separate"/>
      </w:r>
      <w:r w:rsidR="00E17737" w:rsidRPr="00194419">
        <w:rPr>
          <w:noProof/>
        </w:rPr>
        <w:t>(Gil-Márquez et al., 2017b)</w:t>
      </w:r>
      <w:r w:rsidR="00E17737" w:rsidRPr="00194419">
        <w:fldChar w:fldCharType="end"/>
      </w:r>
      <w:r w:rsidR="00F324DE" w:rsidRPr="00194419">
        <w:t xml:space="preserve"> evidences a progressive enhancement of mineral dissolution and increase of water temperature toward lower positions, which could be related to </w:t>
      </w:r>
      <w:r w:rsidR="00CB45AF" w:rsidRPr="00194419">
        <w:t xml:space="preserve">a greater contribution of long </w:t>
      </w:r>
      <w:r w:rsidR="00C749B2" w:rsidRPr="00194419">
        <w:t xml:space="preserve">and </w:t>
      </w:r>
      <w:r w:rsidR="00CB45AF" w:rsidRPr="00194419">
        <w:t xml:space="preserve">deep groundwater flows with greater residence time within the media, as </w:t>
      </w:r>
      <w:r w:rsidR="00296D82" w:rsidRPr="00194419">
        <w:t>proposed</w:t>
      </w:r>
      <w:r w:rsidR="00CB45AF" w:rsidRPr="00194419">
        <w:t xml:space="preserve"> by Andreo et al. </w:t>
      </w:r>
      <w:r w:rsidR="00E17737" w:rsidRPr="00194419">
        <w:fldChar w:fldCharType="begin" w:fldLock="1"/>
      </w:r>
      <w:r w:rsidR="00C93545" w:rsidRPr="00194419">
        <w:instrText>ADDIN CSL_CITATION {"citationItems":[{"id":"ITEM-1","itemData":{"DOI":"10.1007/s12665-016-5545-1","abstract":"© 2016, Springer-Verlag Berlin Heidelberg. The northern sector of the External Zone of the Betic Cordillera (S Spain) is formed by an olistostrome unit known as the Chaotic Subbetic Complexes (CSC). This megabreccia is basically made of clays and evaporite rocks (gypsum and salt) of Upper Triassic (Keuper) age as well as other lithologies (dolostones, limestones, marls and calcareous sandstones) belonging to different ages (Jurassic, Cretaceous and Tertiary). Despite of low permeability has been traditionally assumed for these materials, water flow and storage through them is possible due to the aquitard behavior of clays and sandstones and the presence of conduits generated by dissolution/karstification processes within the evaporite rocks. The lithological complexity of the CSC determines its hydrogeological heterogeneity, with groundwater flows of different length and various scales from recharge areas to discharge zones. Thus, wetlands and springs placed at lower altitudes are associated with large (regional) groundwater flows, of greater residence time within the aquifer, and they normally drain high salinity waters mostly connected with ascending flow. This work provides an overview of the main geological and hydrogeological aspects related to groundwater flow within the CSC on the basis of several case-studies. Conceptual models are proposed for these cases, since they are the base to carry out a genetic-functional classification of wetlands potentially useful for their management.","author":[{"dropping-particle":"","family":"Andreo","given":"Bartolomé","non-dropping-particle":"","parse-names":false,"suffix":""},{"dropping-particle":"","family":"Gil-Márquez","given":"José Manuel","non-dropping-particle":"","parse-names":false,"suffix":""},{"dropping-particle":"","family":"Mudarra","given":"Matías","non-dropping-particle":"","parse-names":false,"suffix":""},{"dropping-particle":"","family":"Linares","given":"Luis","non-dropping-particle":"","parse-names":false,"suffix":""},{"dropping-particle":"","family":"Carrasco","given":"Francisco","non-dropping-particle":"","parse-names":false,"suffix":""}],"container-title":"Environmental Earth Sciences","id":"ITEM-1","issue":"9","issued":{"date-parts":[["2016"]]},"page":"1-19","title":"Hypothesis on the hydrogeological context of wetland areas and springs related to evaporitic karst aquifers (Málaga, Córdoba and Jaén provinces, Southern Spain)","type":"article-journal","volume":"75"},"uris":["http://www.mendeley.com/documents/?uuid=de2b44fe-b64d-31c9-9255-128364900901"]}],"mendeley":{"formattedCitation":"(Andreo et al., 2016)","manualFormatting":"(2016)","plainTextFormattedCitation":"(Andreo et al., 2016)","previouslyFormattedCitation":"(Andreo et al., 2016)"},"properties":{"noteIndex":0},"schema":"https://github.com/citation-style-language/schema/raw/master/csl-citation.json"}</w:instrText>
      </w:r>
      <w:r w:rsidR="00E17737" w:rsidRPr="00194419">
        <w:fldChar w:fldCharType="separate"/>
      </w:r>
      <w:r w:rsidR="00E17737" w:rsidRPr="00194419">
        <w:rPr>
          <w:noProof/>
        </w:rPr>
        <w:t>(2016)</w:t>
      </w:r>
      <w:r w:rsidR="00E17737" w:rsidRPr="00194419">
        <w:fldChar w:fldCharType="end"/>
      </w:r>
      <w:r w:rsidR="00CB45AF" w:rsidRPr="00194419">
        <w:t>.</w:t>
      </w:r>
    </w:p>
    <w:p w14:paraId="2202DF82" w14:textId="77777777" w:rsidR="006F2E9E" w:rsidRPr="00194419" w:rsidRDefault="003C3F1F" w:rsidP="00444A13">
      <w:pPr>
        <w:pStyle w:val="Prrafodelista"/>
        <w:keepNext/>
        <w:numPr>
          <w:ilvl w:val="0"/>
          <w:numId w:val="1"/>
        </w:numPr>
        <w:spacing w:line="480" w:lineRule="auto"/>
        <w:ind w:left="357" w:hanging="357"/>
        <w:rPr>
          <w:b/>
          <w:lang w:val="es-ES_tradnl"/>
        </w:rPr>
      </w:pPr>
      <w:r w:rsidRPr="00194419">
        <w:rPr>
          <w:b/>
          <w:lang w:val="es-ES_tradnl"/>
        </w:rPr>
        <w:lastRenderedPageBreak/>
        <w:t>MET</w:t>
      </w:r>
      <w:r w:rsidR="00246674" w:rsidRPr="00194419">
        <w:rPr>
          <w:b/>
          <w:lang w:val="es-ES_tradnl"/>
        </w:rPr>
        <w:t>H</w:t>
      </w:r>
      <w:r w:rsidRPr="00194419">
        <w:rPr>
          <w:b/>
          <w:lang w:val="es-ES_tradnl"/>
        </w:rPr>
        <w:t>ODS</w:t>
      </w:r>
    </w:p>
    <w:p w14:paraId="63455285" w14:textId="44CE68F5" w:rsidR="008C4274" w:rsidRPr="00194419" w:rsidRDefault="008C4274" w:rsidP="008A3630">
      <w:pPr>
        <w:pStyle w:val="Prrafodelista"/>
        <w:numPr>
          <w:ilvl w:val="1"/>
          <w:numId w:val="1"/>
        </w:numPr>
        <w:spacing w:line="480" w:lineRule="auto"/>
        <w:rPr>
          <w:b/>
          <w:lang w:val="es-ES_tradnl"/>
        </w:rPr>
      </w:pPr>
      <w:r w:rsidRPr="00194419">
        <w:rPr>
          <w:b/>
          <w:lang w:val="es-ES_tradnl"/>
        </w:rPr>
        <w:t>Th</w:t>
      </w:r>
      <w:r w:rsidR="00314A73" w:rsidRPr="00194419">
        <w:rPr>
          <w:b/>
          <w:lang w:val="es-ES_tradnl"/>
        </w:rPr>
        <w:t>e</w:t>
      </w:r>
      <w:r w:rsidRPr="00194419">
        <w:rPr>
          <w:b/>
          <w:lang w:val="es-ES_tradnl"/>
        </w:rPr>
        <w:t xml:space="preserve">oretical </w:t>
      </w:r>
      <w:r w:rsidR="00604065">
        <w:rPr>
          <w:b/>
          <w:lang w:val="es-ES_tradnl"/>
        </w:rPr>
        <w:t>basis</w:t>
      </w:r>
    </w:p>
    <w:p w14:paraId="757B9F6A" w14:textId="297CBD7B" w:rsidR="00314A73" w:rsidRPr="00194419" w:rsidRDefault="00314A73" w:rsidP="008A3630">
      <w:pPr>
        <w:pStyle w:val="Prrafodelista"/>
        <w:spacing w:line="480" w:lineRule="auto"/>
        <w:ind w:left="0"/>
      </w:pPr>
      <w:r w:rsidRPr="00194419">
        <w:t>Tritium (</w:t>
      </w:r>
      <w:r w:rsidR="006E74F7" w:rsidRPr="00194419">
        <w:rPr>
          <w:vertAlign w:val="superscript"/>
        </w:rPr>
        <w:t>3</w:t>
      </w:r>
      <w:r w:rsidRPr="00194419">
        <w:t>H)</w:t>
      </w:r>
      <w:r w:rsidR="00EC5518" w:rsidRPr="00194419">
        <w:t xml:space="preserve"> </w:t>
      </w:r>
      <w:r w:rsidR="00D368B1" w:rsidRPr="00194419">
        <w:t>is the radioactive isotope of hydrogen</w:t>
      </w:r>
      <w:r w:rsidR="00EC5518" w:rsidRPr="00194419">
        <w:t xml:space="preserve"> and </w:t>
      </w:r>
      <w:r w:rsidR="006E74F7" w:rsidRPr="00194419">
        <w:t>i</w:t>
      </w:r>
      <w:r w:rsidR="00EC5518" w:rsidRPr="00194419">
        <w:t>s naturally formed in the atmosphere</w:t>
      </w:r>
      <w:r w:rsidR="00D11F19" w:rsidRPr="00194419">
        <w:t>. Its presence in groundwater mainly come</w:t>
      </w:r>
      <w:r w:rsidR="003E4886">
        <w:t>s</w:t>
      </w:r>
      <w:r w:rsidR="00D11F19" w:rsidRPr="00194419">
        <w:t xml:space="preserve"> from precipitation. As part of water molecules</w:t>
      </w:r>
      <w:r w:rsidR="006E74F7" w:rsidRPr="00194419">
        <w:t xml:space="preserve">, </w:t>
      </w:r>
      <w:r w:rsidR="006E74F7" w:rsidRPr="00194419">
        <w:rPr>
          <w:vertAlign w:val="superscript"/>
        </w:rPr>
        <w:t>3</w:t>
      </w:r>
      <w:r w:rsidR="00F375CE" w:rsidRPr="00194419">
        <w:t xml:space="preserve">H is the only tracer that can be used </w:t>
      </w:r>
      <w:r w:rsidR="003E4886" w:rsidRPr="00194419">
        <w:t xml:space="preserve">to </w:t>
      </w:r>
      <w:r w:rsidR="00F375CE" w:rsidRPr="00194419">
        <w:t>dat</w:t>
      </w:r>
      <w:r w:rsidR="003E4886">
        <w:t>e</w:t>
      </w:r>
      <w:r w:rsidR="00F375CE" w:rsidRPr="00194419">
        <w:t xml:space="preserve"> groundwater </w:t>
      </w:r>
      <w:r w:rsidR="003E4886" w:rsidRPr="00194419">
        <w:t xml:space="preserve">directly </w:t>
      </w:r>
      <w:r w:rsidR="007B1451" w:rsidRPr="00194419">
        <w:fldChar w:fldCharType="begin" w:fldLock="1"/>
      </w:r>
      <w:r w:rsidR="00911052" w:rsidRPr="00194419">
        <w:instrText>ADDIN CSL_CITATION {"citationItems":[{"id":"ITEM-1","itemData":{"author":[{"dropping-particle":"","family":"Clark","given":"I. D.","non-dropping-particle":"","parse-names":false,"suffix":""},{"dropping-particle":"","family":"Fritz","given":"P.","non-dropping-particle":"","parse-names":false,"suffix":""}],"id":"ITEM-1","issued":{"date-parts":[["1997"]]},"number-of-pages":"352","publisher":"CRC Press","title":"Environmental Isotopes in Hydrogeology","type":"book"},"uris":["http://www.mendeley.com/documents/?uuid=5ea6ed51-643f-47f7-a63f-e442a89f7274"]}],"mendeley":{"formattedCitation":"(Clark and Fritz, 1997)","plainTextFormattedCitation":"(Clark and Fritz, 1997)","previouslyFormattedCitation":"(Clark and Fritz, 1997)"},"properties":{"noteIndex":0},"schema":"https://github.com/citation-style-language/schema/raw/master/csl-citation.json"}</w:instrText>
      </w:r>
      <w:r w:rsidR="007B1451" w:rsidRPr="00194419">
        <w:fldChar w:fldCharType="separate"/>
      </w:r>
      <w:r w:rsidR="007B1451" w:rsidRPr="00194419">
        <w:rPr>
          <w:noProof/>
        </w:rPr>
        <w:t>(Clark and Fritz, 1997)</w:t>
      </w:r>
      <w:r w:rsidR="007B1451" w:rsidRPr="00194419">
        <w:fldChar w:fldCharType="end"/>
      </w:r>
      <w:r w:rsidR="00F375CE" w:rsidRPr="00194419">
        <w:t>.</w:t>
      </w:r>
      <w:r w:rsidR="00D368B1" w:rsidRPr="00194419">
        <w:t xml:space="preserve"> The atmospheric concentration of </w:t>
      </w:r>
      <w:r w:rsidR="006E74F7" w:rsidRPr="00194419">
        <w:rPr>
          <w:vertAlign w:val="superscript"/>
        </w:rPr>
        <w:t>3</w:t>
      </w:r>
      <w:r w:rsidR="00D368B1" w:rsidRPr="00194419">
        <w:t xml:space="preserve">H increased </w:t>
      </w:r>
      <w:r w:rsidR="000657B7" w:rsidRPr="00194419">
        <w:t xml:space="preserve">markedly </w:t>
      </w:r>
      <w:r w:rsidR="00D368B1" w:rsidRPr="00194419">
        <w:t xml:space="preserve">between 1955 and 1963 due to thermonuclear tests, reaching values </w:t>
      </w:r>
      <w:r w:rsidR="00EC5518" w:rsidRPr="00194419">
        <w:t xml:space="preserve">that were </w:t>
      </w:r>
      <w:r w:rsidR="00D368B1" w:rsidRPr="00194419">
        <w:t xml:space="preserve">three </w:t>
      </w:r>
      <w:r w:rsidR="00D368B1" w:rsidRPr="00194419">
        <w:rPr>
          <w:noProof/>
        </w:rPr>
        <w:t>order</w:t>
      </w:r>
      <w:r w:rsidR="000657B7" w:rsidRPr="00194419">
        <w:rPr>
          <w:noProof/>
        </w:rPr>
        <w:t>s</w:t>
      </w:r>
      <w:r w:rsidR="00D368B1" w:rsidRPr="00194419">
        <w:t xml:space="preserve"> of magnitude above natural background, especially in the Northern Hemisphere (e.g.: </w:t>
      </w:r>
      <w:r w:rsidR="00911052" w:rsidRPr="00194419">
        <w:fldChar w:fldCharType="begin" w:fldLock="1"/>
      </w:r>
      <w:r w:rsidR="00911052" w:rsidRPr="00194419">
        <w:instrText>ADDIN CSL_CITATION {"citationItems":[{"id":"ITEM-1","itemData":{"author":[{"dropping-particle":"","family":"Solomon","given":"D. K.","non-dropping-particle":"","parse-names":false,"suffix":""},{"dropping-particle":"","family":"Cook","given":"Peter G.","non-dropping-particle":"","parse-names":false,"suffix":""}],"container-title":"Environmental tracers in subsurface hydrology","editor":[{"dropping-particle":"","family":"Cook","given":"P.G.","non-dropping-particle":"","parse-names":false,"suffix":""},{"dropping-particle":"","family":"Herczeg","given":"A. L.","non-dropping-particle":"","parse-names":false,"suffix":""}],"id":"ITEM-1","issued":{"date-parts":[["2000"]]},"publisher":"Springer Science+Business Media","title":"³H and ³He","type":"chapter"},"uris":["http://www.mendeley.com/documents/?uuid=d057b72c-b2ce-4bcd-b719-f5af5347582d"]}],"mendeley":{"formattedCitation":"(Solomon and Cook, 2000)","manualFormatting":"Solomon and Cook, 2000","plainTextFormattedCitation":"(Solomon and Cook, 2000)","previouslyFormattedCitation":"(Solomon and Cook, 2000)"},"properties":{"noteIndex":0},"schema":"https://github.com/citation-style-language/schema/raw/master/csl-citation.json"}</w:instrText>
      </w:r>
      <w:r w:rsidR="00911052" w:rsidRPr="00194419">
        <w:fldChar w:fldCharType="separate"/>
      </w:r>
      <w:r w:rsidR="00911052" w:rsidRPr="00194419">
        <w:rPr>
          <w:noProof/>
        </w:rPr>
        <w:t>Solomon and Cook, 2000</w:t>
      </w:r>
      <w:r w:rsidR="00911052" w:rsidRPr="00194419">
        <w:fldChar w:fldCharType="end"/>
      </w:r>
      <w:r w:rsidR="00D368B1" w:rsidRPr="00194419">
        <w:t>).</w:t>
      </w:r>
      <w:r w:rsidR="00250FC8" w:rsidRPr="00194419">
        <w:t xml:space="preserve"> However, </w:t>
      </w:r>
      <w:r w:rsidR="006E74F7" w:rsidRPr="00194419">
        <w:t>the abundance of</w:t>
      </w:r>
      <w:r w:rsidR="00250FC8" w:rsidRPr="00194419">
        <w:t xml:space="preserve"> atmospheric</w:t>
      </w:r>
      <w:r w:rsidR="006E74F7" w:rsidRPr="00194419">
        <w:t xml:space="preserve"> </w:t>
      </w:r>
      <w:r w:rsidR="006E74F7" w:rsidRPr="00194419">
        <w:rPr>
          <w:vertAlign w:val="superscript"/>
        </w:rPr>
        <w:t>3</w:t>
      </w:r>
      <w:r w:rsidR="006E74F7" w:rsidRPr="00194419">
        <w:t xml:space="preserve">H </w:t>
      </w:r>
      <w:r w:rsidR="00250FC8" w:rsidRPr="00194419">
        <w:t>is</w:t>
      </w:r>
      <w:r w:rsidR="00E52CD0" w:rsidRPr="00194419">
        <w:t xml:space="preserve"> nowadays</w:t>
      </w:r>
      <w:r w:rsidR="00250FC8" w:rsidRPr="00194419">
        <w:t xml:space="preserve"> similar to that before </w:t>
      </w:r>
      <w:r w:rsidR="001F6B72">
        <w:t>nuclear testing</w:t>
      </w:r>
      <w:r w:rsidR="00B70E75" w:rsidRPr="00194419">
        <w:t xml:space="preserve">, as most of the remaining </w:t>
      </w:r>
      <w:r w:rsidR="006266DD" w:rsidRPr="00194419">
        <w:t>released</w:t>
      </w:r>
      <w:r w:rsidR="00B70E75" w:rsidRPr="00194419">
        <w:t xml:space="preserve"> </w:t>
      </w:r>
      <w:r w:rsidR="00B70E75" w:rsidRPr="00194419">
        <w:rPr>
          <w:vertAlign w:val="superscript"/>
        </w:rPr>
        <w:t>3</w:t>
      </w:r>
      <w:r w:rsidR="00B70E75" w:rsidRPr="00194419">
        <w:t>H</w:t>
      </w:r>
      <w:r w:rsidR="00250FC8" w:rsidRPr="00194419">
        <w:t xml:space="preserve"> </w:t>
      </w:r>
      <w:r w:rsidR="00B70E75" w:rsidRPr="00194419">
        <w:t>is in the ocean or the subsurface</w:t>
      </w:r>
      <w:r w:rsidR="001F6B72">
        <w:t xml:space="preserve"> </w:t>
      </w:r>
      <w:r w:rsidR="00250FC8" w:rsidRPr="00194419">
        <w:t xml:space="preserve">(e.g.: </w:t>
      </w:r>
      <w:r w:rsidR="00911052" w:rsidRPr="00194419">
        <w:fldChar w:fldCharType="begin" w:fldLock="1"/>
      </w:r>
      <w:r w:rsidR="00941999" w:rsidRPr="00194419">
        <w:instrText>ADDIN CSL_CITATION {"citationItems":[{"id":"ITEM-1","itemData":{"author":[{"dropping-particle":"","family":"Han","given":"L.F.","non-dropping-particle":"","parse-names":false,"suffix":""},{"dropping-particle":"","family":"Gröning","given":"M.","non-dropping-particle":"","parse-names":false,"suffix":""},{"dropping-particle":"","family":"Plummer","given":"L.N.","non-dropping-particle":"","parse-names":false,"suffix":""},{"dropping-particle":"","family":"Solomon","given":"D. K.","non-dropping-particle":"","parse-names":false,"suffix":""}],"container-title":"Use of Chlorofluorocarbons in Hydrology: a guidebook.","id":"ITEM-1","issued":{"date-parts":[["2006"]]},"page":"191-198","publisher":"IAEA","title":"Comparison of the CFC technique with other techniques (&lt;sup&gt;3&lt;/sup&gt;H, &lt;sup&gt;3&lt;/sup&gt;H/&lt;sup&gt;3&lt;/sup&gt;He, &lt;sup&gt;85&lt;/sup&gt;Kr)","type":"chapter"},"uris":["http://www.mendeley.com/documents/?uuid=81e51ec0-6540-4f95-82d7-d6f99de29380"]}],"mendeley":{"formattedCitation":"(Han et al., 2006)","manualFormatting":"Han et al., 2006","plainTextFormattedCitation":"(Han et al., 2006)","previouslyFormattedCitation":"(Han et al., 2006)"},"properties":{"noteIndex":0},"schema":"https://github.com/citation-style-language/schema/raw/master/csl-citation.json"}</w:instrText>
      </w:r>
      <w:r w:rsidR="00911052" w:rsidRPr="00194419">
        <w:fldChar w:fldCharType="separate"/>
      </w:r>
      <w:r w:rsidR="00911052" w:rsidRPr="00194419">
        <w:rPr>
          <w:noProof/>
        </w:rPr>
        <w:t>Han et al., 2006</w:t>
      </w:r>
      <w:r w:rsidR="00911052" w:rsidRPr="00194419">
        <w:fldChar w:fldCharType="end"/>
      </w:r>
      <w:r w:rsidR="00250FC8" w:rsidRPr="00194419">
        <w:t>)</w:t>
      </w:r>
      <w:r w:rsidR="00BA629D" w:rsidRPr="00194419">
        <w:t>. In any case, the prese</w:t>
      </w:r>
      <w:r w:rsidR="00BA629D" w:rsidRPr="00194419">
        <w:rPr>
          <w:noProof/>
        </w:rPr>
        <w:t>nce o</w:t>
      </w:r>
      <w:r w:rsidR="00BA629D" w:rsidRPr="00194419">
        <w:t xml:space="preserve">f </w:t>
      </w:r>
      <w:r w:rsidR="00BB5F3D" w:rsidRPr="00194419">
        <w:rPr>
          <w:vertAlign w:val="superscript"/>
        </w:rPr>
        <w:t>3</w:t>
      </w:r>
      <w:r w:rsidR="00BB5F3D" w:rsidRPr="00194419">
        <w:t>H</w:t>
      </w:r>
      <w:r w:rsidR="00BA629D" w:rsidRPr="00194419">
        <w:t xml:space="preserve"> in a groundwater sample indicates </w:t>
      </w:r>
      <w:r w:rsidR="00BA629D" w:rsidRPr="00194419">
        <w:rPr>
          <w:noProof/>
        </w:rPr>
        <w:t>that</w:t>
      </w:r>
      <w:r w:rsidR="00BA629D" w:rsidRPr="00194419">
        <w:t xml:space="preserve"> </w:t>
      </w:r>
      <w:r w:rsidR="00BB5F3D" w:rsidRPr="00194419">
        <w:t xml:space="preserve">at least part of </w:t>
      </w:r>
      <w:r w:rsidR="00BA629D" w:rsidRPr="00194419">
        <w:t>it has a modern origin</w:t>
      </w:r>
      <w:r w:rsidR="00BB5F3D" w:rsidRPr="00194419">
        <w:t>, meaning that it was infiltrated after 1953</w:t>
      </w:r>
      <w:r w:rsidR="00BA629D" w:rsidRPr="00194419">
        <w:t xml:space="preserve">. </w:t>
      </w:r>
      <w:r w:rsidR="006C1D0D" w:rsidRPr="00194419">
        <w:t xml:space="preserve">The joint determination of </w:t>
      </w:r>
      <w:r w:rsidR="00BB5F3D" w:rsidRPr="00194419">
        <w:rPr>
          <w:vertAlign w:val="superscript"/>
        </w:rPr>
        <w:t>3</w:t>
      </w:r>
      <w:r w:rsidR="00BB5F3D" w:rsidRPr="00194419">
        <w:t>H</w:t>
      </w:r>
      <w:r w:rsidR="006C1D0D" w:rsidRPr="00194419">
        <w:t xml:space="preserve"> and </w:t>
      </w:r>
      <w:r w:rsidR="00BB5F3D" w:rsidRPr="00194419">
        <w:rPr>
          <w:vertAlign w:val="superscript"/>
        </w:rPr>
        <w:t>3</w:t>
      </w:r>
      <w:r w:rsidR="00BB5F3D" w:rsidRPr="00194419">
        <w:t>H</w:t>
      </w:r>
      <w:r w:rsidR="006C1D0D" w:rsidRPr="00194419">
        <w:t>e, its decay product, permits to quantify the time elapse</w:t>
      </w:r>
      <w:r w:rsidR="00EC5518" w:rsidRPr="00194419">
        <w:t>d</w:t>
      </w:r>
      <w:r w:rsidR="006C1D0D" w:rsidRPr="00194419">
        <w:t xml:space="preserve"> between isolation from the atmosphere (after recharge) and sampling of the modern fraction (post-1953) of a water sample</w:t>
      </w:r>
      <w:r w:rsidR="00096D84" w:rsidRPr="00194419">
        <w:t>,</w:t>
      </w:r>
      <w:r w:rsidR="002156F7" w:rsidRPr="00194419">
        <w:t xml:space="preserve"> and it has been broadly applied</w:t>
      </w:r>
      <w:r w:rsidR="006C1D0D" w:rsidRPr="00194419">
        <w:t xml:space="preserve"> </w:t>
      </w:r>
      <w:r w:rsidR="00911052" w:rsidRPr="00194419">
        <w:fldChar w:fldCharType="begin" w:fldLock="1"/>
      </w:r>
      <w:r w:rsidR="00B77511" w:rsidRPr="00194419">
        <w:instrText>ADDIN CSL_CITATION {"citationItems":[{"id":"ITEM-1","itemData":{"author":[{"dropping-particle":"","family":"Torgersen","given":"T.","non-dropping-particle":"","parse-names":false,"suffix":""},{"dropping-particle":"","family":"Clarke","given":"W.B.","non-dropping-particle":"","parse-names":false,"suffix":""},{"dropping-particle":"","family":"Jenkins","given":"W J","non-dropping-particle":"","parse-names":false,"suffix":""}],"container-title":"Isotope Hydrology 1978, IAEA Symposium","id":"ITEM-1","issued":{"date-parts":[["1978"]]},"publisher-place":"Neuherberg, Germany","title":"The tritium/helium-3 method in hydrology","type":"paper-conference"},"uris":["http://www.mendeley.com/documents/?uuid=39bfd266-530a-45d2-8d19-9abdecd24ad4"]},{"id":"ITEM-2","itemData":{"DOI":"10.1016/0022-1694(88)90002-9","ISBN":"0022-1694","ISSN":"00221694","abstract":"Measurements of tritium and 3He in groundwater can be used to calculate the age of tritium in groundwater. Such combined measurements on water samples thus provide a powerful tool towards understanding fluid flow in the near-surface saturated zone. We report tritium and helium isotope measurements on waters from an unconfined aquifer associated with a low-level nuclear waste storage area. These values are used to calculate ages of tritium in groundwater from 0.1 to 6 years. From the groundwater ages and a three-dimensional flow net hydraulic conductivities of 3.3 × 10-6 to 5.5 × 10-6 ms-1 for five wells, and extreme values from a single well of 18 × 10-6 and 97 × 10-6ms-1, are calculated. These values agree with hydraulic conductivities obtained from conventional aquifer tests. The high conductivity value may indicate an area of preferred fluid flow. © 1988.","author":[{"dropping-particle":"","family":"Poreda","given":"R. J.","non-dropping-particle":"","parse-names":false,"suffix":""},{"dropping-particle":"","family":"Cerling","given":"T. E.","non-dropping-particle":"","parse-names":false,"suffix":""},{"dropping-particle":"","family":"Salomon","given":"D. K.","non-dropping-particle":"","parse-names":false,"suffix":""}],"container-title":"Journal of Hydrology","id":"ITEM-2","issue":"1-2","issued":{"date-parts":[["1988"]]},"page":"1-9","title":"Tritium and helium isotopes as hydrologic tracers in a shallow unconfined aquifer","type":"article-journal","volume":"103"},"uris":["http://www.mendeley.com/documents/?uuid=815f80af-3275-4810-830c-1ed02ffda03f"]},{"id":"ITEM-3","itemData":{"DOI":"10.1016/S0022-1694(96)03051-X","ISBN":"0022-1694","ISSN":"00221694","abstract":"Chlorofluorocarbons, 3H/3He and 85Kr are tracers of atmospheric origin that can be used to date groundwater over periods from 0 to 40 years. In suitable aquifers, measured groundwater ages can he used to estimate groundwater flow paths, and vertical and horizontal flow velocities. In simple, piston flow systems they can be used to estimate groundwater recharge rates with an accuracy of 20% or less, better than can be achieved with traditional hydraulic-based methods. Groundwater dating methods have also been used to reconstruct past releases of contaminants to aquifers.","author":[{"dropping-particle":"","family":"Cook","given":"P. G.","non-dropping-particle":"","parse-names":false,"suffix":""},{"dropping-particle":"","family":"Solomon","given":"D. K.","non-dropping-particle":"","parse-names":false,"suffix":""}],"container-title":"Journal of Hydrology","id":"ITEM-3","issue":"1-4","issued":{"date-parts":[["1997"]]},"page":"245-265","title":"Recent advances in dating young groundwater: Chlorofluorocarbons, 3H/3He and 85Kr","type":"article-journal","volume":"191"},"uris":["http://www.mendeley.com/documents/?uuid=7651275d-259f-4e02-816d-cb8db84e50a0"]},{"id":"ITEM-4","itemData":{"DOI":"10.1029/2009WR008006","ISBN":"0043-1397","ISSN":"0043-1397","abstract":"Springs and gaining streams are locations where groundwater flow paths naturally converge and discharge as a flow-weighted mixture of water from the contributing aquifer. The age of that water is therefore a good measure of the mean transit time (MTT) of the contributing aquifer. The question examined in this paper is whether tritiogenic helium-3 and tritium (3Hetrit-3H) can be used to estimate MTT in these settings. To answer that question two factors must be considered: (1) the loss of 3He from discharging groundwater as it becomes exposed to the atmosphere, and (2) the accuracy with which MTT can be determined from flow-weighted 3Hetrit-3H concentrations. These concepts were tested at the Fischa-Dagnitz system (springs and emerging stream), which is part of the southern Vienna Basin aquifer. Conducting a gas tracer test, gas exchange coefficients (λ) were established for helium-4 (4He) and krypton-84 (84Kr), and derived for helium-3 (3He) and neon-20 (20Ne). By simulating measured groundwater inflow and gas transport in the stream, groundwater inflow concentrations for 3He, 4He, 20Ne, and 84Kr were estimated. Correcting for the various sources of He, the tritiogenic helium-3 (3Hetrit) concentration of inflowing groundwater was estimated at 8.3 tritium units (TU). The flow-weighted groundwater concentration of 3H, determined from 22 stream water samples, was estimated at 9.8 TU. Assuming that the relationship between flow amount and transit time at Fischa-Dagnitz is characterized by a hybrid dispersion-exponential age model, the 3Hetrit-3H ratio (8.3/9.8 = 0.85) defines a MTT of 8 years. The validity of this estimate was evaluated by comparison to a long-term 3H time series that exists for Fischa-Dagnitz. The likely range of MTT's derived from the measured 3H time series is 11 to 14 years.","author":[{"dropping-particle":"","family":"Stolp","given":"B. J.","non-dropping-particle":"","parse-names":false,"suffix":""},{"dropping-particle":"","family":"Solomon","given":"D. K.","non-dropping-particle":"","parse-names":false,"suffix":""},{"dropping-particle":"","family":"Suckow","given":"A.","non-dropping-particle":"","parse-names":false,"suffix":""},{"dropping-particle":"","family":"Vitvar","given":"T.","non-dropping-particle":"","parse-names":false,"suffix":""},{"dropping-particle":"","family":"Rank","given":"D.","non-dropping-particle":"","parse-names":false,"suffix":""},{"dropping-particle":"","family":"Aggarwal","given":"P. K.","non-dropping-particle":"","parse-names":false,"suffix":""},{"dropping-particle":"","family":"Han","given":"L. F.","non-dropping-particle":"","parse-names":false,"suffix":""}],"container-title":"Water Resources Research","id":"ITEM-4","issue":"7","issued":{"date-parts":[["2010"]]},"page":"1-13","title":"Age dating base flow at springs and gaining streams using helium-3 and tritium: Fischa-Dagnitz system, southern Vienna Basin, Austria","type":"article-journal","volume":"46"},"uris":["http://www.mendeley.com/documents/?uuid=72767bf8-c031-4d9f-97b8-74f07a4861f4"]}],"mendeley":{"formattedCitation":"(Cook and Solomon, 1997; Poreda et al., 1988; Stolp et al., 2010; Torgersen et al., 1978)","plainTextFormattedCitation":"(Cook and Solomon, 1997; Poreda et al., 1988; Stolp et al., 2010; Torgersen et al., 1978)","previouslyFormattedCitation":"(Cook and Solomon, 1997; Poreda et al., 1988; Stolp et al., 2010; Torgersen et al., 1978)"},"properties":{"noteIndex":0},"schema":"https://github.com/citation-style-language/schema/raw/master/csl-citation.json"}</w:instrText>
      </w:r>
      <w:r w:rsidR="00911052" w:rsidRPr="00194419">
        <w:fldChar w:fldCharType="separate"/>
      </w:r>
      <w:r w:rsidR="00911052" w:rsidRPr="00194419">
        <w:rPr>
          <w:noProof/>
        </w:rPr>
        <w:t>(Cook and Solomon, 1997; Poreda et al., 1988; Stolp et al., 2010; Torgersen et al., 1978)</w:t>
      </w:r>
      <w:r w:rsidR="00911052" w:rsidRPr="00194419">
        <w:fldChar w:fldCharType="end"/>
      </w:r>
      <w:r w:rsidR="00802048" w:rsidRPr="00194419">
        <w:t xml:space="preserve">. </w:t>
      </w:r>
      <w:r w:rsidR="002C288C" w:rsidRPr="00194419">
        <w:t xml:space="preserve">The application of the </w:t>
      </w:r>
      <w:r w:rsidR="002C288C" w:rsidRPr="00194419">
        <w:rPr>
          <w:vertAlign w:val="superscript"/>
        </w:rPr>
        <w:t>3</w:t>
      </w:r>
      <w:r w:rsidR="002C288C" w:rsidRPr="00194419">
        <w:t>H/</w:t>
      </w:r>
      <w:r w:rsidR="002C288C" w:rsidRPr="00194419">
        <w:rPr>
          <w:vertAlign w:val="superscript"/>
        </w:rPr>
        <w:t>3</w:t>
      </w:r>
      <w:r w:rsidR="002C288C" w:rsidRPr="00194419">
        <w:t xml:space="preserve">He dating method also requires </w:t>
      </w:r>
      <w:r w:rsidR="004F152F" w:rsidRPr="00194419">
        <w:rPr>
          <w:vertAlign w:val="superscript"/>
        </w:rPr>
        <w:t>4</w:t>
      </w:r>
      <w:r w:rsidR="004F152F" w:rsidRPr="00194419">
        <w:t xml:space="preserve">He and Ne measurements, in order to distinguish between different sources of </w:t>
      </w:r>
      <w:r w:rsidR="004F152F" w:rsidRPr="00194419">
        <w:rPr>
          <w:vertAlign w:val="superscript"/>
        </w:rPr>
        <w:t>3</w:t>
      </w:r>
      <w:r w:rsidR="004F152F" w:rsidRPr="00194419">
        <w:t>He in groundwater</w:t>
      </w:r>
      <w:r w:rsidR="003B0FC4" w:rsidRPr="00194419">
        <w:t xml:space="preserve"> (equilibrium, excess-air, tritiogenic, radiogenic)</w:t>
      </w:r>
      <w:r w:rsidR="004F152F" w:rsidRPr="00194419">
        <w:t xml:space="preserve">. </w:t>
      </w:r>
      <w:r w:rsidR="00802048" w:rsidRPr="00194419">
        <w:t>More details</w:t>
      </w:r>
      <w:r w:rsidR="002156F7" w:rsidRPr="00194419">
        <w:t xml:space="preserve"> regarding the </w:t>
      </w:r>
      <w:r w:rsidR="002156F7" w:rsidRPr="00194419">
        <w:rPr>
          <w:vertAlign w:val="superscript"/>
        </w:rPr>
        <w:t>3</w:t>
      </w:r>
      <w:r w:rsidR="002156F7" w:rsidRPr="00194419">
        <w:t>H/</w:t>
      </w:r>
      <w:r w:rsidR="002156F7" w:rsidRPr="00194419">
        <w:rPr>
          <w:vertAlign w:val="superscript"/>
        </w:rPr>
        <w:t>3</w:t>
      </w:r>
      <w:r w:rsidR="002156F7" w:rsidRPr="00194419">
        <w:t xml:space="preserve">He technique can be found in </w:t>
      </w:r>
      <w:r w:rsidR="002156F7" w:rsidRPr="00194419">
        <w:rPr>
          <w:noProof/>
        </w:rPr>
        <w:t>literature</w:t>
      </w:r>
      <w:r w:rsidR="002156F7" w:rsidRPr="00194419">
        <w:t xml:space="preserve"> (e.g.: </w:t>
      </w:r>
      <w:r w:rsidR="00B77511" w:rsidRPr="00194419">
        <w:fldChar w:fldCharType="begin" w:fldLock="1"/>
      </w:r>
      <w:r w:rsidR="005527DE" w:rsidRPr="00194419">
        <w:instrText>ADDIN CSL_CITATION {"citationItems":[{"id":"ITEM-1","itemData":{"author":[{"dropping-particle":"","family":"Solomon","given":"D. K.","non-dropping-particle":"","parse-names":false,"suffix":""},{"dropping-particle":"","family":"Cook","given":"Peter G.","non-dropping-particle":"","parse-names":false,"suffix":""}],"container-title":"Environmental tracers in subsurface hydrology","editor":[{"dropping-particle":"","family":"Cook","given":"P.G.","non-dropping-particle":"","parse-names":false,"suffix":""},{"dropping-particle":"","family":"Herczeg","given":"A. L.","non-dropping-particle":"","parse-names":false,"suffix":""}],"id":"ITEM-1","issued":{"date-parts":[["2000"]]},"publisher":"Springer Science+Business Media","title":"³H and ³He","type":"chapter"},"uris":["http://www.mendeley.com/documents/?uuid=d057b72c-b2ce-4bcd-b719-f5af5347582d"]},{"id":"ITEM-2","itemData":{"DOI":"10.1007/s10040-010-0663-4","author":[{"dropping-particle":"","family":"Sültenfuss","given":"Jürgen","non-dropping-particle":"","parse-names":false,"suffix":""},{"dropping-particle":"","family":"Purtschert","given":"Roland","non-dropping-particle":"","parse-names":false,"suffix":""},{"dropping-particle":"","family":"Führböter","given":"Jens F","non-dropping-particle":"","parse-names":false,"suffix":""}],"container-title":"Hydrogeology Journal","id":"ITEM-2","issued":{"date-parts":[["2011"]]},"page":"221-236","title":"Age structure and recharge conditions of a coastal aquifer ( northern Germany ) investigated with &lt;sup&gt;39&lt;/sup&gt;Ar, &lt;sup&gt;14&lt;/sup&gt;C, &lt;sup&gt;3&lt;/sup&gt;H, He isotopes and Ne","type":"article-journal","volume":"19"},"uris":["http://www.mendeley.com/documents/?uuid=ae9362a1-8110-4d26-8363-278532b866b3"]}],"mendeley":{"formattedCitation":"(Solomon and Cook, 2000; Sültenfuss et al., 2011)","manualFormatting":"Solomon and Cook, 2000; Sültenfuss et al., 2011)","plainTextFormattedCitation":"(Solomon and Cook, 2000; Sültenfuss et al., 2011)","previouslyFormattedCitation":"(Solomon and Cook, 2000; Sültenfuss et al., 2011)"},"properties":{"noteIndex":0},"schema":"https://github.com/citation-style-language/schema/raw/master/csl-citation.json"}</w:instrText>
      </w:r>
      <w:r w:rsidR="00B77511" w:rsidRPr="00194419">
        <w:fldChar w:fldCharType="separate"/>
      </w:r>
      <w:r w:rsidR="00B77511" w:rsidRPr="00194419">
        <w:rPr>
          <w:noProof/>
        </w:rPr>
        <w:t>Solomon and Cook, 2000; Sültenfuss et al., 2011)</w:t>
      </w:r>
      <w:r w:rsidR="00B77511" w:rsidRPr="00194419">
        <w:fldChar w:fldCharType="end"/>
      </w:r>
      <w:r w:rsidR="001F6B72">
        <w:t>.</w:t>
      </w:r>
    </w:p>
    <w:p w14:paraId="229FA351" w14:textId="38DE56CD" w:rsidR="002C288C" w:rsidRPr="00194419" w:rsidRDefault="004F152F" w:rsidP="008A3630">
      <w:pPr>
        <w:pStyle w:val="Prrafodelista"/>
        <w:spacing w:line="480" w:lineRule="auto"/>
        <w:ind w:left="0"/>
      </w:pPr>
      <w:r w:rsidRPr="00194419">
        <w:t xml:space="preserve">Part of </w:t>
      </w:r>
      <w:r w:rsidRPr="00194419">
        <w:rPr>
          <w:vertAlign w:val="superscript"/>
        </w:rPr>
        <w:t>4</w:t>
      </w:r>
      <w:r w:rsidRPr="00194419">
        <w:t xml:space="preserve">He concentration in groundwater samples can be attributable to underground production, </w:t>
      </w:r>
      <w:r w:rsidR="00B677B6" w:rsidRPr="00194419">
        <w:t>derived from</w:t>
      </w:r>
      <w:r w:rsidR="00CF5C8D" w:rsidRPr="00194419">
        <w:t xml:space="preserve"> the U and Th decay series, </w:t>
      </w:r>
      <w:r w:rsidRPr="00194419">
        <w:t xml:space="preserve">and it is called radiogenic </w:t>
      </w:r>
      <w:r w:rsidRPr="00194419">
        <w:rPr>
          <w:vertAlign w:val="superscript"/>
        </w:rPr>
        <w:t>4</w:t>
      </w:r>
      <w:r w:rsidRPr="00194419">
        <w:t>He (</w:t>
      </w:r>
      <w:r w:rsidRPr="00194419">
        <w:rPr>
          <w:vertAlign w:val="superscript"/>
        </w:rPr>
        <w:t>4</w:t>
      </w:r>
      <w:r w:rsidRPr="00194419">
        <w:t>He</w:t>
      </w:r>
      <w:r w:rsidRPr="00194419">
        <w:rPr>
          <w:vertAlign w:val="subscript"/>
        </w:rPr>
        <w:t>rad</w:t>
      </w:r>
      <w:r w:rsidRPr="00194419">
        <w:t>)</w:t>
      </w:r>
      <w:r w:rsidR="00CF5C8D" w:rsidRPr="00194419">
        <w:t>. Assuming that</w:t>
      </w:r>
      <w:r w:rsidR="00B677B6" w:rsidRPr="00194419">
        <w:t xml:space="preserve"> the</w:t>
      </w:r>
      <w:r w:rsidR="00CF5C8D" w:rsidRPr="00194419">
        <w:t xml:space="preserve"> </w:t>
      </w:r>
      <w:r w:rsidR="00CF5C8D" w:rsidRPr="00194419">
        <w:rPr>
          <w:vertAlign w:val="superscript"/>
        </w:rPr>
        <w:t>4</w:t>
      </w:r>
      <w:r w:rsidR="00CF5C8D" w:rsidRPr="00194419">
        <w:t>He</w:t>
      </w:r>
      <w:r w:rsidR="00CF5C8D" w:rsidRPr="00194419">
        <w:rPr>
          <w:vertAlign w:val="subscript"/>
        </w:rPr>
        <w:t>rad</w:t>
      </w:r>
      <w:r w:rsidR="00CF5C8D" w:rsidRPr="00194419">
        <w:t xml:space="preserve"> produced within minerals is liberated to groundwater at a constant rate, and homogeneously in space, its concentration would increase proportionally to </w:t>
      </w:r>
      <w:r w:rsidR="00CF5C8D" w:rsidRPr="00194419">
        <w:lastRenderedPageBreak/>
        <w:t xml:space="preserve">groundwater travel time </w:t>
      </w:r>
      <w:r w:rsidR="00B77511" w:rsidRPr="00194419">
        <w:fldChar w:fldCharType="begin" w:fldLock="1"/>
      </w:r>
      <w:r w:rsidR="00941999" w:rsidRPr="00194419">
        <w:instrText>ADDIN CSL_CITATION {"citationItems":[{"id":"ITEM-1","itemData":{"author":[{"dropping-particle":"","family":"Solomon","given":"D. K.","non-dropping-particle":"","parse-names":false,"suffix":""}],"container-title":"Environmental tracers in subsurface hydrology","editor":[{"dropping-particle":"","family":"Cook","given":"P.G.","non-dropping-particle":"","parse-names":false,"suffix":""},{"dropping-particle":"","family":"Herczeg","given":"A. L.","non-dropping-particle":"","parse-names":false,"suffix":""}],"id":"ITEM-1","issued":{"date-parts":[["2000"]]},"publisher":"Springer Science+Business Media","title":"&lt;sup&gt;4&lt;/sup&gt;He in groundwater","type":"chapter"},"uris":["http://www.mendeley.com/documents/?uuid=ca10d13d-48d9-44a2-8024-ff6bbff8d4b2"]}],"mendeley":{"formattedCitation":"(Solomon, 2000)","plainTextFormattedCitation":"(Solomon, 2000)","previouslyFormattedCitation":"(Solomon, 2000)"},"properties":{"noteIndex":0},"schema":"https://github.com/citation-style-language/schema/raw/master/csl-citation.json"}</w:instrText>
      </w:r>
      <w:r w:rsidR="00B77511" w:rsidRPr="00194419">
        <w:fldChar w:fldCharType="separate"/>
      </w:r>
      <w:r w:rsidR="00B77511" w:rsidRPr="00194419">
        <w:rPr>
          <w:noProof/>
        </w:rPr>
        <w:t>(Solomon, 2000)</w:t>
      </w:r>
      <w:r w:rsidR="00B77511" w:rsidRPr="00194419">
        <w:fldChar w:fldCharType="end"/>
      </w:r>
      <w:r w:rsidR="00CF5C8D" w:rsidRPr="00194419">
        <w:t xml:space="preserve">. </w:t>
      </w:r>
      <w:r w:rsidR="00916793" w:rsidRPr="00194419">
        <w:t>Th</w:t>
      </w:r>
      <w:r w:rsidR="00EC5518" w:rsidRPr="00194419">
        <w:t>us</w:t>
      </w:r>
      <w:r w:rsidR="00916793" w:rsidRPr="00194419">
        <w:t xml:space="preserve">, </w:t>
      </w:r>
      <w:r w:rsidR="00916793" w:rsidRPr="00194419">
        <w:rPr>
          <w:vertAlign w:val="superscript"/>
        </w:rPr>
        <w:t>4</w:t>
      </w:r>
      <w:r w:rsidR="00916793" w:rsidRPr="00194419">
        <w:t>He</w:t>
      </w:r>
      <w:r w:rsidR="00916793" w:rsidRPr="00194419">
        <w:rPr>
          <w:vertAlign w:val="subscript"/>
        </w:rPr>
        <w:t>rad</w:t>
      </w:r>
      <w:r w:rsidR="00916793" w:rsidRPr="00194419">
        <w:t xml:space="preserve"> can be used as </w:t>
      </w:r>
      <w:r w:rsidR="000657B7" w:rsidRPr="00194419">
        <w:t xml:space="preserve">a </w:t>
      </w:r>
      <w:r w:rsidR="00916793" w:rsidRPr="00194419">
        <w:rPr>
          <w:noProof/>
        </w:rPr>
        <w:t>dating</w:t>
      </w:r>
      <w:r w:rsidR="00916793" w:rsidRPr="00194419">
        <w:t xml:space="preserve"> tool</w:t>
      </w:r>
      <w:r w:rsidR="00B677B6" w:rsidRPr="00194419">
        <w:t>,</w:t>
      </w:r>
      <w:r w:rsidR="00916793" w:rsidRPr="00194419">
        <w:t xml:space="preserve"> as long as other sources of </w:t>
      </w:r>
      <w:r w:rsidR="00916793" w:rsidRPr="00194419">
        <w:rPr>
          <w:vertAlign w:val="superscript"/>
        </w:rPr>
        <w:t>4</w:t>
      </w:r>
      <w:r w:rsidR="00916793" w:rsidRPr="00194419">
        <w:t xml:space="preserve">He are substantially lower than the radiogenic origin </w:t>
      </w:r>
      <w:r w:rsidR="00B77511" w:rsidRPr="00194419">
        <w:fldChar w:fldCharType="begin" w:fldLock="1"/>
      </w:r>
      <w:r w:rsidR="00B77511" w:rsidRPr="00194419">
        <w:instrText>ADDIN CSL_CITATION {"citationItems":[{"id":"ITEM-1","itemData":{"author":[{"dropping-particle":"","family":"Torgersen","given":"T.","non-dropping-particle":"","parse-names":false,"suffix":""},{"dropping-particle":"","family":"Stute","given":"M.","non-dropping-particle":"","parse-names":false,"suffix":""}],"container-title":"Isotope methods for dating old groundwater","id":"ITEM-1","issued":{"date-parts":[["2013"]]},"publisher":"International Atomic Energy Agency","title":"Helium (and other noble gases) as a tool for understanding long timescale groundwater transport","type":"chapter"},"uris":["http://www.mendeley.com/documents/?uuid=cd8ff9d0-b919-44f5-a5ac-f78e94499c4a"]}],"mendeley":{"formattedCitation":"(Torgersen and Stute, 2013)","plainTextFormattedCitation":"(Torgersen and Stute, 2013)","previouslyFormattedCitation":"(Torgersen and Stute, 2013)"},"properties":{"noteIndex":0},"schema":"https://github.com/citation-style-language/schema/raw/master/csl-citation.json"}</w:instrText>
      </w:r>
      <w:r w:rsidR="00B77511" w:rsidRPr="00194419">
        <w:fldChar w:fldCharType="separate"/>
      </w:r>
      <w:r w:rsidR="00B77511" w:rsidRPr="00194419">
        <w:rPr>
          <w:noProof/>
        </w:rPr>
        <w:t>(Torgersen and Stute, 2013)</w:t>
      </w:r>
      <w:r w:rsidR="00B77511" w:rsidRPr="00194419">
        <w:fldChar w:fldCharType="end"/>
      </w:r>
      <w:r w:rsidR="00B677B6" w:rsidRPr="00194419">
        <w:t xml:space="preserve">. </w:t>
      </w:r>
      <w:r w:rsidR="00C86159" w:rsidRPr="00194419">
        <w:t>However</w:t>
      </w:r>
      <w:r w:rsidR="008C2C02" w:rsidRPr="00194419">
        <w:t xml:space="preserve">, the utilization of </w:t>
      </w:r>
      <w:r w:rsidR="008C2C02" w:rsidRPr="00194419">
        <w:rPr>
          <w:vertAlign w:val="superscript"/>
        </w:rPr>
        <w:t>4</w:t>
      </w:r>
      <w:r w:rsidR="008C2C02" w:rsidRPr="00194419">
        <w:t>He</w:t>
      </w:r>
      <w:r w:rsidR="008C2C02" w:rsidRPr="00194419">
        <w:rPr>
          <w:vertAlign w:val="subscript"/>
        </w:rPr>
        <w:t>rad</w:t>
      </w:r>
      <w:r w:rsidR="008C2C02" w:rsidRPr="00194419">
        <w:t xml:space="preserve"> for groundwater dating </w:t>
      </w:r>
      <w:r w:rsidR="00C86159" w:rsidRPr="00194419">
        <w:t>is</w:t>
      </w:r>
      <w:r w:rsidR="008C2C02" w:rsidRPr="00194419">
        <w:t xml:space="preserve"> challenging</w:t>
      </w:r>
      <w:r w:rsidR="00C86159" w:rsidRPr="00194419">
        <w:t xml:space="preserve"> in settings where there is no knowledge about the proportion of U and Th in the rocks</w:t>
      </w:r>
      <w:r w:rsidR="008C2C02" w:rsidRPr="00194419">
        <w:t xml:space="preserve">, as </w:t>
      </w:r>
      <w:r w:rsidR="00C86159" w:rsidRPr="00194419">
        <w:t>the</w:t>
      </w:r>
      <w:r w:rsidR="008C2C02" w:rsidRPr="00194419">
        <w:t xml:space="preserve"> accumulation rate</w:t>
      </w:r>
      <w:r w:rsidR="00C86159" w:rsidRPr="00194419">
        <w:t xml:space="preserve"> of</w:t>
      </w:r>
      <w:r w:rsidR="008C2C02" w:rsidRPr="00194419">
        <w:t xml:space="preserve"> </w:t>
      </w:r>
      <w:r w:rsidR="00C86159" w:rsidRPr="00194419">
        <w:rPr>
          <w:vertAlign w:val="superscript"/>
        </w:rPr>
        <w:t>4</w:t>
      </w:r>
      <w:r w:rsidR="00C86159" w:rsidRPr="00194419">
        <w:t>He</w:t>
      </w:r>
      <w:r w:rsidR="00C86159" w:rsidRPr="00194419">
        <w:rPr>
          <w:vertAlign w:val="subscript"/>
        </w:rPr>
        <w:t>rad</w:t>
      </w:r>
      <w:r w:rsidR="00C86159" w:rsidRPr="00194419">
        <w:t xml:space="preserve"> can largely vary between different</w:t>
      </w:r>
      <w:r w:rsidR="008C2C02" w:rsidRPr="00194419">
        <w:t xml:space="preserve"> </w:t>
      </w:r>
      <w:r w:rsidR="00EC5518" w:rsidRPr="00194419">
        <w:t>geological formations</w:t>
      </w:r>
      <w:r w:rsidR="008C2C02" w:rsidRPr="00194419">
        <w:t>, from 5.8·10</w:t>
      </w:r>
      <w:r w:rsidR="008C2C02" w:rsidRPr="00194419">
        <w:rPr>
          <w:vertAlign w:val="superscript"/>
        </w:rPr>
        <w:t>-12</w:t>
      </w:r>
      <w:r w:rsidR="008C2C02" w:rsidRPr="00194419">
        <w:t xml:space="preserve"> Nml/g of H</w:t>
      </w:r>
      <w:r w:rsidR="008C2C02" w:rsidRPr="00194419">
        <w:rPr>
          <w:vertAlign w:val="subscript"/>
        </w:rPr>
        <w:t>2</w:t>
      </w:r>
      <w:r w:rsidR="008C2C02" w:rsidRPr="00194419">
        <w:t xml:space="preserve">O </w:t>
      </w:r>
      <w:r w:rsidR="00B77511" w:rsidRPr="00194419">
        <w:fldChar w:fldCharType="begin" w:fldLock="1"/>
      </w:r>
      <w:r w:rsidR="00B77511" w:rsidRPr="00194419">
        <w:instrText>ADDIN CSL_CITATION {"citationItems":[{"id":"ITEM-1","itemData":{"DOI":"10.1016/j.apgeochem.2015.08.010","ISSN":"18729134","abstract":"Dissolved helium concentrations and3He/4He ratios were measured for 18 groundwater samples collected from the Quaternary confined aquifers in the North China Plain (NCP). The dissolved helium concentrations ranged from 1 × 10-7to 1 × 10-6cm3STP·g-1in the 14 samples from the central plain, but was approximately two orders of magnitude higher, between 6 × 10-6and 9 × 10-5cm3STP·g-1, in 4 samples from the coastal plain. Based on these concentrations and the corresponding3He/4He ratios varying from 0.09 to 0.55 Ra(where Rais the3He/4He ratio of air), the dissolved helium in groundwater in the central plain was identified to be primarily a mixture of atmospheric helium with radiogenic helium and a representative radiogenic helium ratio was estimated to be 0.035 Ra. Despite the high fraction of terrigenic4He in the samples from the coastal plain, their3He/4He ratios were found to be significantly above this radiogenic value, ranging between 0.20 and 0.37 Ra, indicating the presence of a mantle-derived He component in this area. About 2-4% mantle helium was estimated to be present in the groundwater of the coastal plain, which probably is associated with the regional Cangdong fault and tectonic activities. Based on the radiogenic He component,4He ages of the groundwater in the central plain were calculated by assuming either pure in situ production or an external helium flux J0of 4.7 × 10-8cm3STPcm-2a-1. The estimated4He ages fall between 9.5 and 51.4 ka and are comparable to the14C ages, suggesting that the results of4He dating are reasonable and can be an effective tool to estimate groundwater residence times under suitable conditions.","author":[{"dropping-particle":"","family":"Wei","given":"Wen","non-dropping-particle":"","parse-names":false,"suffix":""},{"dropping-particle":"","family":"Aeschbach-Hertig","given":"Werner","non-dropping-particle":"","parse-names":false,"suffix":""},{"dropping-particle":"","family":"Chen","given":"Zongyu","non-dropping-particle":"","parse-names":false,"suffix":""}],"container-title":"Applied Geochemistry","id":"ITEM-1","issued":{"date-parts":[["2015"]]},"page":"182-189","publisher":"Elsevier Ltd","title":"Identification of He sources and estimation of He ages in groundwater of the North China Plain","type":"article-journal","volume":"63"},"uris":["http://www.mendeley.com/documents/?uuid=2a398b73-300e-46bb-8f47-659f25cef016"]}],"mendeley":{"formattedCitation":"(Wei et al., 2015)","plainTextFormattedCitation":"(Wei et al., 2015)","previouslyFormattedCitation":"(Wei et al., 2015)"},"properties":{"noteIndex":0},"schema":"https://github.com/citation-style-language/schema/raw/master/csl-citation.json"}</w:instrText>
      </w:r>
      <w:r w:rsidR="00B77511" w:rsidRPr="00194419">
        <w:fldChar w:fldCharType="separate"/>
      </w:r>
      <w:r w:rsidR="00B77511" w:rsidRPr="00194419">
        <w:rPr>
          <w:noProof/>
        </w:rPr>
        <w:t>(Wei et al., 2015)</w:t>
      </w:r>
      <w:r w:rsidR="00B77511" w:rsidRPr="00194419">
        <w:fldChar w:fldCharType="end"/>
      </w:r>
      <w:r w:rsidR="00B77511" w:rsidRPr="00194419" w:rsidDel="00B77511">
        <w:t xml:space="preserve"> </w:t>
      </w:r>
      <w:r w:rsidR="008C2C02" w:rsidRPr="00194419">
        <w:t>to 1.9·10</w:t>
      </w:r>
      <w:r w:rsidR="008C2C02" w:rsidRPr="00194419">
        <w:rPr>
          <w:vertAlign w:val="superscript"/>
        </w:rPr>
        <w:t>-9</w:t>
      </w:r>
      <w:r w:rsidR="008C2C02" w:rsidRPr="00194419">
        <w:t xml:space="preserve"> Nml/g of H</w:t>
      </w:r>
      <w:r w:rsidR="008C2C02" w:rsidRPr="00194419">
        <w:rPr>
          <w:vertAlign w:val="subscript"/>
        </w:rPr>
        <w:t>2</w:t>
      </w:r>
      <w:r w:rsidR="008C2C02" w:rsidRPr="00194419">
        <w:t xml:space="preserve">O </w:t>
      </w:r>
      <w:r w:rsidR="00B77511" w:rsidRPr="00194419">
        <w:fldChar w:fldCharType="begin" w:fldLock="1"/>
      </w:r>
      <w:r w:rsidR="00B77511" w:rsidRPr="00194419">
        <w:instrText>ADDIN CSL_CITATION {"citationItems":[{"id":"ITEM-1","itemData":{"ISBN":"0022-1694","abstract":"Noble gas isotopes (He-3, He-4, Ne, Ar, Kr, Xe), tritium (H-3), chlorofluorocarbons (CFCs) and dissolved oxygen (O-2) were seasonally measured in a small groundwater system recharged by infiltration of river water at Linsental, northeastern Switzerland. All Groundwater samples contained an excess of atmospheric noble gases ('excess air') usually with an elemental composition equal to air. The concentrations of atmospheric noble gases in the groundwater were used to calculate the excess air component and the water temperature at recharge. The noble gas temperatures (NGTs) in the boreholes close to the river vary seasonally, however, the average NGT of all samples lies close to the mean annual temperature of the river water. Groundwater ages were calculated using the tritium/helium-3 (H-3/He-3) dating method. The water ages of the samples obtained near the river depend on the amount of recently infiltrated river water and are young during times of active river discharge. In contrast, the mean water age of about 3 years of the deep aquifer remained nearly constant over the sampling period. The observed CFC-11 (CFCl3) and CFC-12 (CF2Cl2) concentrations are significantly higher than the atmospheric equilibrium concentrations and therefore CFCs do not provide any direct information on the residence time of the groundwater. Nevertheless, the CFC excess in the groundwater shows a linear increase with the H-3/He-3 age. Additionally, both accumulation of radiogenic He (He-4(rad)) and O-2 consumption are strongly correlated with residence time. Al these correlations can be interpreted either in terms of mixing of recently infiltrated river water with older groundwater or in terms of accumulation/consumption rates. (C) 1999 Elsevier Science B.V. All rights reserved.","author":[{"dropping-particle":"","family":"Beyerle","given":"U","non-dropping-particle":"","parse-names":false,"suffix":""},{"dropping-particle":"","family":"Aeschbach-Hertig","given":"W","non-dropping-particle":"","parse-names":false,"suffix":""},{"dropping-particle":"","family":"Hofer","given":"M","non-dropping-particle":"","parse-names":false,"suffix":""},{"dropping-particle":"","family":"Imboden","given":"D M","non-dropping-particle":"","parse-names":false,"suffix":""},{"dropping-particle":"","family":"Baur","given":"H","non-dropping-particle":"","parse-names":false,"suffix":""},{"dropping-particle":"","family":"Kipfer","given":"R","non-dropping-particle":"","parse-names":false,"suffix":""}],"container-title":"Journal of Hydrology","id":"ITEM-1","issue":"3-4","issued":{"date-parts":[["1999"]]},"page":"169-185","title":"Infiltration of river water to a shallow aquifer investigated with H-3/He-3, noble gases and CFCs","type":"article-journal","volume":"220"},"uris":["http://www.mendeley.com/documents/?uuid=907f51bc-a319-4143-858e-8ca853cee7eb"]}],"mendeley":{"formattedCitation":"(Beyerle et al., 1999)","plainTextFormattedCitation":"(Beyerle et al., 1999)","previouslyFormattedCitation":"(Beyerle et al., 1999)"},"properties":{"noteIndex":0},"schema":"https://github.com/citation-style-language/schema/raw/master/csl-citation.json"}</w:instrText>
      </w:r>
      <w:r w:rsidR="00B77511" w:rsidRPr="00194419">
        <w:fldChar w:fldCharType="separate"/>
      </w:r>
      <w:r w:rsidR="00B77511" w:rsidRPr="00194419">
        <w:rPr>
          <w:noProof/>
        </w:rPr>
        <w:t>(Beyerle et al., 1999)</w:t>
      </w:r>
      <w:r w:rsidR="00B77511" w:rsidRPr="00194419">
        <w:fldChar w:fldCharType="end"/>
      </w:r>
      <w:r w:rsidR="00C86159" w:rsidRPr="00194419">
        <w:t xml:space="preserve">. The </w:t>
      </w:r>
      <w:r w:rsidR="00EC5518" w:rsidRPr="00194419">
        <w:rPr>
          <w:vertAlign w:val="superscript"/>
        </w:rPr>
        <w:t>4</w:t>
      </w:r>
      <w:r w:rsidR="00EC5518" w:rsidRPr="00194419">
        <w:t>He</w:t>
      </w:r>
      <w:r w:rsidR="00EC5518" w:rsidRPr="00194419">
        <w:rPr>
          <w:vertAlign w:val="subscript"/>
        </w:rPr>
        <w:t>rad</w:t>
      </w:r>
      <w:r w:rsidR="00EC5518" w:rsidRPr="00194419">
        <w:t xml:space="preserve"> </w:t>
      </w:r>
      <w:r w:rsidR="00C86159" w:rsidRPr="00194419">
        <w:t xml:space="preserve">technique has been applied with relative success in many studies, although </w:t>
      </w:r>
      <w:r w:rsidR="00C86159" w:rsidRPr="00194419">
        <w:rPr>
          <w:vertAlign w:val="superscript"/>
        </w:rPr>
        <w:t>4</w:t>
      </w:r>
      <w:r w:rsidR="00C86159" w:rsidRPr="00194419">
        <w:t>He</w:t>
      </w:r>
      <w:r w:rsidR="00C86159" w:rsidRPr="00194419">
        <w:rPr>
          <w:vertAlign w:val="subscript"/>
        </w:rPr>
        <w:t>rad</w:t>
      </w:r>
      <w:r w:rsidR="00C86159" w:rsidRPr="00194419">
        <w:t xml:space="preserve"> ages normally divert from </w:t>
      </w:r>
      <w:r w:rsidR="001F6B72">
        <w:t>the</w:t>
      </w:r>
      <w:r w:rsidR="001F6B72" w:rsidRPr="00194419">
        <w:t xml:space="preserve"> </w:t>
      </w:r>
      <w:r w:rsidR="00C86159" w:rsidRPr="00194419">
        <w:t>ages</w:t>
      </w:r>
      <w:r w:rsidR="00D5177D" w:rsidRPr="00194419">
        <w:t xml:space="preserve"> </w:t>
      </w:r>
      <w:r w:rsidR="001F6B72">
        <w:t>of other long-scale tracers</w:t>
      </w:r>
      <w:r w:rsidR="00D5177D" w:rsidRPr="00194419">
        <w:t xml:space="preserve">, such as </w:t>
      </w:r>
      <w:r w:rsidR="00D5177D" w:rsidRPr="00194419">
        <w:rPr>
          <w:vertAlign w:val="superscript"/>
        </w:rPr>
        <w:t>14</w:t>
      </w:r>
      <w:r w:rsidR="00D5177D" w:rsidRPr="00194419">
        <w:t>C</w:t>
      </w:r>
      <w:r w:rsidR="00B77511" w:rsidRPr="00194419">
        <w:t xml:space="preserve"> </w:t>
      </w:r>
      <w:r w:rsidR="00B77511" w:rsidRPr="00194419">
        <w:fldChar w:fldCharType="begin" w:fldLock="1"/>
      </w:r>
      <w:r w:rsidR="00941999" w:rsidRPr="00194419">
        <w:instrText>ADDIN CSL_CITATION {"citationItems":[{"id":"ITEM-1","itemData":{"DOI":"10.1016/0016-7037(85)90244-3","ISBN":"0016-7037","ISSN":"00167037","abstract":"A model of 4He accumulation in a confined aquifer is presented which includes in situ production and a crustal degassing flux of 4He into the bottom of a confined aquifer. The model is consistent with the measurements of 4He concentration in the Great Artesian Basin, Australia (Torgersen and Clarke, 1985) and also with the measurements of 4He concentration in the Auob Sandstone of Namibia (Heaton, 1981). The measured value of the crustal degassing flux of 4He from these two areas is comparable with the 4He degassing flux calculated from the atmospheric budget of 4He (Wasserburg et al., 1963; Ozima and Podosek, 1983). A literature review suggests that a crustal degassing 4He source may account for the 4He accumulation in many other groundwater systems. It is concluded from the literature review, the detailed modelling of 4He accumulation in GAB and the Auob Sandstone, and the atmospheric budget that crustal degassing of 4He may be a common and widespread phenomena. ?? 1985.","author":[{"dropping-particle":"","family":"Torgersen","given":"T.","non-dropping-particle":"","parse-names":false,"suffix":""},{"dropping-particle":"","family":"Clarke","given":"W.B.","non-dropping-particle":"","parse-names":false,"suffix":""}],"container-title":"Geochimica et Cosmochimica Acta","id":"ITEM-1","issued":{"date-parts":[["1985"]]},"page":"1211-1218","title":"Helium accumulation in groundwater I: An evaluation of sources and the continental flux of crustal &lt;sup&gt;4&lt;/sup&gt;He in the Great Artesian Basin, Australia","type":"article-journal","volume":"49"},"uris":["http://www.mendeley.com/documents/?uuid=7e939b2b-60d2-4698-a4f3-55fb11c891a3"]},{"id":"ITEM-2","itemData":{"DOI":"10.1016/S0016-7037(03)00414-9","ISBN":"0016-7037","ISSN":"00167037","abstract":"Concentrations and isotopic ratios of dissolved noble gases, 36Cl, δD and δ18O in water samples from the ultra-deep gold mines (0.718 to 3.3 km below the surface) in the Witwatersrand Basin, South Africa, were investigated to quantify the dynamics of these ultra deep crustal fluids. The mining activity has a significant impact on the concentrations of dissolved gases, as the associated pressure release causes the degassing of the fissure water. The observed under saturation of the atmospheric noble gases in the fissure water samples (70-98%, normalized to ASW at 20°C and 1013 mbar) is reproduced by a model that considers diffusive degassing and solubility equilibration with a gas phase at sampling temperature. Corrections for degassing result in 4He concentrations as high as 1.55 · 10-1cm3STP4He g-1, 40Ar/36Ar ranging between 806 and 10331, and 134Xe/132Xe and 136Xe/132Xe ratios above 0.46 and 0.44, respectively. Corrected 134(136)Xe/132Xe and 134(136)Xe/4He-ratios are consistent with their production ratios, whereas the nucleogenic 4He/40 Ar, and 134(136)Xe/40Ar ratios generally indicate that these gases are produced in an environment with an average [U + Th]/K-content 2-3 times above that of crustal average. In two scenarios, one considering only accumulation of in situ produced noble gases, the other additionally crustal flux components, the model ages for 14 individual water samples range from 13 to 168 Ma and from 1 to 23 Ma, respectively. The low 36Cl-ratios of (4-37) · 10-15 and comparatively high 36Cl-concentrations of (8-350) · 10-15 atoms 36Cl l-1 reflect subsurface production in secular equilibrium indicating an age in excess of 1.5 Ma or 5 time the half-life of 36Cl.In combination, the results suggest residence times of the fluids in fissures in this region (up to 3.3 km depth) are of the order of 1-100 Ma. We cannot exclude the possibility of mixing and that small quantities of younger water have been mixed with the very old bulk. © 2003 Elsevier Ltd.","author":[{"dropping-particle":"","family":"Lippmann","given":"J.","non-dropping-particle":"","parse-names":false,"suffix":""},{"dropping-particle":"","family":"Stute","given":"M.","non-dropping-particle":"","parse-names":false,"suffix":""},{"dropping-particle":"","family":"Torgersen","given":"T.","non-dropping-particle":"","parse-names":false,"suffix":""},{"dropping-particle":"","family":"Moser","given":"D.P.","non-dropping-particle":"","parse-names":false,"suffix":""},{"dropping-particle":"","family":"Hall","given":"J.A.","non-dropping-particle":"","parse-names":false,"suffix":""},{"dropping-particle":"","family":"Lin","given":"L.","non-dropping-particle":"","parse-names":false,"suffix":""},{"dropping-particle":"","family":"Borcsik","given":"M.","non-dropping-particle":"","parse-names":false,"suffix":""},{"dropping-particle":"","family":"Bellamy","given":"R.E.S.","non-dropping-particle":"","parse-names":false,"suffix":""},{"dropping-particle":"","family":"Onstott","given":"T.C.","non-dropping-particle":"","parse-names":false,"suffix":""}],"container-title":"Geochimica et Cosmochimica Acta","id":"ITEM-2","issue":"23","issued":{"date-parts":[["2003","12","1"]]},"page":"4597-4619","publisher":"Pergamon","title":"Dating ultra-deep mine waters with noble gases and &lt;sup&gt;36&lt;/sup&gt;Cl, Witwatersrand Basin, South Africa","type":"article-journal","volume":"67"},"uris":["http://www.mendeley.com/documents/?uuid=286d6cc2-5ffe-36bb-89d4-2356f52807a9"]},{"id":"ITEM-3","itemData":{"DOI":"10.1016/j.apgeochem.2016.08.012","ISSN":"18729134","abstract":"Multiple age tracers were measured to estimate groundwater residence times in the regional aquifer system underlying southwestern Oman. This area, known as the Najd, is one of the most arid areas in the world and is planned to be the main agricultural center of the Sultanate of Oman in the near future. The three isotopic age tracers4He,14C and36Cl were measured in waters collected from wells along a line that extended roughly from the Dhofar Mountains near the Arabian Sea northward 400 km into the Empty Quarter of the Arabian Peninsula. The wells sampled were mostly open to the Umm Er Radhuma confined aquifer, although, some were completed in the mostly unconfined Rus aquifer. The combined results from the three tracers indicate the age of the confined groundwater is &lt; 40 ka in the recharge area in the Dhofar Mountains, &gt; 100 ka in the central section north of the mountains, and up to and &gt; one Ma in the Empty Quarter. The14C data were used to help calibrate the4He and36Cl data. Mixing models suggest that long open boreholes north of the mountains compromise14C-only interpretations there, in contrast to4He and36Cl calculations that are less sensitive to borehole mixing. Thus, only the latter two tracers from these more distant wells were considered reliable. In addition to the age tracers, δ2H and δ18O data suggest that seasonal monsoon and infrequent tropical cyclones are both substantial contributors to the recharge. The study highlights the advantages of using multiple chemical and isotopic data when estimating groundwater travel times and recharge rates, and differentiating recharge mechanisms.","author":[{"dropping-particle":"","family":"Müller","given":"Th","non-dropping-particle":"","parse-names":false,"suffix":""},{"dropping-particle":"","family":"Osenbrück","given":"K.","non-dropping-particle":"","parse-names":false,"suffix":""},{"dropping-particle":"","family":"Strauch","given":"G.","non-dropping-particle":"","parse-names":false,"suffix":""},{"dropping-particle":"","family":"Pavetich","given":"S.","non-dropping-particle":"","parse-names":false,"suffix":""},{"dropping-particle":"","family":"Al-Mashaikhi","given":"K. S.","non-dropping-particle":"","parse-names":false,"suffix":""},{"dropping-particle":"","family":"Herb","given":"C.","non-dropping-particle":"","parse-names":false,"suffix":""},{"dropping-particle":"","family":"Merchel","given":"S.","non-dropping-particle":"","parse-names":false,"suffix":""},{"dropping-particle":"","family":"Rugel","given":"G.","non-dropping-particle":"","parse-names":false,"suffix":""},{"dropping-particle":"","family":"Aesch</w:instrText>
      </w:r>
      <w:r w:rsidR="00941999" w:rsidRPr="00444A13">
        <w:rPr>
          <w:lang w:val="de-DE"/>
        </w:rPr>
        <w:instrText>bach","given":"W.","non-dropping-particle":"","parse-names":false,"suffix":""},{"dropping-particle":"","family":"Sanford","given":"W.","non-dropping-particle":"","parse-names":false,"suffix":""}],"container-title":"Applied Geochemistry","id":"ITEM-3","issued":{"date-parts":[["2016"]]},"page":"67-83","publisher":"Elsevier Ltd","title":"Use of multiple age tracers to estimate groundwater residence times and long-term recharge rates in arid southern Oman","type":"article-journal","volume":"74"},"uris":["http://www.mendeley.com/documents/?uuid=bf65b653-2071-47f3-9f59-9d3c06c53a61"]},{"id":"ITEM-4","itemData":{"author":[{"dropping-particle":"","family":"Berger","given":"P.M.","non-dropping-particle":"","parse-names":false,"suffix":""}],"id":"ITEM-4","issued":{"date-parts":[["2008"]]},"publisher":"Univ. Illinois","title":"An optimization approach to groundwater dating: How old is water in the Paris Basin?","type":"thesis"},"uris":["http://www.mendeley.com/documents/?uuid=4528bf1a-7cea-47cc-b7d6-c742bf04af0e"]}],"mendeley":{"formattedCitation":"(Berger, 2008; Lippmann et al., 2003; Müller et al., 2016; Torgersen and Clarke, 1985)","plainTextFormattedCitation":"(Berger, 2008; Lippmann et al., 2003; Müller et al., 2016; Torgersen and Clarke, 1985)","previouslyFormattedCitation":"(Berger, 2008; Lippmann et al., 2003; Müller et al., 2016; Torgersen and Clarke, 1985)"},"properties":{"noteIndex":0},"schema":"https://github.com/citation-style-language/schema/raw/master/csl-citation.json"}</w:instrText>
      </w:r>
      <w:r w:rsidR="00B77511" w:rsidRPr="00194419">
        <w:fldChar w:fldCharType="separate"/>
      </w:r>
      <w:r w:rsidR="00B77511" w:rsidRPr="00194419">
        <w:rPr>
          <w:noProof/>
          <w:lang w:val="de-DE"/>
        </w:rPr>
        <w:t>(Berger, 2008; Lippmann et al., 2003; Müller et al., 2016; Torgersen and Clarke, 1985)</w:t>
      </w:r>
      <w:r w:rsidR="00B77511" w:rsidRPr="00194419">
        <w:fldChar w:fldCharType="end"/>
      </w:r>
      <w:r w:rsidR="0064166A" w:rsidRPr="00194419">
        <w:rPr>
          <w:lang w:val="de-DE"/>
        </w:rPr>
        <w:t xml:space="preserve">. </w:t>
      </w:r>
      <w:r w:rsidR="0064166A" w:rsidRPr="00194419">
        <w:t xml:space="preserve">In any case, even </w:t>
      </w:r>
      <w:r w:rsidR="00EC5518" w:rsidRPr="00194419">
        <w:t>if</w:t>
      </w:r>
      <w:r w:rsidR="0064166A" w:rsidRPr="00194419">
        <w:t xml:space="preserve"> quantitative dating is not possible, </w:t>
      </w:r>
      <w:r w:rsidR="0064166A" w:rsidRPr="00194419">
        <w:rPr>
          <w:vertAlign w:val="superscript"/>
        </w:rPr>
        <w:t>4</w:t>
      </w:r>
      <w:r w:rsidR="0064166A" w:rsidRPr="00194419">
        <w:t>He</w:t>
      </w:r>
      <w:r w:rsidR="0064166A" w:rsidRPr="00194419">
        <w:rPr>
          <w:vertAlign w:val="subscript"/>
        </w:rPr>
        <w:t>rad</w:t>
      </w:r>
      <w:r w:rsidR="0064166A" w:rsidRPr="00194419">
        <w:t xml:space="preserve"> determination provide qualitative information </w:t>
      </w:r>
      <w:r w:rsidR="00B75AAF" w:rsidRPr="00194419">
        <w:t>about long timescale groundwater residence time</w:t>
      </w:r>
      <w:r w:rsidR="00BB5F3D" w:rsidRPr="00194419">
        <w:t>s</w:t>
      </w:r>
      <w:r w:rsidR="00B75AAF" w:rsidRPr="00194419">
        <w:t xml:space="preserve"> </w:t>
      </w:r>
      <w:r w:rsidR="00B77511" w:rsidRPr="00194419">
        <w:fldChar w:fldCharType="begin" w:fldLock="1"/>
      </w:r>
      <w:r w:rsidR="005527DE" w:rsidRPr="00194419">
        <w:instrText>ADDIN CSL_CITATION {"citationItems":[{"id":"ITEM-1","itemData":{"DOI":"10.1007/s10040-010-0663-4","author":[{"dropping-particle":"","family":"Sültenfuss","given":"Jürgen","non-dropping-particle":"","parse-names":false,"suffix":""},{"dropping-particle":"","family":"Purtschert","given":"Roland","non-dropping-particle":"","parse-names":false,"suffix":""},{"dropping-particle":"","family":"Führböter","given":"Jens F","non-dropping-particle":"","parse-names":false,"suffix":""}],"container-title":"Hydrogeology Journal","id":"ITEM-1","issued":{"date-parts":[["2011"]]},"page":"221-236","title":"Age structure and recharge conditions of a coastal aquifer ( northern Germany ) investigated with &lt;sup&gt;39&lt;/sup&gt;Ar, &lt;sup&gt;14&lt;/sup&gt;C, &lt;sup&gt;3&lt;/sup&gt;H, He isotopes and Ne","type":"article-journal","volume":"19"},"uris":["http://www.mendeley.com/documents/?uuid=ae9362a1-8110-4d26-8363-278532b866b3"]},{"id":"ITEM-2","itemData":{"DOI":"10.1016/j.apgeochem.2014.02.010","ISBN":"8019085041","ISSN":"08832927","abstract":"Groundwater in Snake Valley and surrounding basins in the eastern Great Basin province of the western United States is being targeted for large-scale groundwater extraction and export. Concern about declining groundwater levels and spring flows in western Utah as a result of the proposed groundwater withdrawals has led to efforts that have improved the understanding of this regional groundwater flow system. In this study, environmental tracers (δ2H, δ18O, 3H, 14C, 3He, 4He, 20Ne, 40Ar, 84Kr, and 129Xe) and major ions from 142 sites were evaluated to investigate groundwater recharge and flow-path characteristics. With few exceptions, δ2H and δ18O show that most valley groundwater has similar ratios to mountain springs, indicating recharge is dominated by relatively high-altitude precipitation. The spatial distribution of 3H, terrigenic helium (4Heterr), and 3H/3He ages shows that modern groundwater (&lt;60yr) in valley aquifers is found only in the western third of the study area. Pleistocene and late-Holocene groundwater is found in the eastern parts of the study area. The age of Pleistocene groundwater is supported by minimum adjusted radiocarbon ages of up to 32ka. Noble gas recharge temperatures (NGTs) are generally 1-11°C in Snake and southern Spring Valleys and &gt;11°C to the east of Snake Valley and indicate a hydraulic discontinuity between Snake and Tule Valleys across the northern Confusion Range. The combination of NGTs and 4Heterr shows that the majority of Snake Valley groundwater discharges as springs, evapotranspiration, and well withdrawals within Snake Valley rather than continuing northeastward to discharge at either Fish Springs or the Great Salt Lake Playa. The refined understanding of groundwater recharge and flow paths acquired from this multi-tracer investigation has broad implications for interbasin subsurface flow estimates and future groundwater development. © 2014.","author":[{"dropping-particle":"","family":"Gardner","given":"Philip M.","non-dropping-particle":"","parse-names":false,"suffix":""},{"dropping-particle":"","family":"Heilweil","given":"Victor M.","non-dropping-particle":"","parse-names":false,"suffix":""}],"container-title":"Applied Geochemistry","id":"ITEM-2","issued":{"date-parts":[["2014"]]},"page":"33-49","publisher":"Elsevier Ltd","title":"A multiple-tracer approach to understanding regional groundwater flow in the Snake Valley area of the eastern Great Basin, USA","type":"article-journal","volume":"45"},"uris":["http://www.mendeley.com/documents/?uuid=cb3f92bb-2700-446f-9840-d5ab070dc786"]},{"id":"ITEM-3","itemData":{"DOI":"10.1016/j.apgeochem.2015.08.010","ISSN":"18729134","abstract":"Dissolved helium concentrations and3He/4He ratios were measured for 18 groundwater samples collected from the Quaternary confined aquifers in the North China Plain (NCP). The dissolved helium concentrations ranged from 1 × 10-7to 1 × 10-6cm3STP·g-1in the 14 samples from the central plain, but was approximately two orders of magnitude higher, between 6 × 10-6and 9 × 10-5cm3STP·g-1, in 4 samples from the coastal plain. Based on these concentrations and the corresponding3He/4He ratios varying from 0.09 to 0.55 Ra(where Rais the3He/4He ratio of air), the dissolved helium in groundwater in the central plain was identified to be primarily a mixture of atmospheric helium with radiogenic helium and a representative radiogenic helium ratio was estimated to be 0.035 Ra. Despite the high fraction of terrigenic4He in the samples from the coastal plain, their3He/4He ratios were found to be significantly above this radiogenic value, ranging between 0.20 and 0.37 Ra, indicating the presence of a mantle-derived He component in this area. About 2-4% mantle helium was estimated to be present in the groundwater of the coastal plain, which probably is associated with the regional Cangdong fault and tectonic activities. Based on the radiogenic He component,4He ages of the groundwater in the central plain were calculated by assuming either pure in situ production or an external helium flux J0of 4.7 × 10-8cm3STPcm-2a-1. The estimated4He ages fall between 9.5 and 51.4 ka and are comparable to the14C ages, suggesting that the results of4He dating are reasonable and can be an effective tool to estimate groundwater residence times under suitable conditions.","author":[{"dropping-particle":"","family":"Wei","given":"Wen","non-dropping-particle":"","parse-names":false,"suffix":""},{"dropping-particle":"","family":"Aeschbach-Hertig","given":"Werner","non-dropping-particle":"","parse-names":false,"suffix":""},{"dropping-particle":"","family":"Chen","given":"Zongyu","non-dropping-particle":"","parse-names":false,"suffix":""}],"container-title":"Applied Geochemistry","id":"ITEM-3","issued":{"date-parts":[["2015"]]},"page":"182-189","publisher":"Elsevier Ltd","title":"Identification of He sources and estimation of He ages in groundwater of the North China Plain","type":"article-journal","volume":"63"},"uris":["http://www.mendeley.com/documents/?uuid=2a398b73-300e-46bb-8f47-659f25cef016"]}],"mendeley":{"formattedCitation":"(Gardner and Heilweil, 2014; Sültenfuss et al., 2011; Wei et al., 2015)","plainTextFormattedCitation":"(Gardner and Heilweil, 2014; Sültenfuss et al., 2011; Wei et al., 2015)","previouslyFormattedCitation":"(Gardner and Heilweil, 2014; Sültenfuss et al., 2011; Wei et al., 2015)"},"properties":{"noteIndex":0},"schema":"https://github.com/citation-style-language/schema/raw/master/csl-citation.json"}</w:instrText>
      </w:r>
      <w:r w:rsidR="00B77511" w:rsidRPr="00194419">
        <w:fldChar w:fldCharType="separate"/>
      </w:r>
      <w:r w:rsidR="00B77511" w:rsidRPr="00194419">
        <w:rPr>
          <w:noProof/>
        </w:rPr>
        <w:t>(Gardner and Heilweil, 2014; Sültenfuss et al., 2011; Wei et al., 2015)</w:t>
      </w:r>
      <w:r w:rsidR="00B77511" w:rsidRPr="00194419">
        <w:fldChar w:fldCharType="end"/>
      </w:r>
      <w:r w:rsidR="0064166A" w:rsidRPr="00194419">
        <w:t xml:space="preserve">. The use of </w:t>
      </w:r>
      <w:r w:rsidR="0064166A" w:rsidRPr="00194419">
        <w:rPr>
          <w:vertAlign w:val="superscript"/>
        </w:rPr>
        <w:t>4</w:t>
      </w:r>
      <w:r w:rsidR="0064166A" w:rsidRPr="00194419">
        <w:t xml:space="preserve">He in groundwater dating is thoroughly discussed in Solomon </w:t>
      </w:r>
      <w:r w:rsidR="00B77511" w:rsidRPr="00194419">
        <w:fldChar w:fldCharType="begin" w:fldLock="1"/>
      </w:r>
      <w:r w:rsidR="00941999" w:rsidRPr="00194419">
        <w:instrText>ADDIN CSL_CITATION {"citationItems":[{"id":"ITEM-1","itemData":{"author":[{"dropping-particle":"","family":"Solomon","given":"D. K.","non-dropping-particle":"","parse-names":false,"suffix":""}],"container-title":"Environmental tracers in subsurface hydrology","editor":[{"dropping-particle":"","family":"Cook","given":"P.G.","non-dropping-particle":"","parse-names":false,"suffix":""},{"dropping-particle":"","family":"Herczeg","given":"A. L.","non-dropping-particle":"","parse-names":false,"suffix":""}],"id":"ITEM-1","issued":{"date-parts":[["2000"]]},"publisher":"Springer Science+Business Media","title":"&lt;sup&gt;4&lt;/sup&gt;He in groundwater","type":"chapter"},"uris":["http://www.mendeley.com/documents/?uuid=ca10d13d-48d9-44a2-8024-ff6bbff8d4b2"]}],"mendeley":{"formattedCitation":"(Solomon, 2000)","manualFormatting":"(2000)","plainTextFormattedCitation":"(Solomon, 2000)","previouslyFormattedCitation":"(Solomon, 2000)"},"properties":{"noteIndex":0},"schema":"https://github.com/citation-style-language/schema/raw/master/csl-citation.json"}</w:instrText>
      </w:r>
      <w:r w:rsidR="00B77511" w:rsidRPr="00194419">
        <w:fldChar w:fldCharType="separate"/>
      </w:r>
      <w:r w:rsidR="00B77511" w:rsidRPr="00194419">
        <w:rPr>
          <w:noProof/>
        </w:rPr>
        <w:t>(2000)</w:t>
      </w:r>
      <w:r w:rsidR="00B77511" w:rsidRPr="00194419">
        <w:fldChar w:fldCharType="end"/>
      </w:r>
      <w:r w:rsidR="0064166A" w:rsidRPr="00194419">
        <w:t xml:space="preserve"> and Torgersen </w:t>
      </w:r>
      <w:r w:rsidR="00B77511" w:rsidRPr="00194419">
        <w:t xml:space="preserve">and </w:t>
      </w:r>
      <w:r w:rsidR="0064166A" w:rsidRPr="00194419">
        <w:t xml:space="preserve">Stute </w:t>
      </w:r>
      <w:r w:rsidR="00B77511" w:rsidRPr="00194419">
        <w:fldChar w:fldCharType="begin" w:fldLock="1"/>
      </w:r>
      <w:r w:rsidR="00B77511" w:rsidRPr="00194419">
        <w:instrText>ADDIN CSL_CITATION {"citationItems":[{"id":"ITEM-1","itemData":{"author":[{"dropping-particle":"","family":"Torgersen","given":"T.","non-dropping-particle":"","parse-names":false,"suffix":""},{"dropping-particle":"","family":"Stute","given":"M.","non-dropping-particle":"","parse-names":false,"suffix":""}],"container-title":"Isotope methods for dating old groundwater","id":"ITEM-1","issued":{"date-parts":[["2013"]]},"publisher":"International Atomic Energy Agency","title":"Helium (and other noble gases) as a tool for understanding long timescale groundwater transport","type":"chapter"},"uris":["http://www.mendeley.com/documents/?uuid=cd8ff9d0-b919-44f5-a5ac-f78e94499c4a"]}],"mendeley":{"formattedCitation":"(Torgersen and Stute, 2013)","manualFormatting":"(2013)","plainTextFormattedCitation":"(Torgersen and Stute, 2013)","previouslyFormattedCitation":"(Torgersen and Stute, 2013)"},"properties":{"noteIndex":0},"schema":"https://github.com/citation-style-language/schema/raw/master/csl-citation.json"}</w:instrText>
      </w:r>
      <w:r w:rsidR="00B77511" w:rsidRPr="00194419">
        <w:fldChar w:fldCharType="separate"/>
      </w:r>
      <w:r w:rsidR="00B77511" w:rsidRPr="00194419">
        <w:rPr>
          <w:noProof/>
        </w:rPr>
        <w:t>(2013)</w:t>
      </w:r>
      <w:r w:rsidR="00B77511" w:rsidRPr="00194419">
        <w:fldChar w:fldCharType="end"/>
      </w:r>
      <w:r w:rsidR="0064166A" w:rsidRPr="00194419">
        <w:t>.</w:t>
      </w:r>
      <w:r w:rsidR="00D5177D" w:rsidRPr="00194419">
        <w:t xml:space="preserve"> In this study, </w:t>
      </w:r>
      <w:r w:rsidR="00D5177D" w:rsidRPr="00194419">
        <w:rPr>
          <w:vertAlign w:val="superscript"/>
        </w:rPr>
        <w:t>14</w:t>
      </w:r>
      <w:r w:rsidR="00D5177D" w:rsidRPr="00194419">
        <w:t xml:space="preserve">C has not been considered, as the presence of carbonate in the media </w:t>
      </w:r>
      <w:r w:rsidR="00B201CD">
        <w:t xml:space="preserve">overwhelms atmospheric </w:t>
      </w:r>
      <w:r w:rsidR="00B201CD" w:rsidRPr="00444A13">
        <w:rPr>
          <w:vertAlign w:val="superscript"/>
        </w:rPr>
        <w:t>14</w:t>
      </w:r>
      <w:r w:rsidR="00B201CD">
        <w:t xml:space="preserve">C, </w:t>
      </w:r>
      <w:r w:rsidR="00945976">
        <w:t>and inducing</w:t>
      </w:r>
      <w:r w:rsidR="001F6B72" w:rsidRPr="00194419">
        <w:t xml:space="preserve"> </w:t>
      </w:r>
      <w:r w:rsidR="00D5177D" w:rsidRPr="00194419">
        <w:t xml:space="preserve">some uncertainties that </w:t>
      </w:r>
      <w:r w:rsidR="00B201CD">
        <w:t xml:space="preserve">prohibit </w:t>
      </w:r>
      <w:r w:rsidR="00D5177D" w:rsidRPr="00194419">
        <w:t xml:space="preserve"> reliable age</w:t>
      </w:r>
      <w:r w:rsidR="00B201CD">
        <w:t>s</w:t>
      </w:r>
      <w:r w:rsidR="00D5177D" w:rsidRPr="00194419">
        <w:t xml:space="preserve"> </w:t>
      </w:r>
      <w:r w:rsidR="00D5177D" w:rsidRPr="00194419">
        <w:fldChar w:fldCharType="begin" w:fldLock="1"/>
      </w:r>
      <w:r w:rsidR="00D5177D" w:rsidRPr="00194419">
        <w:instrText>ADDIN CSL_CITATION {"citationItems":[{"id":"ITEM-1","itemData":{"author":[{"dropping-particle":"","family":"IAEA","given":"","non-dropping-particle":"","parse-names":false,"suffix":""}],"id":"ITEM-1","issued":{"date-parts":[["2013"]]},"number-of-pages":"357","publisher":"International Atomic Energy Agency","publisher-place":"Vienna","title":"Isotope methords for dating old groundwater","type":"book"},"uris":["http://www.mendeley.com/documents/?uuid=bb1937b1-8f07-485d-812f-37d508678d2a"]}],"mendeley":{"formattedCitation":"(IAEA, 2013)","plainTextFormattedCitation":"(IAEA, 2013)","previouslyFormattedCitation":"(IAEA, 2013)"},"properties":{"noteIndex":0},"schema":"https://github.com/citation-style-language/schema/raw/master/csl-citation.json"}</w:instrText>
      </w:r>
      <w:r w:rsidR="00D5177D" w:rsidRPr="00194419">
        <w:fldChar w:fldCharType="separate"/>
      </w:r>
      <w:r w:rsidR="00D5177D" w:rsidRPr="00194419">
        <w:rPr>
          <w:noProof/>
        </w:rPr>
        <w:t>(IAEA, 2013)</w:t>
      </w:r>
      <w:r w:rsidR="00D5177D" w:rsidRPr="00194419">
        <w:fldChar w:fldCharType="end"/>
      </w:r>
    </w:p>
    <w:p w14:paraId="2188C29E" w14:textId="14FAB188" w:rsidR="002825D8" w:rsidRPr="00194419" w:rsidRDefault="00645108" w:rsidP="008A3630">
      <w:pPr>
        <w:pStyle w:val="Prrafodelista"/>
        <w:spacing w:line="480" w:lineRule="auto"/>
        <w:ind w:left="0"/>
      </w:pPr>
      <w:r w:rsidRPr="00194419">
        <w:t>Chlorofluorocarbons (CFCs)</w:t>
      </w:r>
      <w:r w:rsidR="006A24E4" w:rsidRPr="00194419">
        <w:t xml:space="preserve"> </w:t>
      </w:r>
      <w:r w:rsidRPr="00194419">
        <w:t xml:space="preserve">are synthetic </w:t>
      </w:r>
      <w:r w:rsidR="006A24E4" w:rsidRPr="00194419">
        <w:t xml:space="preserve">gases </w:t>
      </w:r>
      <w:r w:rsidRPr="00194419">
        <w:t xml:space="preserve">that were </w:t>
      </w:r>
      <w:r w:rsidR="006A24E4" w:rsidRPr="00194419">
        <w:t xml:space="preserve">used for industrial </w:t>
      </w:r>
      <w:r w:rsidR="002825D8" w:rsidRPr="00194419">
        <w:t>purposes</w:t>
      </w:r>
      <w:r w:rsidR="006A24E4" w:rsidRPr="00194419">
        <w:t xml:space="preserve"> </w:t>
      </w:r>
      <w:r w:rsidR="00C61612" w:rsidRPr="00194419">
        <w:t xml:space="preserve">and release </w:t>
      </w:r>
      <w:r w:rsidR="00FE3FDA" w:rsidRPr="00194419">
        <w:t>in</w:t>
      </w:r>
      <w:r w:rsidR="00C61612" w:rsidRPr="00194419">
        <w:t xml:space="preserve">to the atmosphere </w:t>
      </w:r>
      <w:r w:rsidR="006A24E4" w:rsidRPr="00194419">
        <w:t>during the second half of the 20</w:t>
      </w:r>
      <w:r w:rsidR="006A24E4" w:rsidRPr="00194419">
        <w:rPr>
          <w:vertAlign w:val="superscript"/>
        </w:rPr>
        <w:t>th</w:t>
      </w:r>
      <w:r w:rsidR="006A24E4" w:rsidRPr="00194419">
        <w:t xml:space="preserve"> century</w:t>
      </w:r>
      <w:r w:rsidR="00CE748A" w:rsidRPr="00194419">
        <w:t xml:space="preserve"> </w:t>
      </w:r>
      <w:r w:rsidR="00B77511" w:rsidRPr="00194419">
        <w:fldChar w:fldCharType="begin" w:fldLock="1"/>
      </w:r>
      <w:r w:rsidR="00B77511" w:rsidRPr="00194419">
        <w:instrText>ADDIN CSL_CITATION {"citationItems":[{"id":"ITEM-1","itemData":{"ISBN":"92–0–1000805–8","author":[{"dropping-particle":"","family":"IAEA","given":"","non-dropping-particle":"","parse-names":false,"suffix":""}],"container-title":"International Atomic Energy Agency","id":"ITEM-1","issued":{"date-parts":[["2006"]]},"number-of-pages":"277","publisher":"International Atomic Energy Agency","publisher-place":"Vienna","title":"Use of Chlorofluorocarbons in Hydrology: a guidebook","type":"book"},"uris":["http://www.mendeley.com/documents/?uuid=dd336da0-f2c1-4e60-bbee-79680a62762b"]}],"mendeley":{"formattedCitation":"(IAEA, 2006)","plainTextFormattedCitation":"(IAEA, 2006)","previouslyFormattedCitation":"(IAEA, 2006)"},"properties":{"noteIndex":0},"schema":"https://github.com/citation-style-language/schema/raw/master/csl-citation.json"}</w:instrText>
      </w:r>
      <w:r w:rsidR="00B77511" w:rsidRPr="00194419">
        <w:fldChar w:fldCharType="separate"/>
      </w:r>
      <w:r w:rsidR="00B77511" w:rsidRPr="00194419">
        <w:rPr>
          <w:noProof/>
        </w:rPr>
        <w:t>(IAEA, 2006)</w:t>
      </w:r>
      <w:r w:rsidR="00B77511" w:rsidRPr="00194419">
        <w:fldChar w:fldCharType="end"/>
      </w:r>
      <w:r w:rsidR="00CE748A" w:rsidRPr="00194419">
        <w:t>. The</w:t>
      </w:r>
      <w:r w:rsidR="00C61612" w:rsidRPr="00194419">
        <w:t>y were</w:t>
      </w:r>
      <w:r w:rsidR="006A24E4" w:rsidRPr="00194419">
        <w:t xml:space="preserve"> restricted by the Montreal Protocol of 1987</w:t>
      </w:r>
      <w:r w:rsidR="00CE748A" w:rsidRPr="00194419">
        <w:t xml:space="preserve"> due to </w:t>
      </w:r>
      <w:r w:rsidR="00C61612" w:rsidRPr="00194419">
        <w:t>their effect on the ozone layer depletion</w:t>
      </w:r>
      <w:r w:rsidR="00117611">
        <w:t xml:space="preserve"> </w:t>
      </w:r>
      <w:r w:rsidR="00117611">
        <w:fldChar w:fldCharType="begin" w:fldLock="1"/>
      </w:r>
      <w:r w:rsidR="00117611">
        <w:instrText>ADDIN CSL_CITATION {"citationItems":[{"id":"ITEM-1","itemData":{"DOI":"10.1163/15718069620847781","abstract":"The Evolution of the Montreal Protocol\\n\\n\\nThe Montreal Protocol on Substances that Deplete the Ozone Layer was\\ndesigned to reduce the production and consumption of ozone depleting\\nsubstances in order to reduce their abundance in the atmosphere,\\nand thereby protect the earth’s fragile ozone Layer. The original\\nMontreal Protocol was agreed on 16 September 1987 and entered into\\nforce on 1 January 1989.\\n\\n\\nThe Montreal Protocol includes a unique adjustment provision that\\nenables the Parties to the Protocol to respond quickly to new scientific\\ninformation and agree to accelerate the reductions required on chemicals\\nalready covered by the Protocol. These adjustments are then automatically\\napplicable to all countries that ratified the Protocol. Since its\\ninitial adoption, the Montreal Protocol has been adjusted five times.\\nSpecifically, the Second, Fourth, Seventh, Ninth, Eleventh and Nineteenth\\nMeetings of the Parties to the Montreal Protocol adopted, in accordance\\nwith the procedure laid down in paragraph 9 of Article 2 of the Montreal\\nProtocol, certain adjustments and reductions of production and consumption\\nof the controlled substances listed in the Annexes of the Protocol.\\nThese adjustments entered into force, for all the Parties, on 7 March\\n1991, 23 September 1993, 5 August 1996, 4 June 1998, 28 July 2000\\nand 14 May 2008, respectively.\\n\\n\\nIn addition to adjusting the Protocol, the Parties to the Montreal\\nProtocol have amended the Protocol to enable, among other things,\\nthe control of new chemicals and the creation of a financial mechanism\\nto enable developing countries to comply. Specifically, the Second,\\nFourth, Ninth and Eleventh Meetings of the Parties to the Montreal\\nProtocol adopted, in accordance with the procedure laid down in paragraph\\n4 of Article 9 of the Vienna Convention, four Amendments to the Protocol\\n– the London Amendment (1990), the Copenhagen Amendment (1992), the\\nMontreal Amendment (1997) and the Beijing Amendment (1999). Unlike\\nadjustments to the Protocol, amendments must be ratified by countries\\nbefore their requirements are applicable to those countries. The\\nLondon, Copenhagen, Montreal and Beijing Amendments entered into\\nforce on 10 August 1992, 14 June 1994 10 November 1999 and 25 February\\n2002 respectively, only for those Parties which ratified the particular\\namendments.\\n\\n\\nIn addition to adjustments and amendments to the Montreal Protocol,\\nthe Parties to the Protocol meet annually and tak…","author":[{"dropping-particle":"","family":"UNEP","given":"","non-dropping-particle":"","parse-names":false,"suffix":""}],"container-title":"United Nations Environment Programme","id":"ITEM-1","issued":{"date-parts":[["1987"]]},"title":"Montreal Protocol on Substances that Deplete the Ozone Layer","type":"article"},"uris":["http://www.mendeley.com/documents/?uuid=3d7ca6b2-7383-4f97-b0bc-3f94eabaab32"]}],"mendeley":{"formattedCitation":"(UNEP, 1987)","plainTextFormattedCitation":"(UNEP, 1987)","previouslyFormattedCitation":"(UNEP, 1987)"},"properties":{"noteIndex":0},"schema":"https://github.com/citation-style-language/schema/raw/master/csl-citation.json"}</w:instrText>
      </w:r>
      <w:r w:rsidR="00117611">
        <w:fldChar w:fldCharType="separate"/>
      </w:r>
      <w:r w:rsidR="00117611" w:rsidRPr="00117611">
        <w:rPr>
          <w:noProof/>
        </w:rPr>
        <w:t>(UNEP, 1987)</w:t>
      </w:r>
      <w:r w:rsidR="00117611">
        <w:fldChar w:fldCharType="end"/>
      </w:r>
      <w:r w:rsidR="00C61612" w:rsidRPr="00194419">
        <w:t xml:space="preserve">. </w:t>
      </w:r>
      <w:r w:rsidR="002825D8" w:rsidRPr="00194419">
        <w:t xml:space="preserve">As </w:t>
      </w:r>
      <w:r w:rsidR="00096D84" w:rsidRPr="00194419">
        <w:t>these</w:t>
      </w:r>
      <w:r w:rsidR="002825D8" w:rsidRPr="00194419">
        <w:t xml:space="preserve"> gases show almost inert behavior in the atmosphere</w:t>
      </w:r>
      <w:r w:rsidR="00FE3FDA" w:rsidRPr="00194419">
        <w:t>, the evolution</w:t>
      </w:r>
      <w:r w:rsidR="00E20716" w:rsidRPr="00194419">
        <w:t>s</w:t>
      </w:r>
      <w:r w:rsidR="00FE3FDA" w:rsidRPr="00194419">
        <w:t xml:space="preserve"> of the atmospheric concentration of CFCs describe distinct functions</w:t>
      </w:r>
      <w:r w:rsidR="007E6A21" w:rsidRPr="00194419">
        <w:t xml:space="preserve">. </w:t>
      </w:r>
      <w:r w:rsidR="00B70E75" w:rsidRPr="00194419">
        <w:t xml:space="preserve">On the other hand, the use </w:t>
      </w:r>
      <w:r w:rsidR="007E6A21" w:rsidRPr="00194419">
        <w:t>of other halogenated gases, such as sulfur hexafluoride (SF</w:t>
      </w:r>
      <w:r w:rsidR="007E6A21" w:rsidRPr="00194419">
        <w:rPr>
          <w:vertAlign w:val="subscript"/>
        </w:rPr>
        <w:t>6</w:t>
      </w:r>
      <w:r w:rsidR="007E6A21" w:rsidRPr="00194419">
        <w:t>),</w:t>
      </w:r>
      <w:r w:rsidR="00B70E75" w:rsidRPr="00194419">
        <w:t xml:space="preserve"> still continue</w:t>
      </w:r>
      <w:r w:rsidR="007A12D2" w:rsidRPr="00194419">
        <w:t>s</w:t>
      </w:r>
      <w:r w:rsidR="00B70E75" w:rsidRPr="00194419">
        <w:t xml:space="preserve"> and the</w:t>
      </w:r>
      <w:r w:rsidR="007A12D2" w:rsidRPr="00194419">
        <w:t>ir</w:t>
      </w:r>
      <w:r w:rsidR="007E6A21" w:rsidRPr="00194419">
        <w:t xml:space="preserve"> atmospheric concentration</w:t>
      </w:r>
      <w:r w:rsidR="00B70E75" w:rsidRPr="00194419">
        <w:t>s</w:t>
      </w:r>
      <w:r w:rsidR="007E6A21" w:rsidRPr="00194419">
        <w:t xml:space="preserve"> </w:t>
      </w:r>
      <w:r w:rsidR="00B70E75" w:rsidRPr="00194419">
        <w:t xml:space="preserve">are </w:t>
      </w:r>
      <w:r w:rsidR="007E6A21" w:rsidRPr="00194419">
        <w:t>currently rising.</w:t>
      </w:r>
      <w:r w:rsidR="00FE3FDA" w:rsidRPr="00194419">
        <w:t xml:space="preserve"> </w:t>
      </w:r>
      <w:r w:rsidR="007E6A21" w:rsidRPr="00194419">
        <w:t xml:space="preserve">The </w:t>
      </w:r>
      <w:r w:rsidR="002825D8" w:rsidRPr="00194419">
        <w:t xml:space="preserve">nearly monotone </w:t>
      </w:r>
      <w:r w:rsidR="007E6A21" w:rsidRPr="00194419">
        <w:t>evolution of the CFC and SF</w:t>
      </w:r>
      <w:r w:rsidR="007E6A21" w:rsidRPr="00194419">
        <w:rPr>
          <w:vertAlign w:val="subscript"/>
        </w:rPr>
        <w:t>6</w:t>
      </w:r>
      <w:r w:rsidR="007E6A21" w:rsidRPr="00194419">
        <w:t xml:space="preserve"> mixing ratio</w:t>
      </w:r>
      <w:r w:rsidR="00EC5518" w:rsidRPr="00194419">
        <w:t>s</w:t>
      </w:r>
      <w:r w:rsidR="007E6A21" w:rsidRPr="00194419">
        <w:t xml:space="preserve"> in the atmosphere</w:t>
      </w:r>
      <w:r w:rsidR="00FE3FDA" w:rsidRPr="00194419">
        <w:t xml:space="preserve"> can be used for groundwater dating, assuming </w:t>
      </w:r>
      <w:r w:rsidR="002825D8" w:rsidRPr="00194419">
        <w:t xml:space="preserve">that the atmosphere is the only source in the aquifer. CFCs are affected by </w:t>
      </w:r>
      <w:r w:rsidR="002825D8" w:rsidRPr="00194419">
        <w:lastRenderedPageBreak/>
        <w:t xml:space="preserve">degradation in </w:t>
      </w:r>
      <w:r w:rsidR="00BE046F" w:rsidRPr="00194419">
        <w:t>an</w:t>
      </w:r>
      <w:r w:rsidR="002825D8" w:rsidRPr="00194419">
        <w:t>oxic conditions</w:t>
      </w:r>
      <w:r w:rsidR="00C77917" w:rsidRPr="00194419">
        <w:t xml:space="preserve"> </w:t>
      </w:r>
      <w:r w:rsidR="00B77511" w:rsidRPr="00194419">
        <w:fldChar w:fldCharType="begin" w:fldLock="1"/>
      </w:r>
      <w:r w:rsidR="00017153" w:rsidRPr="00194419">
        <w:instrText>ADDIN CSL_CITATION {"citationItems":[{"id":"ITEM-1","itemData":{"author":[{"dropping-particle":"","family":"Cook","given":"P.G.","non-dropping-particle":"","parse-names":false,"suffix":""},{"dropping-particle":"","family":"Plummer","given":"L.N.","non-dropping-particle":"","parse-names":false,"suffix":""},{"dropping-particle":"","family":"Solomon","given":"D. K.","non-dropping-particle":"","parse-names":false,"suffix":""},{"dropping-particle":"","family":"Busenberg","given":"E.","non-dropping-particle":"","parse-names":false,"suffix":""},{"dropping-particle":"","family":"Han","given":"L.F.","non-dropping-particle":"","parse-names":false,"suffix":""}],"container-title":"Use of Chlorofluorocarbons in Hydrology: a guidebook.","id":"ITEM-1","issued":{"date-parts":[["2006"]]},"page":"31-58","publisher":"International Atomic Energy Agency","title":"Effects and processes that can modify apparent CFC age","type":"chapter"},"uris":["http://www.mendeley.com/documents/?uuid=9183a8e9-316b-4187-b1e2-c8cdcd4f5405"]}],"mendeley":{"formattedCitation":"(Cook et al., 2006)","plainTextFormattedCitation":"(Cook et al., 2006)","previouslyFormattedCitation":"(Cook et al., 2006)"},"properties":{"noteIndex":0},"schema":"https://github.com/citation-style-language/schema/raw/master/csl-citation.json"}</w:instrText>
      </w:r>
      <w:r w:rsidR="00B77511" w:rsidRPr="00194419">
        <w:fldChar w:fldCharType="separate"/>
      </w:r>
      <w:r w:rsidR="00B77511" w:rsidRPr="00194419">
        <w:rPr>
          <w:noProof/>
        </w:rPr>
        <w:t>(Cook et al., 2006)</w:t>
      </w:r>
      <w:r w:rsidR="00B77511" w:rsidRPr="00194419">
        <w:fldChar w:fldCharType="end"/>
      </w:r>
      <w:r w:rsidR="002825D8" w:rsidRPr="00194419">
        <w:t xml:space="preserve"> and heavy local contaminations</w:t>
      </w:r>
      <w:r w:rsidR="00C77917" w:rsidRPr="00194419">
        <w:t xml:space="preserve"> </w:t>
      </w:r>
      <w:r w:rsidR="00017153" w:rsidRPr="00194419">
        <w:fldChar w:fldCharType="begin" w:fldLock="1"/>
      </w:r>
      <w:r w:rsidR="00941999" w:rsidRPr="00194419">
        <w:instrText>ADDIN CSL_CITATION {"citationItems":[{"id":"ITEM-1","itemData":{"DOI":"10.1016/j.apgeochem.2014.04.001","ISSN":"18729134","abstract":"Two groundwater bodies, Grazer Feld and Leibnitzer Feld, with surface areas of 166 and 103km2 respectively are characterised for the first time by measuring the combination of ??18O/??2H, 3H/3He, 85Kr, CFC-11, CFC-12 and hydrochemistry in 34 monitoring wells in 2009/2010. The timescales of groundwater recharge have been characterised by 131 ??18O measurements of well and surface water sampled on a seasonal basis. Most monitoring wells show a seasonal variation or indicate variable contributions of the main river Mur (0-30%, max. 70%) and/or other rivers having their recharge areas in higher altitudes. Combined ??18O/??2H-measurements indicate that 65-75% of groundwater recharge in the unusual wet year of 2009 was from precipitation in the summer based on values from the Graz meteorological station. Monitoring wells downstream of gravel pit lakes show a clear evaporation trend.A boron-nitrate differentiation plot shows more frequent boron-rich water in the more urbanised Grazer Feld and more frequent nitrate-rich water in the more agricultural used Leibnitzer Feld indicating that a some of the nitrate load in the Grazer Feld comes from urban sewer water. Several lumped parameter models based on tritium input data from Graz and monthly data from the river Mur (Spielfeld) since 1977 yield a Mean Residence Time (MRT) for the Mur-water itself between 3 and 4years in this area. Data from ??18O, 3H/3He measurements at the Wagna lysimeter station supports the conclusion that 90% of the groundwaters in the Grazer Feld and 73% in the Leibnitzer Feld have MRTs of &lt;5years. Only in a few groundwaters were MRTs of 6-10 or 11-25years as a result of either a long-distance water inflow in the basins or due to longer flow path in somewhat deeper wells (&gt;20m) with relative thicker unsaturated zones. The young MRT of groundwater from two monitoring wells in the Leibnitzer Feld was confirmed by 85Kr-measurements. Most CFC-11 and CFC-12 concentrations in the groundwater exceed the equilibration concentrations of modern concentrations in water and are therefore unsuitable for dating purposes. An enrichment factor up to 100 compared to atmospheric equilibrium concentrations and the obvious correlation of CFC-12 with SO4, Na, Cl and B in the ground waters of the Grazer Feld suggest that waste water in contact with CFC-containing material above and below ground is the source for the contamination. The dominance of very young groundwater (&lt;5years) indicates a recent origin of the…","author":[{"dropping-particle":"","family":"Kralik","given":"M.","non-dropping-particle":"","parse-names":false,"suffix":""},{"dropping-particle":"","family":"Humer","given":"F.","non-dropping-particle":"","parse-names":false,"suffix":""},{"dropping-particle":"","family":"Fank","given":"J.","non-dropping-particle":"","parse-names":false,"suffix":""},{"dropping-particle":"","family":"Harum","given":"T.","non-dropping-particle":"","parse-names":false,"suffix":""},{"dropping-particle":"","family":"Klammler","given":"G.","non-dropping-particle":"","parse-names":false,"suffix":""},{"dropping-particle":"","family":"Gooddy","given":"D.","non-dropping-particle":"","parse-names":false,"suffix":""},{"dropping-particle":"","family":"Sültenfuss","given":"J.","non-dropping-particle":"","parse-names":false,"suffix":""},{"dropping-particle":"","family":"Gerber","given":"C.","non-dropping-particle":"","parse-names":false,"suffix":""},{"dropping-particle":"","family":"Purtschert","given":"R.","non-dropping-particle":"","parse-names":false,"suffix":""}],"container-title":"Applied Geochemistry","id":"ITEM-1","issue":"2014","issued":{"date-parts":[["2014"]]},"page":"150-163","publisher":"Elsevier Ltd","title":"Using 18O/2H, 3H/3He, 85Kr and CFCs to determine mean residence times and water origin in the Grazer and Leibnitzer Feld groundwater bodies (Austria)","type":"article-journal","volume":"50"},"uris":["http://www.mendeley.com/documents/?uuid=e6c23c74-1342-4d7e-b3b6-07c6646b9c15"]}],"mendeley":{"formattedCitation":"(Kralik et al., 2014)","plainTextFormattedCitation":"(Kralik et al., 2014)","previouslyFormattedCitation":"(Kralik et al., 2014)"},"properties":{"noteIndex":0},"schema":"https://github.com/citation-style-language/schema/raw/master/csl-citation.json"}</w:instrText>
      </w:r>
      <w:r w:rsidR="00017153" w:rsidRPr="00194419">
        <w:fldChar w:fldCharType="separate"/>
      </w:r>
      <w:r w:rsidR="00017153" w:rsidRPr="00194419">
        <w:rPr>
          <w:noProof/>
        </w:rPr>
        <w:t>(Kralik et al., 2014)</w:t>
      </w:r>
      <w:r w:rsidR="00017153" w:rsidRPr="00194419">
        <w:fldChar w:fldCharType="end"/>
      </w:r>
      <w:r w:rsidR="00C77917" w:rsidRPr="00194419">
        <w:t xml:space="preserve">. </w:t>
      </w:r>
      <w:r w:rsidR="000657B7" w:rsidRPr="00194419">
        <w:t>Although n</w:t>
      </w:r>
      <w:r w:rsidR="00C77917" w:rsidRPr="00194419">
        <w:rPr>
          <w:rFonts w:ascii="TimesTen-Roman" w:hAnsi="TimesTen-Roman" w:cs="TimesTen-Roman"/>
        </w:rPr>
        <w:t>o evident signs of degradation or retention have been reported</w:t>
      </w:r>
      <w:r w:rsidR="000657B7" w:rsidRPr="00194419">
        <w:rPr>
          <w:rFonts w:ascii="TimesTen-Roman" w:hAnsi="TimesTen-Roman" w:cs="TimesTen-Roman"/>
        </w:rPr>
        <w:t xml:space="preserve"> for</w:t>
      </w:r>
      <w:r w:rsidR="00C77917" w:rsidRPr="00194419">
        <w:rPr>
          <w:rFonts w:ascii="TimesTen-Roman" w:hAnsi="TimesTen-Roman" w:cs="TimesTen-Roman"/>
        </w:rPr>
        <w:t xml:space="preserve"> </w:t>
      </w:r>
      <w:r w:rsidR="000657B7" w:rsidRPr="00194419">
        <w:t>SF</w:t>
      </w:r>
      <w:r w:rsidR="000657B7" w:rsidRPr="00194419">
        <w:rPr>
          <w:vertAlign w:val="subscript"/>
        </w:rPr>
        <w:t>6</w:t>
      </w:r>
      <w:r w:rsidR="000657B7" w:rsidRPr="00194419">
        <w:t xml:space="preserve"> </w:t>
      </w:r>
      <w:r w:rsidR="00017153" w:rsidRPr="00194419">
        <w:rPr>
          <w:rFonts w:ascii="TimesTen-Roman" w:hAnsi="TimesTen-Roman" w:cs="TimesTen-Roman"/>
        </w:rPr>
        <w:fldChar w:fldCharType="begin" w:fldLock="1"/>
      </w:r>
      <w:r w:rsidR="00941999" w:rsidRPr="00194419">
        <w:rPr>
          <w:rFonts w:ascii="TimesTen-Roman" w:hAnsi="TimesTen-Roman" w:cs="TimesTen-Roman"/>
        </w:rPr>
        <w:instrText>ADDIN CSL_CITATION {"citationItems":[{"id":"ITEM-1","itemData":{"author":[{"dropping-particle":"","family":"Busenberg","given":"Eurybiades","non-dropping-particle":"","parse-names":false,"suffix":""},{"dropping-particle":"","family":"Plummer","given":"L Niel","non-dropping-particle":"","parse-names":false,"suffix":""}],"container-title":"Water Resources Research","id":"ITEM-1","issue":"10","issued":{"date-parts":[["2000"]]},"page":"3011-3030","title":"Dating young groundwater with sulfur hexafluoride: Natural and anthropogenic sources of sulfur hexafluoride","type":"article-journal","volume":"36"},"uris":["http://www.mendeley.com/documents/?uuid=e29b4a23-0e43-4b8a-a02e-626792d5514c"]},{"id":"ITEM-2","itemData":{"author":[{"dropping-particle":"","family":"Han","given":"L.F.","non-dropping-particle":"","parse-names":false,"suffix":""},{"dropping-particle":"","family":"Gröning","given":"M.","non-dropping-particle":"","parse-names":false,"suffix":""},{"dropping-particle":"","family":"Plummer","given":"L.N.","non-dropping-particle":"","parse-names":false,"suffix":""},{"dropping-particle":"","family":"Solomon","given":"D. K.","non-dropping-particle":"","parse-names":false,"suffix":""}],"container-title":"Use of Chlorofluorocarbons in Hydrology: a guidebook.","id":"ITEM-2","issued":{"date-parts":[["2006"]]},"page":"191-198","publisher":"IAEA","title":"Comparison of the CFC technique with other techniques (&lt;sup&gt;3&lt;/sup&gt;H, &lt;sup&gt;3&lt;/sup&gt;H/&lt;sup&gt;3&lt;/sup&gt;He, &lt;sup&gt;85&lt;/sup&gt;Kr)","type":"chapter"},"uris":["http://www.mendeley.com/documents/?uuid=81e51ec0-6540-4f95-82d7-d6f99de29380"]}],"mendeley":{"formattedCitation":"(Busenberg and Plummer, 2000; Han et al., 2006)","plainTextFormattedCitation":"(Busenberg and Plummer, 2000; Han et al., 2006)","previouslyFormattedCitation":"(Busenberg and Plummer, 2000; Han et al., 2006)"},"properties":{"noteIndex":0},"schema":"https://github.com/citation-style-language/schema/raw/master/csl-citation.json"}</w:instrText>
      </w:r>
      <w:r w:rsidR="00017153" w:rsidRPr="00194419">
        <w:rPr>
          <w:rFonts w:ascii="TimesTen-Roman" w:hAnsi="TimesTen-Roman" w:cs="TimesTen-Roman"/>
        </w:rPr>
        <w:fldChar w:fldCharType="separate"/>
      </w:r>
      <w:r w:rsidR="00017153" w:rsidRPr="00194419">
        <w:rPr>
          <w:rFonts w:ascii="TimesTen-Roman" w:hAnsi="TimesTen-Roman" w:cs="TimesTen-Roman"/>
          <w:noProof/>
        </w:rPr>
        <w:t>(Busenberg and Plummer, 2000; Han et al., 2006)</w:t>
      </w:r>
      <w:r w:rsidR="00017153" w:rsidRPr="00194419">
        <w:rPr>
          <w:rFonts w:ascii="TimesTen-Roman" w:hAnsi="TimesTen-Roman" w:cs="TimesTen-Roman"/>
        </w:rPr>
        <w:fldChar w:fldCharType="end"/>
      </w:r>
      <w:r w:rsidR="00C77917" w:rsidRPr="00194419">
        <w:rPr>
          <w:rFonts w:ascii="TimesTen-Roman" w:hAnsi="TimesTen-Roman" w:cs="TimesTen-Roman"/>
        </w:rPr>
        <w:t xml:space="preserve">, </w:t>
      </w:r>
      <w:r w:rsidR="000C7FD1" w:rsidRPr="00194419">
        <w:t>in-</w:t>
      </w:r>
      <w:r w:rsidR="000535CB" w:rsidRPr="00194419">
        <w:t xml:space="preserve">situ </w:t>
      </w:r>
      <w:r w:rsidR="000657B7" w:rsidRPr="00194419">
        <w:rPr>
          <w:noProof/>
        </w:rPr>
        <w:t>production</w:t>
      </w:r>
      <w:r w:rsidR="00A81499" w:rsidRPr="00194419">
        <w:rPr>
          <w:noProof/>
        </w:rPr>
        <w:t xml:space="preserve"> </w:t>
      </w:r>
      <w:r w:rsidR="002825D8" w:rsidRPr="00194419">
        <w:rPr>
          <w:noProof/>
        </w:rPr>
        <w:t>was</w:t>
      </w:r>
      <w:r w:rsidR="002825D8" w:rsidRPr="00194419">
        <w:t xml:space="preserve"> found in various studies</w:t>
      </w:r>
      <w:r w:rsidR="00C77917" w:rsidRPr="00194419">
        <w:t xml:space="preserve"> </w:t>
      </w:r>
      <w:r w:rsidR="00017153" w:rsidRPr="00194419">
        <w:fldChar w:fldCharType="begin" w:fldLock="1"/>
      </w:r>
      <w:r w:rsidR="00941999" w:rsidRPr="00194419">
        <w:instrText>ADDIN CSL_CITATION {"citationItems":[{"id":"ITEM-1","itemData":{"DOI":"10.1029/98GL01779","ISBN":"0094-8276","ISSN":"00948276","abstract":"The occurrence of CF4 and SF6 in natural fluorites (CaF2) is reported. Contents are found to be typically 200- 2000 ppt-mass for CF4 and 50-100 ppt-mass for SF 6. CF4 and SF6 were also detected in granites where fluorite is an accessory mineral. CF 4 and SF 6 thus possess a large reservoir in the continental crust that by degassing can sustain natural atmospheric background levels of 40ppt-mole and up to 0.01 ppt-mole, respectively. The article also discusses how natural SF6 may cause interference in hydrological tracer studies. perfluorocarbons. The ambiguities of mass spectroscopic analyses had to be avoided by means of a prior gas chromatographic separation. This work's purpose was to identify perfluorinated compounds in fluorites, quantify their concentrations in geological samples, check Kranz's hypothesis of their radiochemical formation and discuss their degassing into the atmosphere.","author":[{"dropping-particle":"","family":"Harnisch","given":"Jochen","non-dropping-particle":"","parse-names":false,"suffix":""},{"dropping-particle":"","family":"Eisenhauer","given":"Anton","non-dropping-particle":"","parse-names":false,"suffix":""}],"container-title":"Geophysical Research Letters","id":"ITEM-1","issue":"13","issued":{"date-parts":[["1998"]]},"page":"2401-2404","title":"Natural CF&lt;sub&gt;4&lt;/sub&gt; and SF&lt;sub&gt;6&lt;/sub&gt; on Earth","type":"article-journal","volume":"25"},"uris":["http://www.mendeley.com/documents/?uuid=480d90bc-b9a8-44ea-9db8-08da78575132"]},{"id":"ITEM-2","itemData":{"DOI":"10.1016/j.apgeochem.2013.03.002","ISBN":"0883-2927","ISSN":"08832927","abstract":"SF6and3H-3He dating were used to investigate groundwater of the Odenwald/Germany. The application of SF6dating is not possible in certain areas due to high SF6excess. High SF6is clearly linked to the lithology of the sampled area. The SF6excess is of terrigenic origin, radio-chemically produced in the subsurface. The mountainous Odenwald region in the federal state of Hesse/Germany is one of the main recharge areas for groundwater of the surrounding depressions, where substantial extraction for public water supply takes place. We investigated the groundwater to study residence times and mixing ratios of groundwater of different ages, define regions of groundwater recharge and understand the groundwater inflow from the Odenwald to the surrounding areas. This multi-tracer study included stable and radioactive gas and isotope tracers such as2H,18O,3H, noble gases (He, Ne, Ar, Kr, Xe),222Rn and SF6. Noble gases were used to calculate recharge temperatures of the groundwater and to correct all gas tracers for so called \"excess air\". Comparing the results of the two independent dating methods - SF6and3H-3He - reveals that dating with SF6is not possible in the crystalline region of the Odenwald, while the3H-3He method gives robust groundwater ages. The results indicate that SF6is influenced by a terrigenic source in the subsurface that varies with lithology.222Rn data from part of the wells seem to be related to the terrigenic SF6, consistent with the idea of radiochemical SF6production in rocks and release from the aquifer matrix. © 2013 Elsevier Ltd.","author":[{"dropping-particle":"","family":"Friedrich","given":"R.","non-dropping-particle":"","parse-names":false,"suffix":""},{"dropping-particle":"","family":"Vero","given":"G.","non-dropping-particle":"","parse-names":false,"suffix":""},{"dropping-particle":"","family":"Rohden","given":"C.","non-dropping-particle":"von","parse-names":false,"suffix":""},{"dropping-particle":"","family":"Lessmann","given":"B.","non-dropping-particle":"","parse-names":false,"suffix":""},{"dropping-particle":"","family":"Kipfer","given":"R.","non-dropping-particle":"","parse-names":false,"suffix":""},{"dropping-particle":"","family":"Aeschbach-Hertig","given":"W.","non-dropping-particle":"","parse-names":false,"suffix":""}],"container-title":"Applied Geochemistry","id":"ITEM-2","issued":{"date-parts":[["2013"]]},"page":"318-329","publisher":"Elsevier Ltd","title":"Factors controlling terrigenic SF&lt;sub&gt;6&lt;/sub&gt; in young groundwater of the Odenwald region (Germany)","type":"article-journal","volume":"33"},"uris":["http://www.mendeley.com/documents/?uuid=69828c0f-e869-425b-96cf-ca2b849a5765"]},{"id":"ITEM-3","itemData":{"DOI":"10.1016/j.jhydrol.2015.06.022","ISBN":"00221694 (ISSN)","ISSN":"00221694","abstract":"Twenty-five public supply wells throughout the hydrogeologically diverse region of Scania, southern Sweden are subjected to environmental tracer analysis (3H-3He, 4He, CFCs, SF6 and for one well only also 85Kr and 39Ar) to study well and aquifer vulnerability and evaluate possibilities of groundwater age distribution assessment. We find CFC and SF6 concentrations well above solubility equilibrium with modern atmosphere, indicating local contamination, as well as indications of CFC degradation. The tracer-specific complications considerably constrain possibilities for sound quantitative regional groundwater age distribution assessments and demonstrate the importance of initial qualitative assessment of tracer-specific reliability, as well a need for additional, complementary tracers (e.g. 85Kr, 39Ar and potentially also 14C). Lumped parameter modelling yields credible age distribution assessments for representative wells in four type aquifers. Pollution vulnerability of the aquifer types was based on the selected LPM models and qualitative age characterisation. Most vulnerable are unconfined dual porosity and fractured bedrock aquifers, due to a large component of very young groundwater. Unconfined sedimentary aquifers are vulnerable due to young groundwater and a small pre-modern component. Less vulnerable are semi-confined sedimentary or dual-porosity aquifers, due to older age of the modern component and a larger pre-modern component. Confined aquifers appear least vulnerable, due an entirely pre-modern groundwater age distribution (recharged before 1963). Tracer complications aside, environmental tracer analyses and lumped parameter modelling aid in vulnerability assessment and protection of regional groundwater resources.","author":[{"dropping-particle":"","family":"Akesson","given":"Maria","non-dropping-particle":"","parse-names":false,"suffix":""},{"dropping-particle":"","family":"Suckow","given":"Axel","non-dropping-particle":"","parse-names":false,"suffix":""},{"dropping-particle":"","family":"Visser","given":"Ate","non-dropping-particle":"","parse-names":false,"suffix":""},{"dropping-particle":"","family":"Sültenfuss","given":"Jürgen","non-dropping-particle":"","parse-names":false,"suffix":""},{"dropping-particle":"","family":"Laier","given":"Troels","non-dropping-particle":"","parse-names":false,"suffix":""},{"dropping-particle":"","family":"Purtschert","given":"Roland","non-dropping-particle":"","parse-names":false,"suffix":""},{"dropping-particle":"","family":"Sparrenbom","given":"Charlotte J.","non-dropping-particle":"","parse-names":false,"suffix":""}],"container-title":"Journal of Hydrology","id":"ITEM-3","issued":{"date-parts":[["2015"]]},"page":"217-229","title":"Constraining age distributions of groundwater from public supply wells in diverse hydrogeological settings in Scania, Sweden","type":"article-journal","volume":"528"},"uris":["http://www.mendeley.com/documents/?uuid=4b567828-885e-4748-8e47-eca1aa20883f"]}],"mendeley":{"formattedCitation":"(Akesson et al., 2015; Friedrich et al., 2013; Harnisch and Eisenhauer, 1998)","plainTextFormattedCitation":"(Akesson et al., 2015; Friedrich et al., 2013; Harnisch and Eisenhauer, 1998)","previouslyFormattedCitation":"(Akesson et al., 2015; Friedrich et al., 2013; Harnisch and Eisenhauer, 1998)"},"properties":{"noteIndex":0},"schema":"https://github.com/citation-style-language/schema/raw/master/csl-citation.json"}</w:instrText>
      </w:r>
      <w:r w:rsidR="00017153" w:rsidRPr="00194419">
        <w:fldChar w:fldCharType="separate"/>
      </w:r>
      <w:r w:rsidR="00017153" w:rsidRPr="00194419">
        <w:rPr>
          <w:noProof/>
        </w:rPr>
        <w:t>(Akesson et al., 2015; Friedrich et al., 2013; Harnisch and Eisenhauer, 1998)</w:t>
      </w:r>
      <w:r w:rsidR="00017153" w:rsidRPr="00194419">
        <w:fldChar w:fldCharType="end"/>
      </w:r>
      <w:r w:rsidR="002825D8" w:rsidRPr="00194419">
        <w:t>. Besides this</w:t>
      </w:r>
      <w:r w:rsidR="006B1778" w:rsidRPr="00194419">
        <w:t>,</w:t>
      </w:r>
      <w:r w:rsidR="002825D8" w:rsidRPr="00194419">
        <w:t xml:space="preserve"> the temperature for gas exchange at the water-atmosphere interface must be know</w:t>
      </w:r>
      <w:r w:rsidR="00E83F26" w:rsidRPr="00194419">
        <w:t>n by about 1</w:t>
      </w:r>
      <w:r w:rsidR="006B1778" w:rsidRPr="00194419">
        <w:t>º</w:t>
      </w:r>
      <w:r w:rsidR="00E83F26" w:rsidRPr="00194419">
        <w:t>K</w:t>
      </w:r>
      <w:r w:rsidR="00117611">
        <w:t xml:space="preserve"> (Cook et al., 2006)</w:t>
      </w:r>
      <w:r w:rsidR="000C7FD1" w:rsidRPr="00194419">
        <w:t xml:space="preserve">. </w:t>
      </w:r>
      <w:r w:rsidR="00B201CD">
        <w:t>T</w:t>
      </w:r>
      <w:r w:rsidR="000C7FD1" w:rsidRPr="00194419">
        <w:t>he</w:t>
      </w:r>
      <w:r w:rsidR="00B201CD">
        <w:t>se</w:t>
      </w:r>
      <w:r w:rsidR="000C7FD1" w:rsidRPr="00194419">
        <w:t xml:space="preserve"> </w:t>
      </w:r>
      <w:r w:rsidR="00B201CD">
        <w:t xml:space="preserve">trace </w:t>
      </w:r>
      <w:r w:rsidR="000C7FD1" w:rsidRPr="00194419">
        <w:t>gases are</w:t>
      </w:r>
      <w:r w:rsidR="00B201CD">
        <w:t xml:space="preserve"> also</w:t>
      </w:r>
      <w:r w:rsidR="000C7FD1" w:rsidRPr="00194419">
        <w:t xml:space="preserve"> affected by </w:t>
      </w:r>
      <w:r w:rsidR="00E83F26" w:rsidRPr="00194419">
        <w:t xml:space="preserve">the contribution </w:t>
      </w:r>
      <w:r w:rsidR="000C7FD1" w:rsidRPr="00194419">
        <w:t>of</w:t>
      </w:r>
      <w:r w:rsidR="00E83F26" w:rsidRPr="00194419">
        <w:t xml:space="preserve"> bubble inclusion, </w:t>
      </w:r>
      <w:r w:rsidR="00E83F26" w:rsidRPr="00194419">
        <w:rPr>
          <w:noProof/>
        </w:rPr>
        <w:t>so</w:t>
      </w:r>
      <w:r w:rsidR="000657B7" w:rsidRPr="00194419">
        <w:rPr>
          <w:noProof/>
        </w:rPr>
        <w:t>-</w:t>
      </w:r>
      <w:r w:rsidR="00E83F26" w:rsidRPr="00194419">
        <w:rPr>
          <w:noProof/>
        </w:rPr>
        <w:t>called</w:t>
      </w:r>
      <w:r w:rsidR="00E83F26" w:rsidRPr="00194419">
        <w:t xml:space="preserve"> excess air</w:t>
      </w:r>
      <w:r w:rsidR="002056E8">
        <w:t>, as well as</w:t>
      </w:r>
      <w:r w:rsidR="00E83F26" w:rsidRPr="00194419">
        <w:t xml:space="preserve"> </w:t>
      </w:r>
      <w:r w:rsidR="002056E8">
        <w:t>s</w:t>
      </w:r>
      <w:r w:rsidR="00E83F26" w:rsidRPr="00194419">
        <w:t xml:space="preserve">alinity </w:t>
      </w:r>
      <w:r w:rsidR="002056E8">
        <w:t>during recharge</w:t>
      </w:r>
      <w:r w:rsidR="00C77917" w:rsidRPr="00194419">
        <w:t xml:space="preserve"> </w:t>
      </w:r>
      <w:r w:rsidR="00017153" w:rsidRPr="00194419">
        <w:fldChar w:fldCharType="begin" w:fldLock="1"/>
      </w:r>
      <w:r w:rsidR="00017153" w:rsidRPr="00194419">
        <w:instrText xml:space="preserve">ADDIN CSL_CITATION {"citationItems":[{"id":"ITEM-1","itemData":{"DOI":"10.1016/0198-0149(85)90099-8","ISSN":"0198-0149","abstract":"The solubilities of dilute mixtures of the chlorofluorocarbons CCl3F (CFC-11) and CCl2F2 (CFC-12) in pure water and seawater over the temperature range 0 to 40°C have been measured by gas chromatography. The data have been fitted to equations in temperature and salinity of the form used previously to fit the solubilities of other gases. The fitted values have an estimated accuracy of </w:instrText>
      </w:r>
      <w:r w:rsidR="00017153" w:rsidRPr="00194419">
        <w:rPr>
          <w:rFonts w:ascii="Cambria Math" w:hAnsi="Cambria Math" w:cs="Cambria Math"/>
        </w:rPr>
        <w:instrText>∼</w:instrText>
      </w:r>
      <w:r w:rsidR="00017153" w:rsidRPr="00194419">
        <w:instrText xml:space="preserve">1.5% and a relative precision of </w:instrText>
      </w:r>
      <w:r w:rsidR="00017153" w:rsidRPr="00194419">
        <w:rPr>
          <w:rFonts w:ascii="Cambria Math" w:hAnsi="Cambria Math" w:cs="Cambria Math"/>
        </w:rPr>
        <w:instrText>∼</w:instrText>
      </w:r>
      <w:r w:rsidR="00017153" w:rsidRPr="00194419">
        <w:instrText>0.7% for both chlorofluorocarbons. The nonideal behavior of these compounds in dilute air mixtures is discussed, and their solubilities from a water-saturated atmosphere are presented in parametric form.","author":[{"dropping-particle":"","family":"Warner","given":"M.J.","non-dropping-particle":"","parse-names":false,"suffix":""},{"dropping-particle":"","family":"Weiss","given":"R.F.","non-dropping-particle":"","parse-names":false,"suffix":""}],"container-title":"Deep Sea Research Part A. Oceanographic Research Papers","id":"ITEM-1","issue":"12","issued":{"date-parts":[["1985","12","1"]]},"page":"1485-1497","publisher":"Elsevier","title":"Solubilities of chlorofluorocarbons 11 and 12 in water and seawater","type":"article-journal","volume":"32"},"uris":["http://www.mendeley.com/documents/?uuid=7b253ae5-01a7-354e-b2a4-7cf02e17ed8f"]},{"id":"ITEM-2","itemData":{"DOI":"10.1029/91JC00104","ISSN":"0148-0227","author":[{"dropping-particle":"","family":"Wanninkhof","given":"Rik","non-dropping-particle":"","parse-names":false,"suffix":""},{"dropping-particle":"","family":"Ledwell","given":"James R.","non-dropping-particle":"","parse-names":false,"suffix":""},{"dropping-particle":"","family":"Watson","given":"Andrew J.","non-dropping-particle":"","parse-names":false,"suffix":""}],"container-title":"Journal of Geophysical Research","id":"ITEM-2","issue":"C5","issued":{"date-parts":[["1991","5","15"]]},"page":"8733","title":"Analysis of sulfur hexafluoride in seawater","type":"article-journal","volume":"96"},"uris":["http://www.mendeley.com/documents/?uuid=fa29ab7f-106c-3ca2-bcc0-dbafc0d5ddcd"]}],"mendeley":{"formattedCitation":"(Wanninkhof et al., 1991; Warner and Weiss, 1985)","plainTextFormattedCitation":"(Wanninkhof et al., 1991; Warner and Weiss, 1985)","previouslyFormattedCitation":"(Wanninkhof et al., 1991; Warner and Weiss, 1985)"},"properties":{"noteIndex":0},"schema":"https://github.com/citation-style-language/schema/raw/master/csl-citation.json"}</w:instrText>
      </w:r>
      <w:r w:rsidR="00017153" w:rsidRPr="00194419">
        <w:fldChar w:fldCharType="separate"/>
      </w:r>
      <w:r w:rsidR="00017153" w:rsidRPr="00194419">
        <w:rPr>
          <w:noProof/>
        </w:rPr>
        <w:t>(Wanninkhof et al., 1991; Warner and Weiss, 1985)</w:t>
      </w:r>
      <w:r w:rsidR="00017153" w:rsidRPr="00194419">
        <w:fldChar w:fldCharType="end"/>
      </w:r>
      <w:r w:rsidR="00E83F26" w:rsidRPr="00194419">
        <w:t xml:space="preserve">. </w:t>
      </w:r>
      <w:r w:rsidR="00C77917" w:rsidRPr="00194419">
        <w:rPr>
          <w:rFonts w:ascii="TimesTen-Roman" w:hAnsi="TimesTen-Roman" w:cs="TimesTen-Roman"/>
        </w:rPr>
        <w:t>Further information about groundwater dating techniques using CFC and SF</w:t>
      </w:r>
      <w:r w:rsidR="00C77917" w:rsidRPr="00194419">
        <w:rPr>
          <w:rFonts w:ascii="TimesTen-Roman" w:hAnsi="TimesTen-Roman" w:cs="TimesTen-Roman"/>
          <w:vertAlign w:val="subscript"/>
        </w:rPr>
        <w:t>6</w:t>
      </w:r>
      <w:r w:rsidR="00C77917" w:rsidRPr="00194419">
        <w:rPr>
          <w:rFonts w:ascii="TimesTen-Roman" w:hAnsi="TimesTen-Roman" w:cs="TimesTen-Roman"/>
        </w:rPr>
        <w:t xml:space="preserve"> can be found in </w:t>
      </w:r>
      <w:r w:rsidR="00C77917" w:rsidRPr="00194419">
        <w:t xml:space="preserve">IAEA </w:t>
      </w:r>
      <w:r w:rsidR="00017153" w:rsidRPr="00194419">
        <w:fldChar w:fldCharType="begin" w:fldLock="1"/>
      </w:r>
      <w:r w:rsidR="00017153" w:rsidRPr="00194419">
        <w:instrText>ADDIN CSL_CITATION {"citationItems":[{"id":"ITEM-1","itemData":{"ISBN":"92–0–1000805–8","author":[{"dropping-particle":"","family":"IAEA","given":"","non-dropping-particle":"","parse-names":false,"suffix":""}],"container-title":"International Atomic Energy Agency","id":"ITEM-1","issued":{"date-parts":[["2006"]]},"number-of-pages":"277","publisher":"International Atomic Energy Agency","publisher-place":"Vienna","title":"Use of Chlorofluorocarbons in Hydrology: a guidebook","type":"book"},"uris":["http://www.mendeley.com/documents/?uuid=dd336da0-f2c1-4e60-bbee-79680a62762b"]}],"mendeley":{"formattedCitation":"(IAEA, 2006)","manualFormatting":"(2006)","plainTextFormattedCitation":"(IAEA, 2006)","previouslyFormattedCitation":"(IAEA, 2006)"},"properties":{"noteIndex":0},"schema":"https://github.com/citation-style-language/schema/raw/master/csl-citation.json"}</w:instrText>
      </w:r>
      <w:r w:rsidR="00017153" w:rsidRPr="00194419">
        <w:fldChar w:fldCharType="separate"/>
      </w:r>
      <w:r w:rsidR="00017153" w:rsidRPr="00194419">
        <w:rPr>
          <w:noProof/>
        </w:rPr>
        <w:t>(2006)</w:t>
      </w:r>
      <w:r w:rsidR="00017153" w:rsidRPr="00194419">
        <w:fldChar w:fldCharType="end"/>
      </w:r>
      <w:r w:rsidR="00C77917" w:rsidRPr="00194419">
        <w:t xml:space="preserve">, Darling </w:t>
      </w:r>
      <w:r w:rsidR="00C77917" w:rsidRPr="00194419">
        <w:rPr>
          <w:i/>
        </w:rPr>
        <w:t>et al</w:t>
      </w:r>
      <w:r w:rsidR="00C77917" w:rsidRPr="00194419">
        <w:t xml:space="preserve">. </w:t>
      </w:r>
      <w:r w:rsidR="00017153" w:rsidRPr="00194419">
        <w:fldChar w:fldCharType="begin" w:fldLock="1"/>
      </w:r>
      <w:r w:rsidR="00C33D1B" w:rsidRPr="00194419">
        <w:instrText>ADDIN CSL_CITATION {"citationItems":[{"id":"ITEM-1","itemData":{"DOI":"10.1016/j.apgeochem.2012.02.005","ISBN":"0883-2927","ISSN":"08832927","abstract":"Knowledge of groundwater residence time is important in understanding key issues in the evolution of water quality, whether this occurs due to water-rock interaction or simply by mixing or contamination. The build-up in the atmosphere of the trace gases chlorofluorocarbons (CFCs) and sulphur hexafluoride (SF 6) from the middle of the last century offers a convenient way of dating waters up to ~60a old. The gases are well-mixed in the atmosphere so their input functions are not area-specific as is the case with 3H. While any one of these trace gases can in principle provide a groundwater age, when two or more are measured on water samples the potential exists to distinguish between different modes of flow including piston flow, exponential flow and simple end-member mixing. As with all groundwater dating methods, caveats apply. Factors such as recharge temperature and elevation must be reasonably well-constrained. Primarily for SF 6, the phenomenon of 'excess air' also requires consideration. Primarily for the CFCs, local sources of contamination need to be considered, as do redox conditions. For both SF 6 and the CFCs, the nature and thickness of the unsaturated zone need to be factored into residence time calculations. However, as an inexpensive dating method, the trace gases can be applied to a wide range of groundwater problems where traditional age indicators might once have been used more sparingly. Examples include tracing flowlines, detecting small modern inputs in 'old' waters, and pollution risk assessment. In the future, with the main CFCs already declining in the atmosphere, new anthropogenic trace gases are likely to take their place. © 2012 Elsevier Ltd.","author":[{"dropping-particle":"","family":"Darling","given":"W. G.","non-dropping-particle":"","parse-names":false,"suffix":""},{"dropping-particle":"","family":"Gooddy","given":"D. C.","non-dropping-particle":"","parse-names":false,"suffix":""},{"dropping-particle":"","family":"MacDonald","given":"A. M.","non-dropping-particle":"","parse-names":false,"suffix":""},{"dropping-particle":"","family":"Morris","given":"B. L.","non-dropping-particle":"","parse-names":false,"suffix":""}],"container-title":"Applied Geochemistry","id":"ITEM-1","issue":"9","issued":{"date-parts":[["2012"]]},"page":"1688-1697","title":"The practicalities of using CFCs and SF&lt;sub&gt;6&lt;/sub&gt; for groundwater dating and tracing","type":"article-journal","volume":"27"},"uris":["http://www.mendeley.com/documents/?uuid=11a66372-7e9f-4dc0-ad6d-4bc16d83e7e1"]}],"mendeley":{"formattedCitation":"(Darling et al., 2012)","manualFormatting":"(2012)","plainTextFormattedCitation":"(Darling et al., 2012)","previouslyFormattedCitation":"(Darling et al., 2012)"},"properties":{"noteIndex":0},"schema":"https://github.com/citation-style-language/schema/raw/master/csl-citation.json"}</w:instrText>
      </w:r>
      <w:r w:rsidR="00017153" w:rsidRPr="00194419">
        <w:fldChar w:fldCharType="separate"/>
      </w:r>
      <w:r w:rsidR="00017153" w:rsidRPr="00194419">
        <w:rPr>
          <w:noProof/>
        </w:rPr>
        <w:t>(2012)</w:t>
      </w:r>
      <w:r w:rsidR="00017153" w:rsidRPr="00194419">
        <w:fldChar w:fldCharType="end"/>
      </w:r>
      <w:r w:rsidR="00C77917" w:rsidRPr="00194419">
        <w:t xml:space="preserve"> and Chambers </w:t>
      </w:r>
      <w:r w:rsidR="00C77917" w:rsidRPr="00194419">
        <w:rPr>
          <w:i/>
        </w:rPr>
        <w:t>et al</w:t>
      </w:r>
      <w:r w:rsidR="00C77917" w:rsidRPr="00194419">
        <w:t xml:space="preserve">. </w:t>
      </w:r>
      <w:r w:rsidR="00017153" w:rsidRPr="00194419">
        <w:fldChar w:fldCharType="begin" w:fldLock="1"/>
      </w:r>
      <w:r w:rsidR="00C33D1B" w:rsidRPr="00194419">
        <w:instrText xml:space="preserve">ADDIN CSL_CITATION {"citationItems":[{"id":"ITEM-1","itemData":{"DOI":"10.1016/j.gsf.2018.02.017","ISSN":"16749871","abstract":"Groundwater residence time is a fundamental property of groundwater to understand important hydrogeological issues, such as deriving sustainable abstraction volumes, or, the evolution of groundwater quality. The anthropogenic trace gases chlorofluorocarbons (CFC-11, CFC-12 and CFC-113) and sulphur hexafluoride (SF6) are ideal in this regard because they have been released globally at known rates and become dissolved in groundwater following Henry's Law, integrating over large spatial (global) and temporal (decades) scales. The CFCs and SF6are able to date groundwater up to </w:instrText>
      </w:r>
      <w:r w:rsidR="00C33D1B" w:rsidRPr="00194419">
        <w:rPr>
          <w:rFonts w:ascii="Cambria Math" w:hAnsi="Cambria Math" w:cs="Cambria Math"/>
        </w:rPr>
        <w:instrText>∼</w:instrText>
      </w:r>
      <w:r w:rsidR="00C33D1B" w:rsidRPr="00194419">
        <w:instrText>100 years old with the caveat of certain simplifying assumptions. However, the inversion of environmental tracer concentrations (CFCs and SF6) to derive groundwater age rests on the accurate determination of groundwater recharge parameters, namely temperature, elevation, salinity and excess air, in addition to resolving the potential for contamination, degradation and unsaturated zone effects. This review explores the fundamentals of CFC-11, CFC-12, CFC-113 and SF6as environmental tracers of groundwater age and recommends complementary techniques throughout. Once this relatively simple and inexpensive technique has been used to determine initial concentrations at the recharge zone, setting the groundwater dating ‘clock’ to zero, this review then explores the meaning of groundwater ‘age’ in relation to measured environmental tracer concentrations. It is shown that the CFCs and SF6may be applied to a wide-range of hydrogeological problems and suggests that environmental tracers are particularly powerful tools when integrated with numerical flow and transport models.","author":[{"dropping-particle":"","family":"Chambers","given":"L. A.","non-dropping-particle":"","parse-names":false,"suffix":""},{"dropping-particle":"","family":"Gooddy","given":"D. C.","non-dropping-particle":"","parse-names":false,"suffix":""},{"dropping-particle":"","family":"Binley","given":"A. M.","non-dropping-particle":"","parse-names":false,"suffix":""}],"container-title":"Geoscience Frontiers","id":"ITEM-1","issued":{"date-parts":[["2018"]]},"page":"1-10","publisher":"Elsevier Ltd","title":"Use and application of CFC-11, CFC-12, CFC-113 and SF&lt;sub&gt;6&lt;/sub&gt; as environmental tracers of groundwater residence time: A review","type":"article-journal"},"uris":["http://www.mendeley.com/documents/?uuid=8ee12561-fb27-490b-8733-13136eebaf4e"]}],"mendeley":{"formattedCitation":"(Chambers et al., 2018)","manualFormatting":"(2018)","plainTextFormattedCitation":"(Chambers et al., 2018)","previouslyFormattedCitation":"(Chambers et al., 2018)"},"properties":{"noteIndex":0},"schema":"https://github.com/citation-style-language/schema/raw/master/csl-citation.json"}</w:instrText>
      </w:r>
      <w:r w:rsidR="00017153" w:rsidRPr="00194419">
        <w:fldChar w:fldCharType="separate"/>
      </w:r>
      <w:r w:rsidR="00017153" w:rsidRPr="00194419">
        <w:rPr>
          <w:noProof/>
        </w:rPr>
        <w:t>(2018)</w:t>
      </w:r>
      <w:r w:rsidR="00017153" w:rsidRPr="00194419">
        <w:fldChar w:fldCharType="end"/>
      </w:r>
      <w:r w:rsidR="00C77917" w:rsidRPr="00194419">
        <w:t>.</w:t>
      </w:r>
    </w:p>
    <w:p w14:paraId="4A84AA24" w14:textId="77777777" w:rsidR="006F2E9E" w:rsidRPr="00194419" w:rsidRDefault="006F2E9E" w:rsidP="008A3630">
      <w:pPr>
        <w:pStyle w:val="Prrafodelista"/>
        <w:numPr>
          <w:ilvl w:val="1"/>
          <w:numId w:val="1"/>
        </w:numPr>
        <w:spacing w:line="480" w:lineRule="auto"/>
        <w:ind w:left="788" w:hanging="431"/>
        <w:rPr>
          <w:b/>
        </w:rPr>
      </w:pPr>
      <w:r w:rsidRPr="00194419">
        <w:rPr>
          <w:b/>
          <w:noProof/>
        </w:rPr>
        <w:t>Measurement</w:t>
      </w:r>
      <w:r w:rsidRPr="00194419">
        <w:rPr>
          <w:b/>
        </w:rPr>
        <w:t xml:space="preserve"> and sampling procedures </w:t>
      </w:r>
    </w:p>
    <w:p w14:paraId="5E800B8E" w14:textId="3F95858E" w:rsidR="00736E4F" w:rsidRPr="00194419" w:rsidRDefault="00D57AB6" w:rsidP="008A3630">
      <w:pPr>
        <w:pStyle w:val="Prrafodelista"/>
        <w:spacing w:line="480" w:lineRule="auto"/>
        <w:ind w:left="0"/>
      </w:pPr>
      <w:r w:rsidRPr="00194419">
        <w:t>During four years</w:t>
      </w:r>
      <w:r w:rsidR="00736E4F" w:rsidRPr="00194419">
        <w:t xml:space="preserve"> </w:t>
      </w:r>
      <w:r w:rsidRPr="00194419">
        <w:t>(September 2013-</w:t>
      </w:r>
      <w:r w:rsidR="001B6FA2" w:rsidRPr="00194419">
        <w:t>September</w:t>
      </w:r>
      <w:r w:rsidR="00736E4F" w:rsidRPr="00194419">
        <w:t xml:space="preserve"> 201</w:t>
      </w:r>
      <w:r w:rsidR="001B6FA2" w:rsidRPr="00194419">
        <w:t>7</w:t>
      </w:r>
      <w:r w:rsidRPr="00194419">
        <w:t>)</w:t>
      </w:r>
      <w:r w:rsidR="00736E4F" w:rsidRPr="00194419">
        <w:t xml:space="preserve">, field campaigns </w:t>
      </w:r>
      <w:r w:rsidR="004915E1" w:rsidRPr="00194419">
        <w:t xml:space="preserve">for the physicochemical monitoring </w:t>
      </w:r>
      <w:r w:rsidR="00736E4F" w:rsidRPr="00194419">
        <w:t xml:space="preserve">were carried out in </w:t>
      </w:r>
      <w:r w:rsidR="001B6FA2" w:rsidRPr="00194419">
        <w:t xml:space="preserve">the </w:t>
      </w:r>
      <w:r w:rsidR="006266DD" w:rsidRPr="00194419">
        <w:t xml:space="preserve">four </w:t>
      </w:r>
      <w:r w:rsidR="007170AB" w:rsidRPr="00194419">
        <w:t xml:space="preserve">study </w:t>
      </w:r>
      <w:r w:rsidR="00736E4F" w:rsidRPr="00194419">
        <w:t>area</w:t>
      </w:r>
      <w:r w:rsidR="001B6FA2" w:rsidRPr="00194419">
        <w:t>s</w:t>
      </w:r>
      <w:r w:rsidR="00736E4F" w:rsidRPr="00194419">
        <w:t xml:space="preserve">. </w:t>
      </w:r>
      <w:r w:rsidR="00C076A8" w:rsidRPr="00194419">
        <w:rPr>
          <w:i/>
        </w:rPr>
        <w:t>In situ</w:t>
      </w:r>
      <w:r w:rsidR="00C076A8" w:rsidRPr="00194419">
        <w:t xml:space="preserve"> measurements of e</w:t>
      </w:r>
      <w:r w:rsidR="00736E4F" w:rsidRPr="00194419">
        <w:t xml:space="preserve">lectrical conductivity </w:t>
      </w:r>
      <w:r w:rsidR="007170AB" w:rsidRPr="00194419">
        <w:t>–</w:t>
      </w:r>
      <w:r w:rsidR="00736E4F" w:rsidRPr="00194419">
        <w:t>EC</w:t>
      </w:r>
      <w:r w:rsidR="007170AB" w:rsidRPr="00194419">
        <w:noBreakHyphen/>
      </w:r>
      <w:r w:rsidR="00736E4F" w:rsidRPr="00194419">
        <w:t xml:space="preserve"> and water temperature (WTW</w:t>
      </w:r>
      <w:r w:rsidR="002D2310" w:rsidRPr="00194419">
        <w:t>®</w:t>
      </w:r>
      <w:r w:rsidR="00736E4F" w:rsidRPr="00194419">
        <w:t xml:space="preserve"> conductivimeter-thermometer 3310) were </w:t>
      </w:r>
      <w:r w:rsidR="00E20716" w:rsidRPr="00194419">
        <w:t>performed</w:t>
      </w:r>
      <w:r w:rsidR="001B6FA2" w:rsidRPr="00194419">
        <w:t xml:space="preserve"> in the</w:t>
      </w:r>
      <w:r w:rsidR="007170AB" w:rsidRPr="00194419">
        <w:t xml:space="preserve"> main</w:t>
      </w:r>
      <w:r w:rsidR="001B6FA2" w:rsidRPr="00194419">
        <w:t xml:space="preserve"> springs, and water samples were </w:t>
      </w:r>
      <w:r w:rsidR="00C076A8" w:rsidRPr="00194419">
        <w:t>collected</w:t>
      </w:r>
      <w:r w:rsidR="001B6FA2" w:rsidRPr="00194419">
        <w:t xml:space="preserve"> for subsequent major ion determination</w:t>
      </w:r>
      <w:r w:rsidR="002D2310" w:rsidRPr="00194419">
        <w:t>. Flow rate measurement</w:t>
      </w:r>
      <w:r w:rsidR="008605A9" w:rsidRPr="00194419">
        <w:t>s</w:t>
      </w:r>
      <w:r w:rsidR="002D2310" w:rsidRPr="00194419">
        <w:t xml:space="preserve"> were also made in most of the outlets (OTT</w:t>
      </w:r>
      <w:r w:rsidR="002D2310" w:rsidRPr="00194419">
        <w:rPr>
          <w:vertAlign w:val="superscript"/>
        </w:rPr>
        <w:t>®</w:t>
      </w:r>
      <w:r w:rsidR="002D2310" w:rsidRPr="00194419">
        <w:t xml:space="preserve"> C2 flow meter)</w:t>
      </w:r>
      <w:r w:rsidR="001B6FA2" w:rsidRPr="00194419">
        <w:t>.</w:t>
      </w:r>
      <w:r w:rsidR="00736E4F" w:rsidRPr="00194419">
        <w:t xml:space="preserve"> Data accuracy </w:t>
      </w:r>
      <w:r w:rsidR="00E20716" w:rsidRPr="00194419">
        <w:t xml:space="preserve">was </w:t>
      </w:r>
      <w:r w:rsidR="00736E4F" w:rsidRPr="00194419">
        <w:t xml:space="preserve">±1 </w:t>
      </w:r>
      <w:r w:rsidR="00736E4F" w:rsidRPr="00194419">
        <w:rPr>
          <w:rFonts w:ascii="Calibri" w:hAnsi="Calibri"/>
        </w:rPr>
        <w:t>μ</w:t>
      </w:r>
      <w:r w:rsidR="00736E4F" w:rsidRPr="00194419">
        <w:t>S/cm for EC</w:t>
      </w:r>
      <w:r w:rsidR="002D2310" w:rsidRPr="00194419">
        <w:t>,</w:t>
      </w:r>
      <w:r w:rsidR="00736E4F" w:rsidRPr="00194419">
        <w:t xml:space="preserve"> ±0.1ºC for</w:t>
      </w:r>
      <w:r w:rsidR="00C076A8" w:rsidRPr="00194419">
        <w:t xml:space="preserve"> temperature</w:t>
      </w:r>
      <w:r w:rsidR="002D2310" w:rsidRPr="00194419">
        <w:t>, and ±10% for flow rate.</w:t>
      </w:r>
      <w:r w:rsidR="00736E4F" w:rsidRPr="00194419">
        <w:t xml:space="preserve"> Sampling</w:t>
      </w:r>
      <w:r w:rsidR="001B6FA2" w:rsidRPr="00194419">
        <w:t xml:space="preserve"> and measurement</w:t>
      </w:r>
      <w:r w:rsidR="00736E4F" w:rsidRPr="00194419">
        <w:t xml:space="preserve"> </w:t>
      </w:r>
      <w:r w:rsidR="006266DD" w:rsidRPr="00194419">
        <w:t xml:space="preserve">periodicities </w:t>
      </w:r>
      <w:r w:rsidR="001B6FA2" w:rsidRPr="00194419">
        <w:t xml:space="preserve">varied from daily to </w:t>
      </w:r>
      <w:r w:rsidR="00736E4F" w:rsidRPr="00194419">
        <w:t>monthly</w:t>
      </w:r>
      <w:r w:rsidR="001B6FA2" w:rsidRPr="00194419">
        <w:t xml:space="preserve">, depending on the hydrodynamic conditions. Additionally, some samples were </w:t>
      </w:r>
      <w:r w:rsidR="00C076A8" w:rsidRPr="00194419">
        <w:t>taken</w:t>
      </w:r>
      <w:r w:rsidR="001B6FA2" w:rsidRPr="00194419">
        <w:t xml:space="preserve"> for groundwater dating </w:t>
      </w:r>
      <w:r w:rsidR="006266DD" w:rsidRPr="00194419">
        <w:t>purposes</w:t>
      </w:r>
      <w:r w:rsidR="00C076A8" w:rsidRPr="00194419">
        <w:t xml:space="preserve">. </w:t>
      </w:r>
      <w:r w:rsidR="00C076A8" w:rsidRPr="00194419">
        <w:rPr>
          <w:vertAlign w:val="superscript"/>
        </w:rPr>
        <w:t>3</w:t>
      </w:r>
      <w:r w:rsidR="00C076A8" w:rsidRPr="00194419">
        <w:t xml:space="preserve">H </w:t>
      </w:r>
      <w:r w:rsidR="00B70E75" w:rsidRPr="00194419">
        <w:t xml:space="preserve">and He isotopes </w:t>
      </w:r>
      <w:r w:rsidR="00C749B2" w:rsidRPr="00194419">
        <w:t>s</w:t>
      </w:r>
      <w:r w:rsidR="00C076A8" w:rsidRPr="00194419">
        <w:t xml:space="preserve">ampling was </w:t>
      </w:r>
      <w:r w:rsidR="007170AB" w:rsidRPr="00194419">
        <w:t xml:space="preserve">mainly </w:t>
      </w:r>
      <w:r w:rsidR="00C076A8" w:rsidRPr="00194419">
        <w:t>performed during three campaigns: September 2014, towards the end of the dry period of the 2013/14 hydrogeological year; one month later (October 2014), after the first precipitation episodes of 2014/15; and summer 2015 (July-September). Additionally, two other samples we</w:t>
      </w:r>
      <w:r w:rsidR="007170AB" w:rsidRPr="00194419">
        <w:t>re taken in Anzur Bajo Spring (</w:t>
      </w:r>
      <w:r w:rsidR="00C076A8" w:rsidRPr="00194419">
        <w:t xml:space="preserve">J1) during two </w:t>
      </w:r>
      <w:r w:rsidR="00801AF1" w:rsidRPr="00194419">
        <w:rPr>
          <w:noProof/>
        </w:rPr>
        <w:t>flooding periods</w:t>
      </w:r>
      <w:r w:rsidR="00E20716" w:rsidRPr="00194419">
        <w:rPr>
          <w:noProof/>
        </w:rPr>
        <w:t>:</w:t>
      </w:r>
      <w:r w:rsidR="00C076A8" w:rsidRPr="00194419">
        <w:t xml:space="preserve"> April 5, </w:t>
      </w:r>
      <w:r w:rsidR="00C076A8" w:rsidRPr="00194419">
        <w:rPr>
          <w:noProof/>
        </w:rPr>
        <w:t>2016</w:t>
      </w:r>
      <w:r w:rsidR="00801AF1" w:rsidRPr="00194419">
        <w:rPr>
          <w:noProof/>
        </w:rPr>
        <w:t>,</w:t>
      </w:r>
      <w:r w:rsidR="00E20716" w:rsidRPr="00194419">
        <w:t xml:space="preserve"> and </w:t>
      </w:r>
      <w:r w:rsidR="00E20716" w:rsidRPr="00194419">
        <w:lastRenderedPageBreak/>
        <w:t>December 11, 2016</w:t>
      </w:r>
      <w:r w:rsidR="00C076A8" w:rsidRPr="00194419">
        <w:t>.</w:t>
      </w:r>
      <w:r w:rsidR="00FB2B5C" w:rsidRPr="00194419">
        <w:t xml:space="preserve"> Samples for noble gases were also taken </w:t>
      </w:r>
      <w:r w:rsidR="00066CF7" w:rsidRPr="00194419">
        <w:t xml:space="preserve">(with duplicates) </w:t>
      </w:r>
      <w:r w:rsidR="00FB2B5C" w:rsidRPr="00194419">
        <w:t>in the mentioned campaigns except</w:t>
      </w:r>
      <w:r w:rsidR="007170AB" w:rsidRPr="00194419">
        <w:t>ing</w:t>
      </w:r>
      <w:r w:rsidR="00FB2B5C" w:rsidRPr="00194419">
        <w:t xml:space="preserve"> the first one. Sampling for CFC-12 analysis was</w:t>
      </w:r>
      <w:r w:rsidR="00E20716" w:rsidRPr="00194419">
        <w:t xml:space="preserve"> mainly</w:t>
      </w:r>
      <w:r w:rsidR="00FB2B5C" w:rsidRPr="00194419">
        <w:t xml:space="preserve"> carried out between April and June 2016, although one sample was previously collected (April 2015).</w:t>
      </w:r>
    </w:p>
    <w:p w14:paraId="714836AD" w14:textId="3B9C5072" w:rsidR="00736E4F" w:rsidRPr="00194419" w:rsidRDefault="007170AB" w:rsidP="008A3630">
      <w:pPr>
        <w:pStyle w:val="Prrafodelista"/>
        <w:spacing w:line="480" w:lineRule="auto"/>
        <w:ind w:left="0"/>
      </w:pPr>
      <w:r w:rsidRPr="00194419">
        <w:t>Samples for m</w:t>
      </w:r>
      <w:r w:rsidR="00736E4F" w:rsidRPr="00194419">
        <w:t xml:space="preserve">ajor </w:t>
      </w:r>
      <w:r w:rsidR="002D2310" w:rsidRPr="00194419">
        <w:t>components</w:t>
      </w:r>
      <w:r w:rsidR="00736E4F" w:rsidRPr="00194419">
        <w:t xml:space="preserve"> and tritium analysis were directly </w:t>
      </w:r>
      <w:r w:rsidR="00C076A8" w:rsidRPr="00194419">
        <w:t>taken</w:t>
      </w:r>
      <w:r w:rsidR="00736E4F" w:rsidRPr="00194419">
        <w:t xml:space="preserve"> in 125 ml amber glass bottles and 1l PET bottles, respectively. For </w:t>
      </w:r>
      <w:r w:rsidR="00B70E75" w:rsidRPr="00194419">
        <w:t>He and Ne</w:t>
      </w:r>
      <w:r w:rsidR="00736E4F" w:rsidRPr="00194419">
        <w:t xml:space="preserve"> determination, spring water was </w:t>
      </w:r>
      <w:r w:rsidR="00117611">
        <w:t xml:space="preserve">collected </w:t>
      </w:r>
      <w:r w:rsidR="00117611" w:rsidRPr="00194419">
        <w:t>into duplicate clamped-off copper cylinders</w:t>
      </w:r>
      <w:r w:rsidR="00117611">
        <w:t xml:space="preserve"> </w:t>
      </w:r>
      <w:r w:rsidR="00117611" w:rsidRPr="00194419">
        <w:t>through a transparent tube</w:t>
      </w:r>
      <w:r w:rsidR="00117611">
        <w:t>, using</w:t>
      </w:r>
      <w:r w:rsidR="00117611" w:rsidRPr="00194419">
        <w:t xml:space="preserve"> </w:t>
      </w:r>
      <w:r w:rsidR="00736E4F" w:rsidRPr="00194419">
        <w:t xml:space="preserve">a 12v submersible pump (WATERRA Tempest) , following the protocol of Bremen University </w:t>
      </w:r>
      <w:r w:rsidR="004A533A" w:rsidRPr="00194419">
        <w:fldChar w:fldCharType="begin" w:fldLock="1"/>
      </w:r>
      <w:r w:rsidR="00E11C2E">
        <w:instrText>ADDIN CSL_CITATION {"citationItems":[{"id":"ITEM-1","itemData":{"DOI":"10.1007/s10040-010-0663-4","author":[{"dropping-particle":"","family":"Sültenfuss","given":"Jürgen","non-dropping-particle":"","parse-names":false,"suffix":""},{"dropping-particle":"","family":"Purtschert","given":"Roland","non-dropping-particle":"","parse-names":false,"suffix":""},{"dropping-particle":"","family":"Führböter","given":"Jens F","non-dropping-particle":"","parse-names":false,"suffix":""}],"container-title":"Hydrogeology Journal","id":"ITEM-1","issued":{"date-parts":[["2011"]]},"page":"221-236","title":"Age structure and recharge conditions of a coastal aquifer ( northern Germany ) investigated with &lt;sup&gt;39&lt;/sup&gt;Ar, &lt;sup&gt;14&lt;/sup&gt;C, &lt;sup&gt;3&lt;/sup&gt;H, He isotopes and Ne","type":"article-journal","volume":"19"},"uris":["http://www.mendeley.com/documents/?uuid=ae9362a1-8110-4d26-8363-278532b866b3"]},{"id":"ITEM-2","itemData":{"DOI":"10.1002/2013WR014012","ISBN":"1944-7973","ISSN":"00431397","abstract":"Groundwater age is a key aspect of production well vulnerability. Public drinking water supply wells typically have long screens and are expected to produce a mixture of groundwater ages. The groundwater age distributions of seven production wells of the Holten well field (Netherlands) were estimated from tritium-helium (3H/3He), krypton-85 (85Kr), and argon-39 (39Ar), using a new application of a discrete age distribution model and existing mathematical models, by minimizing the uncertainty-weighted squared differences of modeled and measured tracer concentrations. The observed tracer concentrations fitted well to a 4-bin discrete age distribution model or a dispersion model with a fraction of old groundwater. Our results show that more than 75% of the water pumped by four shallow production wells has a groundwater age of less than 20 years and these wells are very vulnerable to recent surface contamination. More than 50% of the water pumped by three deep production wells is older than 60 years. 3H/3He samples from short screened monitoring wells surrounding the well field constrained the age stratification in the aquifer. The discrepancy between the age stratification with depth and the groundwater age distribution of the production wells showed that the well field preferentially pumps from the shallow part of the aquifer. The discrete groundwater age distribution model appears to be a suitable approach in settings where the shape of the age distribution cannot be assumed to follow a simple mathematical model, such as a production well field where wells compete for capture area.","author":[{"dropping-particle":"","family":"Visser","given":"Ate","non-dropping-particle":"","parse-names":false,"suffix":""},{"dropping-particle":"","family":"Broers","given":"Hans Peter","non-dropping-particle":"","parse-names":false,"suffix":""},{"dropping-particle":"","family":"Purtschert","given":"Roland","non-dropping-particle":"","parse-names":false,"suffix":""},{"dropping-particle":"","family":"Sültenfuß","given":"Jürgen","non-dropping-particle":"","parse-names":false,"suffix":""},{"dropping-particle":"","family":"Jonge","given":"Martin","non-dropping-particle":"de","parse-names":false,"suffix":""}],"container-title":"Water Resources Research","id":"ITEM-2","issue":"11","issued":{"date-parts":[["2013","11"]]},"page":"7778-7796","title":"Groundwater age distributions at a public drinking water supply well field derived from multiple age tracers (&lt;sup&gt;85&lt;/sup&gt;Kr, &lt;sup&gt;3&lt;/sup&gt;H/&lt;sup&gt;3&lt;/sup&gt;He, and &lt;sup&gt;39&lt;/sup&gt;Ar)","type":"article-journal","volume":"49"},"uris":["http://www.mendeley.com/documents/?uuid=69f51588-f06d-463e-92ec-1bc1d5bab382"]}],"mendeley":{"formattedCitation":"(Sültenfuss et al., 2011; Visser et al., 2013)","plainTextFormattedCitation":"(Sültenfuss et al., 2011; Visser et al., 2013)","previouslyFormattedCitation":"(Sültenfuss et al., 2011; Visser et al., 2013)"},"properties":{"noteIndex":0},"schema":"https://github.com/citation-style-language/schema/raw/master/csl-citation.json"}</w:instrText>
      </w:r>
      <w:r w:rsidR="004A533A" w:rsidRPr="00194419">
        <w:fldChar w:fldCharType="separate"/>
      </w:r>
      <w:r w:rsidR="004A533A" w:rsidRPr="00194419">
        <w:rPr>
          <w:noProof/>
        </w:rPr>
        <w:t>(Sültenfuss et al., 2011; Visser et al., 2013)</w:t>
      </w:r>
      <w:r w:rsidR="004A533A" w:rsidRPr="00194419">
        <w:fldChar w:fldCharType="end"/>
      </w:r>
      <w:r w:rsidR="00736E4F" w:rsidRPr="00194419">
        <w:t>. Samples for CFC</w:t>
      </w:r>
      <w:r w:rsidR="00A8232E" w:rsidRPr="00194419">
        <w:t xml:space="preserve"> and SF</w:t>
      </w:r>
      <w:r w:rsidR="00A8232E" w:rsidRPr="00194419">
        <w:rPr>
          <w:vertAlign w:val="subscript"/>
        </w:rPr>
        <w:t>6</w:t>
      </w:r>
      <w:r w:rsidR="00736E4F" w:rsidRPr="00194419">
        <w:t xml:space="preserve"> analysis were collected in 500 ml steel ampoules</w:t>
      </w:r>
      <w:r w:rsidR="00DD3AF9" w:rsidRPr="00194419">
        <w:t>, similar to th</w:t>
      </w:r>
      <w:r w:rsidR="00DD3AF9">
        <w:t xml:space="preserve">ose described </w:t>
      </w:r>
      <w:r w:rsidR="00DD3AF9" w:rsidRPr="00194419">
        <w:t xml:space="preserve">by Jaunat </w:t>
      </w:r>
      <w:r w:rsidR="00DD3AF9" w:rsidRPr="00194419">
        <w:rPr>
          <w:i/>
        </w:rPr>
        <w:t>et al</w:t>
      </w:r>
      <w:r w:rsidR="00DD3AF9" w:rsidRPr="00194419">
        <w:t xml:space="preserve">. </w:t>
      </w:r>
      <w:r w:rsidR="00DD3AF9" w:rsidRPr="00194419">
        <w:fldChar w:fldCharType="begin" w:fldLock="1"/>
      </w:r>
      <w:r w:rsidR="00DD3AF9" w:rsidRPr="00194419">
        <w:instrText>ADDIN CSL_CITATION {"citationItems":[{"id":"ITEM-1","itemData":{"DOI":"10.1016/j.apgeochem.2012.06.009","ISBN":"0883-2927","ISSN":"08832927","abstract":"The Northern Basque Country (Southwestern France) is subject to a constant need of increasing water due to a rising population. The fissured aquifer of the Ursuya Mount is one of the main water supplies able to meet these needs. Unfortunately, there is a lack of knowledge on the residence time of groundwater and flow pattern in this strategic resource. Geochemical monitoring of groundwater was carried out from 2009 to 2011 in conjunction with CFC-SF6measurement and with a detailed geological field characterization. It appears that groundwater flows and water geochemistry are conditioned by the development of a weathered layer overlying the fissured aquifer. When the weathered layer is absent, groundwater flows take place in unconfined conditions along fractures and fissures. The rapid circulation (mean residence time between 11 and 15a) and the low solubility of the matrix generates low mineralization (mean about 61μScm-1). When a weathered layer is present, the flow depends on the degree of weathering, with groundwater circulating in the deep fissured zone in the case of a high degree of weathering. The apparent age is then between 10 and 42a and the mineralization tends to increase concomitantly with the residence time, and particularly terrigenic element concentrations. In the case of a lesser degree of weathering, mixing between recent water from the shallow weathered layer and the oldest water (25 to &gt;50a) from the underlying fissured aquifer is observed. These results allow the definition of a conceptual model of flow characteristics in the study area which is also applicable to other weathered-fractured systems worldwide. © 2012 Elsevier Ltd.","author":[{"dropping-particle":"","family":"Jaunat","given":"J.","non-dropping-particle":"","parse-names":false,"suffix":""},{"dropping-particle":"","family":"Huneau","given":"F.","non-dropping-particle":"","parse-names":false,"suffix":""},{"dropping-particle":"","family":"Dupuy","given":"A.","non-dropping-particle":"","parse-names":false,"suffix":""},{"dropping-particle":"","family":"Celle-Jeanton","given":"H.","non-dropping-particle":"","parse-names":false,"suffix":""},{"dropping-particle":"","family":"Vergnaud-Ayraud","given":"V.","non-dropping-particle":"","parse-names":false,"suffix":""},{"dropping-particle":"","family":"Aquilina","given":"L.","non-dropping-particle":"","parse-names":false,"suffix":""},{"dropping-particle":"","family":"Labasque","given":"T.","non-dropping-particle":"","parse-names":false,"suffix":""},{"dropping-particle":"","family":"Coustumer","given":"P.","non-dropping-particle":"Le","parse-names":false,"suffix":""}],"container-title":"Applied Geochemistry","id":"ITEM-1","issue":"10","issued":{"date-parts":[["2012"]]},"page":"2053-2067","publisher":"Elsevier Ltd","title":"Hydrochemical data and groundwater dating to infer differential flowpaths through weathered profiles of a fractured aquifer","type":"article-journal","volume":"27"},"uris":["http://www.mendeley.com/documents/?uuid=41ec1a95-2e9c-4501-a4f4-317902380858"]}],"mendeley":{"formattedCitation":"(Jaunat et al., 2012)","manualFormatting":"(2012)","plainTextFormattedCitation":"(Jaunat et al., 2012)","previouslyFormattedCitation":"(Jaunat et al., 2012)"},"properties":{"noteIndex":0},"schema":"https://github.com/citation-style-language/schema/raw/master/csl-citation.json"}</w:instrText>
      </w:r>
      <w:r w:rsidR="00DD3AF9" w:rsidRPr="00194419">
        <w:fldChar w:fldCharType="separate"/>
      </w:r>
      <w:r w:rsidR="00DD3AF9" w:rsidRPr="00194419">
        <w:rPr>
          <w:noProof/>
        </w:rPr>
        <w:t>(2012)</w:t>
      </w:r>
      <w:r w:rsidR="00DD3AF9" w:rsidRPr="00194419">
        <w:fldChar w:fldCharType="end"/>
      </w:r>
      <w:r w:rsidR="00DD3AF9" w:rsidRPr="00194419">
        <w:t xml:space="preserve"> and LaBasque </w:t>
      </w:r>
      <w:r w:rsidR="00DD3AF9" w:rsidRPr="00194419">
        <w:rPr>
          <w:i/>
        </w:rPr>
        <w:t>et al</w:t>
      </w:r>
      <w:r w:rsidR="00DD3AF9" w:rsidRPr="00194419">
        <w:t xml:space="preserve">. </w:t>
      </w:r>
      <w:r w:rsidR="00DD3AF9" w:rsidRPr="00194419">
        <w:fldChar w:fldCharType="begin" w:fldLock="1"/>
      </w:r>
      <w:r w:rsidR="00DD3AF9" w:rsidRPr="00194419">
        <w:instrText>ADDIN CSL_CITATION {"citationItems":[{"id":"ITEM-1","itemData":{"DOI":"10.1016/j.apgeochem.2013.11.007","ISSN":"08832927","author":[{"dropping-particle":"","family":"Labasque","given":"T.","non-dropping-particle":"","parse-names":false,"suffix":""},{"dropping-particle":"","family":"Aquilina","given":"L.","non-dropping-particle":"","parse-names":false,"suffix":""},{"dropping-particle":"","family":"Vergnaud","given":"V.","non-dropping-particle":"","parse-names":false,"suffix":""},{"dropping-particle":"","family":"Hochreutener","given":"R.","non-dropping-particle":"","parse-names":false,"suffix":""},{"dropping-particle":"","family":"Barbecot","given":"F.","non-dropping-particle":"","parse-names":false,"suffix":""},{"dropping-particle":"","family":"Casile","given":"G.","non-dropping-particle":"","parse-names":false,"suffix":""}],"container-title":"Applied Geochemistry","id":"ITEM-1","issued":{"date-parts":[["2014","1"]]},"page":"119-125","publisher":"Elsevier Ltd","title":"Inter-comparison exercises on dissolved gases for groundwater dating – (1) Goals of the exercise and site choice, validation of the sampling strategy","type":"article-journal","volume":"40"},"uris":["http://www.mendeley.com/documents/?uuid=150f275c-ff0e-48b0-b464-1acf66ee0205"]}],"mendeley":{"formattedCitation":"(Labasque et al., 2014)","manualFormatting":"(2014)","plainTextFormattedCitation":"(Labasque et al., 2014)","previouslyFormattedCitation":"(Labasque et al., 2014)"},"properties":{"noteIndex":0},"schema":"https://github.com/citation-style-language/schema/raw/master/csl-citation.json"}</w:instrText>
      </w:r>
      <w:r w:rsidR="00DD3AF9" w:rsidRPr="00194419">
        <w:fldChar w:fldCharType="separate"/>
      </w:r>
      <w:r w:rsidR="00DD3AF9" w:rsidRPr="00194419">
        <w:rPr>
          <w:noProof/>
        </w:rPr>
        <w:t>(2014)</w:t>
      </w:r>
      <w:r w:rsidR="00DD3AF9" w:rsidRPr="00194419">
        <w:fldChar w:fldCharType="end"/>
      </w:r>
      <w:r w:rsidR="00736E4F" w:rsidRPr="00194419">
        <w:t>, by means of a peristaltic pump (HACH Sigma 900 Po</w:t>
      </w:r>
      <w:r w:rsidR="00000B4B" w:rsidRPr="00194419">
        <w:t>r</w:t>
      </w:r>
      <w:r w:rsidR="00736E4F" w:rsidRPr="00194419">
        <w:t>table Sampler)</w:t>
      </w:r>
      <w:r w:rsidR="00DD3AF9">
        <w:t>, which has been successfully used in springs with low flow (IAEA, 2006 and reference therein).</w:t>
      </w:r>
      <w:r w:rsidR="00736E4F" w:rsidRPr="00194419">
        <w:t xml:space="preserve"> </w:t>
      </w:r>
      <w:r w:rsidR="00AB1714">
        <w:t>T</w:t>
      </w:r>
      <w:r w:rsidR="00AB1714" w:rsidRPr="00194419">
        <w:t>o avoid contamination</w:t>
      </w:r>
      <w:r w:rsidR="00AB1714">
        <w:t>,</w:t>
      </w:r>
      <w:r w:rsidR="00AB1714" w:rsidRPr="00194419">
        <w:t xml:space="preserve"> </w:t>
      </w:r>
      <w:r w:rsidR="00AB1714">
        <w:t>v</w:t>
      </w:r>
      <w:r w:rsidR="00736E4F" w:rsidRPr="00194419">
        <w:t xml:space="preserve">iton tubing was used </w:t>
      </w:r>
      <w:r w:rsidR="00DD3AF9">
        <w:t xml:space="preserve">from the spring to the </w:t>
      </w:r>
      <w:r w:rsidR="00AB1714">
        <w:t>ampoules</w:t>
      </w:r>
      <w:r w:rsidR="00DD3AF9">
        <w:t xml:space="preserve">. A transparent hose was used as water outlet from the pump, which permitted to check for bubbles that could indicate induced degassing. Once the steel ampoules were sealed, they were shook to detect any possible noise caused by the involuntary formation of a headspace. </w:t>
      </w:r>
    </w:p>
    <w:p w14:paraId="7A6680DB" w14:textId="52AF93DA" w:rsidR="003C3F1F" w:rsidRPr="00194419" w:rsidRDefault="006F2E9E" w:rsidP="008A3630">
      <w:pPr>
        <w:pStyle w:val="Prrafodelista"/>
        <w:numPr>
          <w:ilvl w:val="1"/>
          <w:numId w:val="1"/>
        </w:numPr>
        <w:spacing w:line="480" w:lineRule="auto"/>
        <w:rPr>
          <w:b/>
          <w:lang w:val="es-ES_tradnl"/>
        </w:rPr>
      </w:pPr>
      <w:r w:rsidRPr="00194419">
        <w:rPr>
          <w:b/>
          <w:noProof/>
          <w:lang w:val="es-ES_tradnl"/>
        </w:rPr>
        <w:t>Analytical</w:t>
      </w:r>
      <w:r w:rsidRPr="00194419">
        <w:rPr>
          <w:b/>
          <w:lang w:val="es-ES_tradnl"/>
        </w:rPr>
        <w:t xml:space="preserve"> methods</w:t>
      </w:r>
    </w:p>
    <w:p w14:paraId="496A550F" w14:textId="4B35728B" w:rsidR="007438CA" w:rsidRPr="00194419" w:rsidRDefault="00825584" w:rsidP="008A3630">
      <w:pPr>
        <w:pStyle w:val="Prrafodelista"/>
        <w:spacing w:line="480" w:lineRule="auto"/>
        <w:ind w:left="0"/>
      </w:pPr>
      <w:r w:rsidRPr="00194419">
        <w:t>Major elements were determined in the laboratory of</w:t>
      </w:r>
      <w:r w:rsidR="007170AB" w:rsidRPr="00194419">
        <w:t xml:space="preserve"> the Centre of Hydrogeology of </w:t>
      </w:r>
      <w:r w:rsidRPr="00194419">
        <w:t>University of Malaga (CEHIUMA)</w:t>
      </w:r>
      <w:r w:rsidR="003A4A60" w:rsidRPr="00194419">
        <w:t>. HCO</w:t>
      </w:r>
      <w:r w:rsidR="003A4A60" w:rsidRPr="00194419">
        <w:rPr>
          <w:vertAlign w:val="subscript"/>
        </w:rPr>
        <w:t>3</w:t>
      </w:r>
      <w:r w:rsidR="003A4A60" w:rsidRPr="00194419">
        <w:rPr>
          <w:vertAlign w:val="superscript"/>
        </w:rPr>
        <w:t>-</w:t>
      </w:r>
      <w:r w:rsidR="003A4A60" w:rsidRPr="00194419">
        <w:t xml:space="preserve"> was measured by volumetric titration with 0.02N H</w:t>
      </w:r>
      <w:r w:rsidR="003A4A60" w:rsidRPr="00194419">
        <w:rPr>
          <w:vertAlign w:val="subscript"/>
        </w:rPr>
        <w:t>2</w:t>
      </w:r>
      <w:r w:rsidR="003A4A60" w:rsidRPr="00194419">
        <w:t>SO</w:t>
      </w:r>
      <w:r w:rsidR="003A4A60" w:rsidRPr="00194419">
        <w:rPr>
          <w:vertAlign w:val="subscript"/>
        </w:rPr>
        <w:t>4</w:t>
      </w:r>
      <w:r w:rsidR="003A4A60" w:rsidRPr="00194419">
        <w:t xml:space="preserve"> to </w:t>
      </w:r>
      <w:r w:rsidR="007170AB" w:rsidRPr="00194419">
        <w:t>pH 4.45</w:t>
      </w:r>
      <w:r w:rsidR="003A4A60" w:rsidRPr="00194419">
        <w:t>.</w:t>
      </w:r>
      <w:r w:rsidRPr="00194419">
        <w:t xml:space="preserve"> </w:t>
      </w:r>
      <w:r w:rsidR="007438CA" w:rsidRPr="00194419">
        <w:t>Major ions (Ca</w:t>
      </w:r>
      <w:r w:rsidR="007438CA" w:rsidRPr="00194419">
        <w:rPr>
          <w:vertAlign w:val="superscript"/>
        </w:rPr>
        <w:t>2+</w:t>
      </w:r>
      <w:r w:rsidR="007438CA" w:rsidRPr="00194419">
        <w:t>, Mg</w:t>
      </w:r>
      <w:r w:rsidR="007438CA" w:rsidRPr="00194419">
        <w:rPr>
          <w:vertAlign w:val="superscript"/>
        </w:rPr>
        <w:t>2+</w:t>
      </w:r>
      <w:r w:rsidR="007438CA" w:rsidRPr="00194419">
        <w:t>, Na</w:t>
      </w:r>
      <w:r w:rsidR="007438CA" w:rsidRPr="00194419">
        <w:rPr>
          <w:vertAlign w:val="superscript"/>
        </w:rPr>
        <w:t>+</w:t>
      </w:r>
      <w:r w:rsidR="007438CA" w:rsidRPr="00194419">
        <w:t>, K</w:t>
      </w:r>
      <w:r w:rsidR="007438CA" w:rsidRPr="00194419">
        <w:rPr>
          <w:vertAlign w:val="superscript"/>
        </w:rPr>
        <w:t>+</w:t>
      </w:r>
      <w:r w:rsidR="007438CA" w:rsidRPr="00194419">
        <w:t>, Cl</w:t>
      </w:r>
      <w:r w:rsidRPr="00194419">
        <w:rPr>
          <w:vertAlign w:val="superscript"/>
        </w:rPr>
        <w:t>-</w:t>
      </w:r>
      <w:r w:rsidR="007438CA" w:rsidRPr="00194419">
        <w:t>, SO</w:t>
      </w:r>
      <w:r w:rsidR="007438CA" w:rsidRPr="00194419">
        <w:rPr>
          <w:vertAlign w:val="subscript"/>
        </w:rPr>
        <w:t>4</w:t>
      </w:r>
      <w:r w:rsidR="007438CA" w:rsidRPr="00194419">
        <w:rPr>
          <w:vertAlign w:val="superscript"/>
        </w:rPr>
        <w:t>2</w:t>
      </w:r>
      <w:r w:rsidRPr="00194419">
        <w:rPr>
          <w:vertAlign w:val="superscript"/>
        </w:rPr>
        <w:t>-</w:t>
      </w:r>
      <w:r w:rsidR="007438CA" w:rsidRPr="00194419">
        <w:t xml:space="preserve">) </w:t>
      </w:r>
      <w:r w:rsidRPr="00194419">
        <w:t>analysis</w:t>
      </w:r>
      <w:r w:rsidR="007438CA" w:rsidRPr="00194419">
        <w:t xml:space="preserve"> were </w:t>
      </w:r>
      <w:r w:rsidRPr="00194419">
        <w:t>conducted by</w:t>
      </w:r>
      <w:r w:rsidR="007438CA" w:rsidRPr="00194419">
        <w:t xml:space="preserve"> </w:t>
      </w:r>
      <w:r w:rsidR="007438CA" w:rsidRPr="00194419">
        <w:rPr>
          <w:noProof/>
        </w:rPr>
        <w:t>high</w:t>
      </w:r>
      <w:r w:rsidR="00801AF1" w:rsidRPr="00194419">
        <w:rPr>
          <w:noProof/>
        </w:rPr>
        <w:t>-</w:t>
      </w:r>
      <w:r w:rsidR="007438CA" w:rsidRPr="00194419">
        <w:rPr>
          <w:noProof/>
        </w:rPr>
        <w:t>performance</w:t>
      </w:r>
      <w:r w:rsidR="007438CA" w:rsidRPr="00194419">
        <w:t xml:space="preserve"> </w:t>
      </w:r>
      <w:r w:rsidR="00945D45">
        <w:t>ionic</w:t>
      </w:r>
      <w:r w:rsidR="00945D45" w:rsidRPr="00194419">
        <w:t xml:space="preserve"> </w:t>
      </w:r>
      <w:r w:rsidR="007438CA" w:rsidRPr="00194419">
        <w:t>chromatography (</w:t>
      </w:r>
      <w:r w:rsidR="00945D45" w:rsidRPr="00194419">
        <w:t>HP</w:t>
      </w:r>
      <w:r w:rsidR="00945D45">
        <w:t>I</w:t>
      </w:r>
      <w:r w:rsidR="00945D45" w:rsidRPr="00194419">
        <w:t>C</w:t>
      </w:r>
      <w:r w:rsidR="007438CA" w:rsidRPr="00194419">
        <w:t>, METROHM Compact 930 IC flex for cations an</w:t>
      </w:r>
      <w:r w:rsidRPr="00194419">
        <w:t>d Compact 881 IC Pro for anions</w:t>
      </w:r>
      <w:r w:rsidR="007438CA" w:rsidRPr="00194419">
        <w:t xml:space="preserve">) with </w:t>
      </w:r>
      <w:r w:rsidR="00A65AA4" w:rsidRPr="00194419">
        <w:t>±2% accuracy.</w:t>
      </w:r>
      <w:r w:rsidR="007438CA" w:rsidRPr="00194419">
        <w:t xml:space="preserve"> Due to high salinity</w:t>
      </w:r>
      <w:r w:rsidRPr="00194419">
        <w:t>,</w:t>
      </w:r>
      <w:r w:rsidR="007438CA" w:rsidRPr="00194419">
        <w:t xml:space="preserve"> most samples were diluted to 1 mS/cm and then </w:t>
      </w:r>
      <w:r w:rsidR="00945D45">
        <w:t xml:space="preserve">inline </w:t>
      </w:r>
      <w:r w:rsidR="007438CA" w:rsidRPr="00194419">
        <w:t>filtered before being introdu</w:t>
      </w:r>
      <w:r w:rsidR="00A65AA4" w:rsidRPr="00194419">
        <w:t>ced in</w:t>
      </w:r>
      <w:r w:rsidR="007170AB" w:rsidRPr="00194419">
        <w:t>to</w:t>
      </w:r>
      <w:r w:rsidR="00A65AA4" w:rsidRPr="00194419">
        <w:t xml:space="preserve"> the </w:t>
      </w:r>
      <w:r w:rsidR="0078404B" w:rsidRPr="00194419">
        <w:t xml:space="preserve">analytic </w:t>
      </w:r>
      <w:r w:rsidR="00A65AA4" w:rsidRPr="00194419">
        <w:t>system.</w:t>
      </w:r>
    </w:p>
    <w:p w14:paraId="0F4DF1E6" w14:textId="36492E60" w:rsidR="00D57AB6" w:rsidRPr="00194419" w:rsidRDefault="0078404B" w:rsidP="008A3630">
      <w:pPr>
        <w:pStyle w:val="Prrafodelista"/>
        <w:spacing w:line="480" w:lineRule="auto"/>
        <w:ind w:left="0"/>
      </w:pPr>
      <w:r w:rsidRPr="00194419">
        <w:lastRenderedPageBreak/>
        <w:t>Determination</w:t>
      </w:r>
      <w:r w:rsidR="00246674" w:rsidRPr="00194419">
        <w:t xml:space="preserve"> of </w:t>
      </w:r>
      <w:r w:rsidR="00246674" w:rsidRPr="00194419">
        <w:rPr>
          <w:vertAlign w:val="superscript"/>
        </w:rPr>
        <w:t>3</w:t>
      </w:r>
      <w:r w:rsidR="00995008" w:rsidRPr="00194419">
        <w:t>H, He isotopes,</w:t>
      </w:r>
      <w:r w:rsidR="00246674" w:rsidRPr="00194419">
        <w:t xml:space="preserve"> Ne</w:t>
      </w:r>
      <w:r w:rsidR="00E52D82" w:rsidRPr="00194419">
        <w:t>,</w:t>
      </w:r>
      <w:r w:rsidR="00246674" w:rsidRPr="00194419">
        <w:t xml:space="preserve"> </w:t>
      </w:r>
      <w:r w:rsidR="00995008" w:rsidRPr="00194419">
        <w:t xml:space="preserve">CFC-12 </w:t>
      </w:r>
      <w:r w:rsidR="00E52D82" w:rsidRPr="00194419">
        <w:t>and SF</w:t>
      </w:r>
      <w:r w:rsidR="00E52D82" w:rsidRPr="00194419">
        <w:rPr>
          <w:vertAlign w:val="subscript"/>
        </w:rPr>
        <w:t>6</w:t>
      </w:r>
      <w:r w:rsidR="00E52D82" w:rsidRPr="00194419">
        <w:t xml:space="preserve"> </w:t>
      </w:r>
      <w:r w:rsidR="00246674" w:rsidRPr="00194419">
        <w:t xml:space="preserve">was </w:t>
      </w:r>
      <w:r w:rsidR="000E198C" w:rsidRPr="00194419">
        <w:t>performed</w:t>
      </w:r>
      <w:r w:rsidR="00246674" w:rsidRPr="00194419">
        <w:t xml:space="preserve"> at the </w:t>
      </w:r>
      <w:r w:rsidR="00995008" w:rsidRPr="00194419">
        <w:t>Department of Oceanography</w:t>
      </w:r>
      <w:r w:rsidR="00246674" w:rsidRPr="00194419">
        <w:t xml:space="preserve"> of the Institute of Environmental Physics, University of Bremen. He isotope</w:t>
      </w:r>
      <w:r w:rsidR="002451F5" w:rsidRPr="00194419">
        <w:t>s</w:t>
      </w:r>
      <w:r w:rsidR="00246674" w:rsidRPr="00194419">
        <w:t xml:space="preserve"> and Ne </w:t>
      </w:r>
      <w:r w:rsidR="002451F5" w:rsidRPr="00194419">
        <w:t>were extracted from samples and then</w:t>
      </w:r>
      <w:r w:rsidR="00246674" w:rsidRPr="00194419">
        <w:t xml:space="preserve"> separated from other gases </w:t>
      </w:r>
      <w:r w:rsidR="000E198C" w:rsidRPr="00194419">
        <w:t>by</w:t>
      </w:r>
      <w:r w:rsidR="00246674" w:rsidRPr="00194419">
        <w:t xml:space="preserve"> </w:t>
      </w:r>
      <w:r w:rsidRPr="00194419">
        <w:t xml:space="preserve">means of </w:t>
      </w:r>
      <w:r w:rsidR="00246674" w:rsidRPr="00194419">
        <w:t>a cryogenic sys</w:t>
      </w:r>
      <w:r w:rsidR="002451F5" w:rsidRPr="00194419">
        <w:t xml:space="preserve">tem. </w:t>
      </w:r>
      <w:r w:rsidR="002451F5" w:rsidRPr="00194419">
        <w:rPr>
          <w:noProof/>
        </w:rPr>
        <w:t>Afterward</w:t>
      </w:r>
      <w:r w:rsidR="002451F5" w:rsidRPr="00194419">
        <w:t>, they were</w:t>
      </w:r>
      <w:r w:rsidR="000E198C" w:rsidRPr="00194419">
        <w:t xml:space="preserve"> determined in the </w:t>
      </w:r>
      <w:r w:rsidR="002451F5" w:rsidRPr="00194419">
        <w:t>m</w:t>
      </w:r>
      <w:r w:rsidR="000E198C" w:rsidRPr="00194419">
        <w:t xml:space="preserve">ass </w:t>
      </w:r>
      <w:r w:rsidR="002451F5" w:rsidRPr="00194419">
        <w:t>s</w:t>
      </w:r>
      <w:r w:rsidR="000E198C" w:rsidRPr="00194419">
        <w:t xml:space="preserve">pectrometric </w:t>
      </w:r>
      <w:r w:rsidR="002451F5" w:rsidRPr="00194419">
        <w:t>f</w:t>
      </w:r>
      <w:r w:rsidR="000E198C" w:rsidRPr="00194419">
        <w:t xml:space="preserve">acility described by Sültenfuß </w:t>
      </w:r>
      <w:r w:rsidR="000E198C" w:rsidRPr="00194419">
        <w:rPr>
          <w:i/>
        </w:rPr>
        <w:t>et al</w:t>
      </w:r>
      <w:r w:rsidR="000E198C" w:rsidRPr="00194419">
        <w:t xml:space="preserve">. </w:t>
      </w:r>
      <w:r w:rsidR="004A533A" w:rsidRPr="00194419">
        <w:fldChar w:fldCharType="begin" w:fldLock="1"/>
      </w:r>
      <w:r w:rsidR="003A60B5" w:rsidRPr="00194419">
        <w:instrText>ADDIN CSL_CITATION {"citationItems":[{"id":"ITEM-1","itemData":{"DOI":"10.1080/10256010902871929","ISBN":"1025-6016","ISSN":"1477-2639","PMID":"20183223","abstract":"We describe the mass spectrometric facility for measuring helium isotopes, neon, and tritium that has been operative at this institute since 1989, and also the sampling and sample preparation steps that precede the mass spectrometric analysis. For water samples in a near-equilibrium with atmospheric air, the facility achieves precision for (3)He/(4)He ratios of+/-0.4% or better, and+/-0.8 % or better for helium and neon concentrations. Tritium precision is typically+/-3 % and the detection limit 10 mTU ( approximately 1.2.10(-3) Bq/kg of pure water). Sample throughputs can reach some thousands per year. These achievements are enabled, among other features, by automation of the measurement procedure and by elaborate calibration, assisted by continual development in detail. To date, we have measured more than 15,000 samples for tritium and 23,000 for helium isotopes and neon, mostly in the context of oceanographic and hydrologic work. Some results of such work are outlined. Even when atmospheric tritium concentrations have become rather uniform, tritium provides water ages if (3)He data are taken concurrently. The technique can resolve tritium concentrations in waters of the pre-nuclear era.","author":[{"dropping-particle":"","family":"Sültenfuss","given":"Jürgen","non-dropping-particle":"","parse-names":false,"suffix":""},{"dropping-particle":"","family":"Roether","given":"Wolfgang","non-dropping-particle":"","parse-names":false,"suffix":""},{"dropping-particle":"","family":"Rhein","given":"Monika","non-dropping-particle":"","parse-names":false,"suffix":""}],"container-title":"Isotopes in environmental and health studies","id":"ITEM-1","issue":"2","issued":{"date-parts":[["2009"]]},"page":"83-95","title":"The Bremen mass spectrometric facility for the measurement of helium isotopes, neon, and tritium in water.","type":"article-journal","volume":"45"},"uris":["http://www.mendeley.com/documents/?uuid=1f183186-2cbb-4a78-9c83-3643a9acd56a"]}],"mendeley":{"formattedCitation":"(Sültenfuss et al., 2009)","manualFormatting":"(2009)","plainTextFormattedCitation":"(Sültenfuss et al., 2009)","previouslyFormattedCitation":"(Sültenfuss et al., 2009)"},"properties":{"noteIndex":0},"schema":"https://github.com/citation-style-language/schema/raw/master/csl-citation.json"}</w:instrText>
      </w:r>
      <w:r w:rsidR="004A533A" w:rsidRPr="00194419">
        <w:fldChar w:fldCharType="separate"/>
      </w:r>
      <w:r w:rsidR="004A533A" w:rsidRPr="00194419">
        <w:rPr>
          <w:noProof/>
        </w:rPr>
        <w:t>(2009)</w:t>
      </w:r>
      <w:r w:rsidR="004A533A" w:rsidRPr="00194419">
        <w:fldChar w:fldCharType="end"/>
      </w:r>
      <w:r w:rsidR="000E198C" w:rsidRPr="00194419">
        <w:t>.</w:t>
      </w:r>
      <w:r w:rsidR="002451F5" w:rsidRPr="00194419">
        <w:t xml:space="preserve"> </w:t>
      </w:r>
      <w:r w:rsidR="00801AF1" w:rsidRPr="00194419">
        <w:t xml:space="preserve">The </w:t>
      </w:r>
      <w:r w:rsidR="00246674" w:rsidRPr="00194419">
        <w:rPr>
          <w:noProof/>
          <w:vertAlign w:val="superscript"/>
        </w:rPr>
        <w:t>3</w:t>
      </w:r>
      <w:r w:rsidR="00246674" w:rsidRPr="00194419">
        <w:rPr>
          <w:noProof/>
        </w:rPr>
        <w:t>H</w:t>
      </w:r>
      <w:r w:rsidR="00246674" w:rsidRPr="00194419">
        <w:t xml:space="preserve"> </w:t>
      </w:r>
      <w:r w:rsidR="002451F5" w:rsidRPr="00194419">
        <w:t>analysis w</w:t>
      </w:r>
      <w:r w:rsidR="007170AB" w:rsidRPr="00194419">
        <w:t>as</w:t>
      </w:r>
      <w:r w:rsidR="002451F5" w:rsidRPr="00194419">
        <w:t xml:space="preserve"> based on </w:t>
      </w:r>
      <w:r w:rsidR="00246674" w:rsidRPr="00194419">
        <w:t xml:space="preserve">the </w:t>
      </w:r>
      <w:r w:rsidR="00246674" w:rsidRPr="00194419">
        <w:rPr>
          <w:vertAlign w:val="superscript"/>
        </w:rPr>
        <w:t>3</w:t>
      </w:r>
      <w:r w:rsidR="00246674" w:rsidRPr="00194419">
        <w:t xml:space="preserve">He–ingrowth method </w:t>
      </w:r>
      <w:r w:rsidR="004A533A" w:rsidRPr="00194419">
        <w:fldChar w:fldCharType="begin" w:fldLock="1"/>
      </w:r>
      <w:r w:rsidR="00C33D1B" w:rsidRPr="00194419">
        <w:instrText>ADDIN CSL_CITATION {"citationItems":[{"id":"ITEM-1","itemData":{"DOI":"DOI: 10.1016/0020-708X(76)90082-X","author":[{"dropping-particle":"","family":"Clarke","given":"W B","non-dropping-particle":"","parse-names":false,"suffix":""},{"dropping-particle":"","family":"Jenkins","given":"W J","non-dropping-particle":"","parse-names":false,"suffix":""},{"dropping-particle":"","family":"Top","given":"Z","non-dropping-particle":"","parse-names":false,"suffix":""}],"container-title":"International Journal of Applied Radiation and Isotopes","id":"ITEM-1","issued":{"date-parts":[["1976"]]},"page":"515-522","title":"Determination of tritium by mass-spectrometric measurement of &lt;sup&gt;3&lt;/sup&gt;He","type":"article-journal","volume":"27"},"uris":["http://www.mendeley.com/documents/?uuid=aa3dcafb-a29f-41c2-9ab0-2473a6251a30"]}],"mendeley":{"formattedCitation":"(Clarke et al., 1976)","plainTextFormattedCitation":"(Clarke et al., 1976)","previouslyFormattedCitation":"(Clarke et al., 1976)"},"properties":{"noteIndex":0},"schema":"https://github.com/citation-style-language/schema/raw/master/csl-citation.json"}</w:instrText>
      </w:r>
      <w:r w:rsidR="004A533A" w:rsidRPr="00194419">
        <w:fldChar w:fldCharType="separate"/>
      </w:r>
      <w:r w:rsidR="004A533A" w:rsidRPr="00194419">
        <w:rPr>
          <w:noProof/>
        </w:rPr>
        <w:t>(Clarke et al., 1976)</w:t>
      </w:r>
      <w:r w:rsidR="004A533A" w:rsidRPr="00194419">
        <w:fldChar w:fldCharType="end"/>
      </w:r>
      <w:r w:rsidR="00246674" w:rsidRPr="00194419">
        <w:t xml:space="preserve">. 500 g </w:t>
      </w:r>
      <w:r w:rsidR="007170AB" w:rsidRPr="00194419">
        <w:t xml:space="preserve">of </w:t>
      </w:r>
      <w:r w:rsidR="00246674" w:rsidRPr="00194419">
        <w:t>water</w:t>
      </w:r>
      <w:r w:rsidR="002451F5" w:rsidRPr="00194419">
        <w:t xml:space="preserve"> samples </w:t>
      </w:r>
      <w:r w:rsidR="00246674" w:rsidRPr="00194419">
        <w:t>w</w:t>
      </w:r>
      <w:r w:rsidRPr="00194419">
        <w:t xml:space="preserve">ere degassed and stored in gas-free glass bulbs for </w:t>
      </w:r>
      <w:r w:rsidR="002451F5" w:rsidRPr="00194419">
        <w:rPr>
          <w:vertAlign w:val="superscript"/>
        </w:rPr>
        <w:t>3</w:t>
      </w:r>
      <w:r w:rsidR="002451F5" w:rsidRPr="00194419">
        <w:t>He (</w:t>
      </w:r>
      <w:r w:rsidR="00246674" w:rsidRPr="00194419">
        <w:rPr>
          <w:vertAlign w:val="superscript"/>
        </w:rPr>
        <w:t>3</w:t>
      </w:r>
      <w:r w:rsidR="00246674" w:rsidRPr="00194419">
        <w:t>H decay product)</w:t>
      </w:r>
      <w:r w:rsidRPr="00194419">
        <w:t xml:space="preserve"> production and accumulation</w:t>
      </w:r>
      <w:r w:rsidR="007170AB" w:rsidRPr="00194419">
        <w:t>. After</w:t>
      </w:r>
      <w:r w:rsidR="00246674" w:rsidRPr="00194419">
        <w:t xml:space="preserve"> </w:t>
      </w:r>
      <w:r w:rsidR="002451F5" w:rsidRPr="00194419">
        <w:t xml:space="preserve">4-6 months of </w:t>
      </w:r>
      <w:r w:rsidR="00246674" w:rsidRPr="00194419">
        <w:t>storage</w:t>
      </w:r>
      <w:r w:rsidR="007170AB" w:rsidRPr="00194419">
        <w:t>,</w:t>
      </w:r>
      <w:r w:rsidR="00246674" w:rsidRPr="00194419">
        <w:t xml:space="preserve"> </w:t>
      </w:r>
      <w:r w:rsidR="00246674" w:rsidRPr="00194419">
        <w:rPr>
          <w:vertAlign w:val="superscript"/>
        </w:rPr>
        <w:t>3</w:t>
      </w:r>
      <w:r w:rsidR="00246674" w:rsidRPr="00194419">
        <w:t xml:space="preserve">He was </w:t>
      </w:r>
      <w:r w:rsidR="002451F5" w:rsidRPr="00194419">
        <w:t xml:space="preserve">determined </w:t>
      </w:r>
      <w:r w:rsidR="00246674" w:rsidRPr="00194419">
        <w:t>with the mass spectrometric system.</w:t>
      </w:r>
      <w:r w:rsidR="00D57AB6" w:rsidRPr="00194419">
        <w:t xml:space="preserve"> CFC-12 </w:t>
      </w:r>
      <w:r w:rsidR="00E52D82" w:rsidRPr="00194419">
        <w:t>and SF</w:t>
      </w:r>
      <w:r w:rsidR="00E52D82" w:rsidRPr="00194419">
        <w:rPr>
          <w:vertAlign w:val="subscript"/>
        </w:rPr>
        <w:t>6</w:t>
      </w:r>
      <w:r w:rsidR="00E52D82" w:rsidRPr="00194419">
        <w:t xml:space="preserve"> </w:t>
      </w:r>
      <w:r w:rsidR="00D57AB6" w:rsidRPr="00194419">
        <w:t>concentrations were detected with a micro electro</w:t>
      </w:r>
      <w:r w:rsidR="00180E57" w:rsidRPr="00194419">
        <w:t>n</w:t>
      </w:r>
      <w:r w:rsidR="00D57AB6" w:rsidRPr="00194419">
        <w:t xml:space="preserve"> capture detector mounted on a gas </w:t>
      </w:r>
      <w:r w:rsidR="007170AB" w:rsidRPr="00194419">
        <w:t>chromatograph</w:t>
      </w:r>
      <w:r w:rsidR="00D57AB6" w:rsidRPr="00194419">
        <w:t xml:space="preserve"> (Agilent GC6890N) with </w:t>
      </w:r>
      <w:r w:rsidR="00801AF1" w:rsidRPr="00194419">
        <w:t xml:space="preserve">a </w:t>
      </w:r>
      <w:r w:rsidR="00D57AB6" w:rsidRPr="00194419">
        <w:rPr>
          <w:noProof/>
        </w:rPr>
        <w:t>capillary</w:t>
      </w:r>
      <w:r w:rsidR="00D57AB6" w:rsidRPr="00194419">
        <w:t xml:space="preserve"> column, as described in Bulsiewicz </w:t>
      </w:r>
      <w:r w:rsidR="00D57AB6" w:rsidRPr="00194419">
        <w:rPr>
          <w:i/>
        </w:rPr>
        <w:t>et al</w:t>
      </w:r>
      <w:r w:rsidR="00180E57" w:rsidRPr="00194419">
        <w:rPr>
          <w:i/>
        </w:rPr>
        <w:t>.</w:t>
      </w:r>
      <w:r w:rsidR="00D57AB6" w:rsidRPr="00194419">
        <w:t xml:space="preserve"> </w:t>
      </w:r>
      <w:r w:rsidR="004A533A" w:rsidRPr="00194419">
        <w:fldChar w:fldCharType="begin" w:fldLock="1"/>
      </w:r>
      <w:r w:rsidR="003A60B5" w:rsidRPr="00194419">
        <w:instrText>ADDIN CSL_CITATION {"citationItems":[{"id":"ITEM-1","itemData":{"DOI":"10.1029/98JC00140","ISBN":"0148-0227","ISSN":"0148-0227","abstract":"We describe a new gas chromatographic analytical system for the joint measurement of the chlorofluorocarbons CFC-11, CFC-12, and CFC-113 and of CC14 in ocean waters. From measurements at sea and in the laboratory we find overall precisions for surface waters of \\pm0.6, 0.6, 1.5, and 2.4{%} and detection limits of 0.002, 0.002, 0.008, and 0.003 pmol/kg, for CFC-12, CFC-11, CFC-113, and CC14, respectively (1-\\&amp;{\\#}963; equivalents). The measurement repeat period is 17 min. A purge-and-trap approach, and other details, pay tribute to the work of Bullister and Weiss {[}1988{]}. A capillary column in combination with a low-volume trap yields higher resolution than reported for other systems. There is f¸ll separation of CFC-12 from N2O and a satisfactory one of CFC-113 from CH3I; to achieve the latter, a short packed column is operated in series with the main column. Slow purging of CC14 from the water samples contributes to its analytical error. The system is fully automated, allowing eight water samples and associated calibration measurements to be carried out unattented. Water samples are transferred into the system by means of flow-through containers incorporating glass ampoules. Alternatively, the ampoules can be flame-sealed, allowing sample storage for later analysis ashore. The performance of the system is assessed in some detail to serve as reference information for other CFC measurement systems and to direct future system tuning and developments. The system has been successfully employed at sea repeatedly. Sections from cruise M30/2, 1994 (Atlantic, 48∞N), are presented as an example.","author":[{"dropping-particle":"","family":"Bulsiewicz","given":"Klaus","non-dropping-particle":"","parse-names":false,"suffix":""},{"dropping-particle":"","family":"Rose","given":"Henning","non-dropping-particle":"","parse-names":false,"suffix":""},{"dropping-particle":"","family":"Klatt","given":"Olaf","non-dropping-particle":"","parse-names":false,"suffix":""},{"dropping-particle":"","family":"Putzka","given":"Alfred","non-dropping-particle":"","parse-names":false,"suffix":""},{"dropping-particle":"","family":"Roether","given":"Wolfgang","non-dropping-particle":"","parse-names":false,"suffix":""}],"container-title":"Journal of Geophysical Research","id":"ITEM-1","issue":"C8","issued":{"date-parts":[["1998"]]},"page":"15959-15970","title":"A capillary-column chromatographic system for efficient chlorofluorocarbon measurement in ocean waters","type":"article-journal","volume":"103"},"uris":["http://www.mendeley.com/documents/?uuid=126add9d-8bbb-4e9c-a2b3-648b6f9f9342"]}],"mendeley":{"formattedCitation":"(Bulsiewicz et al., 1998)","manualFormatting":"(1998)","plainTextFormattedCitation":"(Bulsiewicz et al., 1998)","previouslyFormattedCitation":"(Bulsiewicz et al., 1998)"},"properties":{"noteIndex":0},"schema":"https://github.com/citation-style-language/schema/raw/master/csl-citation.json"}</w:instrText>
      </w:r>
      <w:r w:rsidR="004A533A" w:rsidRPr="00194419">
        <w:fldChar w:fldCharType="separate"/>
      </w:r>
      <w:r w:rsidR="004A533A" w:rsidRPr="00194419">
        <w:rPr>
          <w:noProof/>
        </w:rPr>
        <w:t>(1998)</w:t>
      </w:r>
      <w:r w:rsidR="004A533A" w:rsidRPr="00194419">
        <w:fldChar w:fldCharType="end"/>
      </w:r>
      <w:r w:rsidR="00D57AB6" w:rsidRPr="00194419">
        <w:t xml:space="preserve">. CFC data were calibrated according to the SIO </w:t>
      </w:r>
      <w:r w:rsidR="00D57AB6" w:rsidRPr="00194419">
        <w:rPr>
          <w:noProof/>
        </w:rPr>
        <w:t>scale</w:t>
      </w:r>
      <w:r w:rsidR="00D57AB6" w:rsidRPr="00194419">
        <w:t xml:space="preserve"> 2005</w:t>
      </w:r>
      <w:r w:rsidR="00486FA6" w:rsidRPr="00194419">
        <w:t xml:space="preserve"> </w:t>
      </w:r>
      <w:r w:rsidR="004A533A" w:rsidRPr="00194419">
        <w:fldChar w:fldCharType="begin" w:fldLock="1"/>
      </w:r>
      <w:r w:rsidR="00B56BCA" w:rsidRPr="00194419">
        <w:instrText>ADDIN CSL_CITATION {"citationItems":[{"id":"ITEM-1","itemData":{"author":[{"dropping-particle":"","family":"Bullister","given":"J L","non-dropping-particle":"","parse-names":false,"suffix":""},{"dropping-particle":"","family":"Tanhua","given":"T","non-dropping-particle":"","parse-names":false,"suffix":""}],"container-title":"The GO-SHIP repeat hydrography manual: a collection of expert reports and guidelines","editor":[{"dropping-particle":"","family":"Hood","given":"E.M","non-dropping-particle":"","parse-names":false,"suffix":""},{"dropping-particle":"","family":"Sabne","given":"C.L.","non-dropping-particle":"","parse-names":false,"suffix":""},{"dropping-particle":"","family":"Sloyan","given":"B.M","non-dropping-particle":"","parse-names":false,"suffix":""}],"id":"ITEM-1","issued":{"date-parts":[["2010"]]},"publisher":"IOCCP Report Number 14, ICPO Public ation Series Number 134.","title":"Sampling and Measurement of Chlorofluorocarbons and Sulfur","type":"chapter"},"uris":["http://www.mendeley.com/documents/?uuid=711976b0-c981-4d90-9be3-4157ec4563dc"]}],"mendeley":{"formattedCitation":"(Bullister and Tanhua, 2010)","plainTextFormattedCitation":"(Bullister and Tanhua, 2010)","previouslyFormattedCitation":"(Bullister and Tanhua, 2010)"},"properties":{"noteIndex":0},"schema":"https://github.com/citation-style-language/schema/raw/master/csl-citation.json"}</w:instrText>
      </w:r>
      <w:r w:rsidR="004A533A" w:rsidRPr="00194419">
        <w:fldChar w:fldCharType="separate"/>
      </w:r>
      <w:r w:rsidR="004A533A" w:rsidRPr="00194419">
        <w:rPr>
          <w:noProof/>
        </w:rPr>
        <w:t>(Bullister and Tanhua, 2010)</w:t>
      </w:r>
      <w:r w:rsidR="004A533A" w:rsidRPr="00194419">
        <w:fldChar w:fldCharType="end"/>
      </w:r>
      <w:r w:rsidR="00D57AB6" w:rsidRPr="00194419">
        <w:t xml:space="preserve">. </w:t>
      </w:r>
    </w:p>
    <w:p w14:paraId="3C45C90A" w14:textId="5106292A" w:rsidR="00246674" w:rsidRPr="00194419" w:rsidRDefault="004711C5" w:rsidP="008A3630">
      <w:pPr>
        <w:pStyle w:val="Prrafodelista"/>
        <w:spacing w:line="480" w:lineRule="auto"/>
        <w:ind w:left="0"/>
      </w:pPr>
      <w:r w:rsidRPr="00194419">
        <w:t xml:space="preserve">The specific radioactive activity of </w:t>
      </w:r>
      <w:r w:rsidRPr="00194419">
        <w:rPr>
          <w:vertAlign w:val="superscript"/>
        </w:rPr>
        <w:t>3</w:t>
      </w:r>
      <w:r w:rsidRPr="00194419">
        <w:t>H is</w:t>
      </w:r>
      <w:r w:rsidR="00E617F5" w:rsidRPr="00194419">
        <w:t xml:space="preserve"> expressed </w:t>
      </w:r>
      <w:r w:rsidR="00CA009A" w:rsidRPr="00194419">
        <w:t>in Tritium Units (TU</w:t>
      </w:r>
      <w:r w:rsidR="008525F8" w:rsidRPr="00194419">
        <w:t xml:space="preserve"> =</w:t>
      </w:r>
      <w:r w:rsidR="00CA009A" w:rsidRPr="00194419">
        <w:t xml:space="preserve"> 0,119 Bq/kg of H</w:t>
      </w:r>
      <w:r w:rsidR="00CA009A" w:rsidRPr="00194419">
        <w:rPr>
          <w:vertAlign w:val="subscript"/>
        </w:rPr>
        <w:t>2</w:t>
      </w:r>
      <w:r w:rsidR="00CA009A" w:rsidRPr="00194419">
        <w:t>O</w:t>
      </w:r>
      <w:r w:rsidR="008525F8" w:rsidRPr="00194419">
        <w:t>)</w:t>
      </w:r>
      <w:r w:rsidR="00F02F7D" w:rsidRPr="00194419">
        <w:t xml:space="preserve"> and</w:t>
      </w:r>
      <w:r w:rsidR="00CA009A" w:rsidRPr="00194419">
        <w:t xml:space="preserve"> </w:t>
      </w:r>
      <w:r w:rsidRPr="00194419">
        <w:t>noble gas concentrations are</w:t>
      </w:r>
      <w:r w:rsidR="00CA009A" w:rsidRPr="00194419">
        <w:t xml:space="preserve"> referred </w:t>
      </w:r>
      <w:r w:rsidR="00CA009A" w:rsidRPr="00194419">
        <w:rPr>
          <w:noProof/>
        </w:rPr>
        <w:t>to</w:t>
      </w:r>
      <w:r w:rsidR="00CA009A" w:rsidRPr="00194419">
        <w:t xml:space="preserve"> </w:t>
      </w:r>
      <w:r w:rsidR="00EF7757" w:rsidRPr="00194419">
        <w:t>cc</w:t>
      </w:r>
      <w:r w:rsidRPr="00194419">
        <w:t>STP/kg of H</w:t>
      </w:r>
      <w:r w:rsidRPr="00194419">
        <w:rPr>
          <w:vertAlign w:val="subscript"/>
        </w:rPr>
        <w:t>2</w:t>
      </w:r>
      <w:r w:rsidRPr="00194419">
        <w:t>O</w:t>
      </w:r>
      <w:r w:rsidR="00F02F7D" w:rsidRPr="00194419">
        <w:t>.</w:t>
      </w:r>
      <w:r w:rsidR="00D57AB6" w:rsidRPr="00194419">
        <w:t xml:space="preserve"> CFC-12</w:t>
      </w:r>
      <w:r w:rsidR="00F02F7D" w:rsidRPr="00194419">
        <w:t xml:space="preserve"> and SF</w:t>
      </w:r>
      <w:r w:rsidR="00F02F7D" w:rsidRPr="00194419">
        <w:rPr>
          <w:vertAlign w:val="subscript"/>
        </w:rPr>
        <w:t>6</w:t>
      </w:r>
      <w:r w:rsidR="00A57F8D" w:rsidRPr="00194419">
        <w:t xml:space="preserve"> </w:t>
      </w:r>
      <w:r w:rsidR="00D57AB6" w:rsidRPr="00194419">
        <w:t xml:space="preserve">values </w:t>
      </w:r>
      <w:r w:rsidR="00F02F7D" w:rsidRPr="00194419">
        <w:t xml:space="preserve">were determined </w:t>
      </w:r>
      <w:r w:rsidR="00F02F7D" w:rsidRPr="00194419">
        <w:rPr>
          <w:noProof/>
        </w:rPr>
        <w:t>as</w:t>
      </w:r>
      <w:r w:rsidR="00D57AB6" w:rsidRPr="00194419">
        <w:t xml:space="preserve"> pmol/kg</w:t>
      </w:r>
      <w:r w:rsidR="002D2310" w:rsidRPr="00194419">
        <w:t xml:space="preserve"> of H</w:t>
      </w:r>
      <w:r w:rsidR="002D2310" w:rsidRPr="00194419">
        <w:rPr>
          <w:vertAlign w:val="subscript"/>
        </w:rPr>
        <w:t>2</w:t>
      </w:r>
      <w:r w:rsidR="002D2310" w:rsidRPr="00194419">
        <w:t>O</w:t>
      </w:r>
      <w:r w:rsidR="004F24BE" w:rsidRPr="00194419">
        <w:t xml:space="preserve"> and </w:t>
      </w:r>
      <w:r w:rsidR="004F24BE" w:rsidRPr="00194419">
        <w:rPr>
          <w:noProof/>
        </w:rPr>
        <w:t>afterward</w:t>
      </w:r>
      <w:r w:rsidR="004F24BE" w:rsidRPr="00194419">
        <w:t xml:space="preserve"> converted to atmospheric mixing ration (pptv)</w:t>
      </w:r>
      <w:r w:rsidR="00A57F8D" w:rsidRPr="00194419">
        <w:t>,</w:t>
      </w:r>
      <w:r w:rsidR="004F24BE" w:rsidRPr="00194419">
        <w:t xml:space="preserve"> based on recharge conditions (temperature, pressure</w:t>
      </w:r>
      <w:r w:rsidR="00801AF1" w:rsidRPr="00194419">
        <w:t>,</w:t>
      </w:r>
      <w:r w:rsidR="004F24BE" w:rsidRPr="00194419">
        <w:t xml:space="preserve"> </w:t>
      </w:r>
      <w:r w:rsidR="004F24BE" w:rsidRPr="00194419">
        <w:rPr>
          <w:noProof/>
        </w:rPr>
        <w:t>and</w:t>
      </w:r>
      <w:r w:rsidR="004F24BE" w:rsidRPr="00194419">
        <w:t xml:space="preserve"> salinity)</w:t>
      </w:r>
      <w:r w:rsidR="00C77D33" w:rsidRPr="00194419">
        <w:t>.</w:t>
      </w:r>
      <w:r w:rsidRPr="00194419">
        <w:t xml:space="preserve"> Most samples were brine,</w:t>
      </w:r>
      <w:r w:rsidR="00F02F7D" w:rsidRPr="00194419">
        <w:t xml:space="preserve"> but solute content is supposed to be low</w:t>
      </w:r>
      <w:r w:rsidRPr="00194419">
        <w:t xml:space="preserve"> </w:t>
      </w:r>
      <w:r w:rsidR="00F02F7D" w:rsidRPr="00194419">
        <w:t xml:space="preserve">at the time and location of recharge. </w:t>
      </w:r>
      <w:r w:rsidR="00F02F7D" w:rsidRPr="00194419">
        <w:rPr>
          <w:noProof/>
        </w:rPr>
        <w:t>T</w:t>
      </w:r>
      <w:r w:rsidRPr="00194419">
        <w:rPr>
          <w:noProof/>
        </w:rPr>
        <w:t>hus</w:t>
      </w:r>
      <w:r w:rsidRPr="00194419">
        <w:t xml:space="preserve"> the </w:t>
      </w:r>
      <w:r w:rsidR="00F02F7D" w:rsidRPr="00194419">
        <w:t xml:space="preserve">concentration </w:t>
      </w:r>
      <w:r w:rsidR="00D57AB6" w:rsidRPr="00194419">
        <w:t xml:space="preserve">of </w:t>
      </w:r>
      <w:r w:rsidR="004F24BE" w:rsidRPr="00194419">
        <w:t xml:space="preserve">every </w:t>
      </w:r>
      <w:r w:rsidR="00D57AB6" w:rsidRPr="00194419">
        <w:t xml:space="preserve">tracer </w:t>
      </w:r>
      <w:r w:rsidR="007170AB" w:rsidRPr="00194419">
        <w:t xml:space="preserve">determined </w:t>
      </w:r>
      <w:r w:rsidR="00D57AB6" w:rsidRPr="00194419">
        <w:rPr>
          <w:noProof/>
        </w:rPr>
        <w:t>w</w:t>
      </w:r>
      <w:r w:rsidR="00A81499" w:rsidRPr="00194419">
        <w:rPr>
          <w:noProof/>
        </w:rPr>
        <w:t>as</w:t>
      </w:r>
      <w:r w:rsidR="00D57AB6" w:rsidRPr="00194419">
        <w:t xml:space="preserve"> corrected</w:t>
      </w:r>
      <w:r w:rsidR="00FB2B5C" w:rsidRPr="00194419">
        <w:t xml:space="preserve"> </w:t>
      </w:r>
      <w:r w:rsidRPr="00194419">
        <w:t xml:space="preserve">to be expressed as </w:t>
      </w:r>
      <w:r w:rsidR="00D57AB6" w:rsidRPr="00194419">
        <w:rPr>
          <w:noProof/>
        </w:rPr>
        <w:t>concentration</w:t>
      </w:r>
      <w:r w:rsidR="00C076A8" w:rsidRPr="00194419">
        <w:t xml:space="preserve"> </w:t>
      </w:r>
      <w:r w:rsidRPr="00194419">
        <w:t>in freshwater</w:t>
      </w:r>
      <w:r w:rsidR="00FB2B5C" w:rsidRPr="00194419">
        <w:t xml:space="preserve"> according to the density of each sample</w:t>
      </w:r>
      <w:r w:rsidR="008525F8" w:rsidRPr="00194419">
        <w:t>, which was calculated</w:t>
      </w:r>
      <w:r w:rsidR="00D73933" w:rsidRPr="00194419">
        <w:t>,</w:t>
      </w:r>
      <w:r w:rsidR="008525F8" w:rsidRPr="00194419">
        <w:t xml:space="preserve"> based on their chemical composition</w:t>
      </w:r>
      <w:r w:rsidR="00D73933" w:rsidRPr="00194419">
        <w:t>,</w:t>
      </w:r>
      <w:r w:rsidR="008525F8" w:rsidRPr="00194419">
        <w:t xml:space="preserve"> using PHREEQC </w:t>
      </w:r>
      <w:r w:rsidR="00B56BCA" w:rsidRPr="00194419">
        <w:fldChar w:fldCharType="begin" w:fldLock="1"/>
      </w:r>
      <w:r w:rsidR="00B56BCA" w:rsidRPr="00194419">
        <w:instrText>ADDIN CSL_CITATION {"citationItems":[{"id":"ITEM-1","itemData":{"author":[{"dropping-particle":"","family":"Parkhurst","given":"D.L:","non-dropping-particle":"","parse-names":false,"suffix":""},{"dropping-particle":"","family":"Appelo","given":"C.A.J.","non-dropping-particle":"","parse-names":false,"suffix":""}],"container-title":"Modelling Techniques","id":"ITEM-1","issued":{"date-parts":[["2013"]]},"title":"Description of Input and Examples for PHREEQC Version 3—A Computer Program for Speciation, Batch-Reaction, One-Dimensional Transport, and Inverse Geochemical Calculations","type":"chapter"},"uris":["http://www.mendeley.com/documents/?uuid=6c82878e-447b-4c60-aa24-1f06bff7bc2a"]}],"mendeley":{"formattedCitation":"(Parkhurst and Appelo, 2013)","plainTextFormattedCitation":"(Parkhurst and Appelo, 2013)","previouslyFormattedCitation":"(Parkhurst and Appelo, 2013)"},"properties":{"noteIndex":0},"schema":"https://github.com/citation-style-language/schema/raw/master/csl-citation.json"}</w:instrText>
      </w:r>
      <w:r w:rsidR="00B56BCA" w:rsidRPr="00194419">
        <w:fldChar w:fldCharType="separate"/>
      </w:r>
      <w:r w:rsidR="00B56BCA" w:rsidRPr="00194419">
        <w:rPr>
          <w:noProof/>
        </w:rPr>
        <w:t>(Parkhurst and Appelo, 2013)</w:t>
      </w:r>
      <w:r w:rsidR="00B56BCA" w:rsidRPr="00194419">
        <w:fldChar w:fldCharType="end"/>
      </w:r>
      <w:r w:rsidR="008525F8" w:rsidRPr="00194419">
        <w:t>.</w:t>
      </w:r>
    </w:p>
    <w:p w14:paraId="5C3E5F38" w14:textId="77777777" w:rsidR="00725C43" w:rsidRPr="00194419" w:rsidRDefault="00725C43" w:rsidP="008A3630">
      <w:pPr>
        <w:pStyle w:val="Prrafodelista"/>
        <w:numPr>
          <w:ilvl w:val="1"/>
          <w:numId w:val="1"/>
        </w:numPr>
        <w:spacing w:line="480" w:lineRule="auto"/>
        <w:rPr>
          <w:b/>
        </w:rPr>
      </w:pPr>
      <w:r w:rsidRPr="00194419">
        <w:rPr>
          <w:b/>
          <w:lang w:val="es-ES_tradnl"/>
        </w:rPr>
        <w:t xml:space="preserve">Data </w:t>
      </w:r>
      <w:r w:rsidRPr="00194419">
        <w:rPr>
          <w:b/>
        </w:rPr>
        <w:t>treatment</w:t>
      </w:r>
    </w:p>
    <w:p w14:paraId="5FD7D856" w14:textId="67424548" w:rsidR="00814B9D" w:rsidRPr="00194419" w:rsidRDefault="00D57AB6" w:rsidP="008A3630">
      <w:pPr>
        <w:spacing w:line="480" w:lineRule="auto"/>
      </w:pPr>
      <w:r w:rsidRPr="00194419">
        <w:t xml:space="preserve">For </w:t>
      </w:r>
      <w:r w:rsidR="00AC7730" w:rsidRPr="00194419">
        <w:t xml:space="preserve">hydrological </w:t>
      </w:r>
      <w:r w:rsidR="00DC1D58" w:rsidRPr="00194419">
        <w:t xml:space="preserve">interpretation, recharge temperatures were assumed to be 15ºC, in accordance </w:t>
      </w:r>
      <w:r w:rsidR="00801AF1" w:rsidRPr="00194419">
        <w:rPr>
          <w:noProof/>
        </w:rPr>
        <w:t>with</w:t>
      </w:r>
      <w:r w:rsidR="00DC1D58" w:rsidRPr="00194419">
        <w:t xml:space="preserve"> the average air temperature of the study areas</w:t>
      </w:r>
      <w:r w:rsidR="00CC0D8D">
        <w:t xml:space="preserve"> during recharge periods (October to May)</w:t>
      </w:r>
      <w:r w:rsidR="00945D45">
        <w:t>, c</w:t>
      </w:r>
      <w:r w:rsidR="00C61714">
        <w:t>alculated for the period 1973/74 – 2015/16</w:t>
      </w:r>
      <w:r w:rsidR="00DC1D58" w:rsidRPr="00194419">
        <w:t xml:space="preserve"> </w:t>
      </w:r>
      <w:r w:rsidR="00B56BCA" w:rsidRPr="00194419">
        <w:fldChar w:fldCharType="begin" w:fldLock="1"/>
      </w:r>
      <w:r w:rsidR="001612E2" w:rsidRPr="00194419">
        <w:instrText>ADDIN CSL_CITATION {"citationItems":[{"id":"ITEM-1","itemData":{"ISBN":"9788491639114","abstract":"Tesis Univ. Granada.","author":[{"dropping-particle":"","family":"Gil Márquez","given":"José Manuel","non-dropping-particle":"","parse-names":false,"suffix":""}],"id":"ITEM-1","issued":{"date-parts":[["2018","6","26"]]},"number-of-pages":"490","publisher":"Universidad de Granada","title":"Caracterización hidrogeológica de humedales y manantiales salinos asociados a acuíferos kársticos evaporíticos del sector central del subbético","type":"thesis"},"uris":["http://www.mendeley.com/documents/?uuid=a7565c0a-b396-37e7-bd01-51c24dd13f06"]}],"mendeley":{"formattedCitation":"(Gil Márquez, 2018)","manualFormatting":"(Gil-Márquez, 2018)","plainTextFormattedCitation":"(Gil Márquez, 2018)","previouslyFormattedCitation":"(Gil Márquez, 2018)"},"properties":{"noteIndex":0},"schema":"https://github.com/citation-style-language/schema/raw/master/csl-citation.json"}</w:instrText>
      </w:r>
      <w:r w:rsidR="00B56BCA" w:rsidRPr="00194419">
        <w:fldChar w:fldCharType="separate"/>
      </w:r>
      <w:r w:rsidR="00B56BCA" w:rsidRPr="00194419">
        <w:rPr>
          <w:noProof/>
        </w:rPr>
        <w:t>(Gil</w:t>
      </w:r>
      <w:r w:rsidR="001612E2" w:rsidRPr="00194419">
        <w:rPr>
          <w:noProof/>
        </w:rPr>
        <w:t>-</w:t>
      </w:r>
      <w:r w:rsidR="00B56BCA" w:rsidRPr="00194419">
        <w:rPr>
          <w:noProof/>
        </w:rPr>
        <w:t>Márquez, 2018)</w:t>
      </w:r>
      <w:r w:rsidR="00B56BCA" w:rsidRPr="00194419">
        <w:fldChar w:fldCharType="end"/>
      </w:r>
      <w:r w:rsidR="00DC1D58" w:rsidRPr="00194419">
        <w:t>.</w:t>
      </w:r>
      <w:r w:rsidR="002F59C4">
        <w:t xml:space="preserve"> </w:t>
      </w:r>
      <w:r w:rsidR="00B70E75" w:rsidRPr="00194419">
        <w:lastRenderedPageBreak/>
        <w:t xml:space="preserve">Atmospheric pressure was </w:t>
      </w:r>
      <w:r w:rsidR="00DC1D58" w:rsidRPr="00194419">
        <w:t>adjusted to</w:t>
      </w:r>
      <w:r w:rsidR="000008C8">
        <w:t xml:space="preserve"> the main</w:t>
      </w:r>
      <w:r w:rsidR="00F54B69" w:rsidRPr="00194419">
        <w:t xml:space="preserve"> altitude in</w:t>
      </w:r>
      <w:r w:rsidR="00DC1D58" w:rsidRPr="00194419">
        <w:t xml:space="preserve"> each study area: 400 m above sea level (m a.s.l.) in Jarales, 500 </w:t>
      </w:r>
      <w:r w:rsidR="00DC1D58" w:rsidRPr="00194419">
        <w:rPr>
          <w:noProof/>
        </w:rPr>
        <w:t>m a</w:t>
      </w:r>
      <w:r w:rsidR="00DC1D58" w:rsidRPr="00194419">
        <w:t>.s.l. in Brujuelo</w:t>
      </w:r>
      <w:r w:rsidR="0078404B" w:rsidRPr="00194419">
        <w:t xml:space="preserve"> and w</w:t>
      </w:r>
      <w:r w:rsidR="00CD6ACE" w:rsidRPr="00194419">
        <w:t>estern Trias of Antequera</w:t>
      </w:r>
      <w:r w:rsidR="00DC1D58" w:rsidRPr="00194419">
        <w:t>,</w:t>
      </w:r>
      <w:r w:rsidR="00CD6ACE" w:rsidRPr="00194419">
        <w:t xml:space="preserve"> and</w:t>
      </w:r>
      <w:r w:rsidR="00DC1D58" w:rsidRPr="00194419">
        <w:t xml:space="preserve"> 850 </w:t>
      </w:r>
      <w:r w:rsidR="00DC1D58" w:rsidRPr="00194419">
        <w:rPr>
          <w:noProof/>
        </w:rPr>
        <w:t>m a</w:t>
      </w:r>
      <w:r w:rsidR="00DC1D58" w:rsidRPr="00194419">
        <w:t>.s.l. in Los Hoyos.</w:t>
      </w:r>
      <w:r w:rsidR="00814B9D" w:rsidRPr="00194419">
        <w:t xml:space="preserve"> </w:t>
      </w:r>
      <w:r w:rsidR="00151EC5">
        <w:t>Based on previous knowledge of the study areas, a</w:t>
      </w:r>
      <w:r w:rsidR="00814B9D" w:rsidRPr="00194419">
        <w:t xml:space="preserve">ll samples were </w:t>
      </w:r>
      <w:r w:rsidR="00180E57" w:rsidRPr="00194419">
        <w:t>supposed</w:t>
      </w:r>
      <w:r w:rsidR="00814B9D" w:rsidRPr="00194419">
        <w:t xml:space="preserve"> to be infiltrated as freshwater, thus salinity would not </w:t>
      </w:r>
      <w:r w:rsidR="00814B9D" w:rsidRPr="00194419">
        <w:rPr>
          <w:noProof/>
        </w:rPr>
        <w:t>ha</w:t>
      </w:r>
      <w:r w:rsidR="00801AF1" w:rsidRPr="00194419">
        <w:rPr>
          <w:noProof/>
        </w:rPr>
        <w:t>ve</w:t>
      </w:r>
      <w:r w:rsidR="00814B9D" w:rsidRPr="00194419">
        <w:t xml:space="preserve"> affect equilibrium solubility before entering the Saturated Zone (SZ).</w:t>
      </w:r>
      <w:r w:rsidR="00DC1D58" w:rsidRPr="00194419">
        <w:t xml:space="preserve"> </w:t>
      </w:r>
      <w:r w:rsidR="00151EC5">
        <w:t>The reason for that assumption is discussed in section 4.2.2.</w:t>
      </w:r>
      <w:r w:rsidR="002F59C4">
        <w:t xml:space="preserve"> In order to check the effect of changes of salinity and temperature on the tracer concentrations and ages</w:t>
      </w:r>
      <w:r w:rsidR="00E85DD6">
        <w:t xml:space="preserve"> (Tab. 1)</w:t>
      </w:r>
      <w:r w:rsidR="002F59C4">
        <w:t xml:space="preserve">, </w:t>
      </w:r>
      <w:r w:rsidR="00B44EB7">
        <w:t xml:space="preserve">variations of </w:t>
      </w:r>
      <w:r w:rsidR="002F59C4">
        <w:t>±2</w:t>
      </w:r>
      <w:r w:rsidR="00B44EB7">
        <w:t xml:space="preserve"> </w:t>
      </w:r>
      <w:r w:rsidR="002F59C4">
        <w:t xml:space="preserve">K and </w:t>
      </w:r>
      <w:r w:rsidR="00B44EB7">
        <w:t xml:space="preserve">+10 ‰ have been jointly considered. The effect of altitude has not been checked as the study areas are relatively plain. </w:t>
      </w:r>
      <w:r w:rsidR="00DC1D58" w:rsidRPr="00194419">
        <w:t>After calculating solubility equilibrium fractions for all tracers and</w:t>
      </w:r>
      <w:r w:rsidR="00180E57" w:rsidRPr="00194419">
        <w:t xml:space="preserve"> each sample</w:t>
      </w:r>
      <w:r w:rsidR="00DC1D58" w:rsidRPr="00194419">
        <w:t>, potential contributions of excess air</w:t>
      </w:r>
      <w:r w:rsidR="00180E57" w:rsidRPr="00194419">
        <w:t xml:space="preserve"> </w:t>
      </w:r>
      <w:r w:rsidR="00814B9D" w:rsidRPr="00194419">
        <w:t>(or degassing</w:t>
      </w:r>
      <w:r w:rsidR="00180E57" w:rsidRPr="00194419">
        <w:t>)</w:t>
      </w:r>
      <w:r w:rsidR="00DC1D58" w:rsidRPr="00194419">
        <w:t xml:space="preserve"> were quantified </w:t>
      </w:r>
      <w:r w:rsidR="00814B9D" w:rsidRPr="00194419">
        <w:t>based on</w:t>
      </w:r>
      <w:r w:rsidR="00DC1D58" w:rsidRPr="00194419">
        <w:t xml:space="preserve"> </w:t>
      </w:r>
      <w:r w:rsidR="00180E57" w:rsidRPr="00194419">
        <w:t>Δ</w:t>
      </w:r>
      <w:r w:rsidR="00DC1D58" w:rsidRPr="00194419">
        <w:t>Ne</w:t>
      </w:r>
      <w:r w:rsidR="00180E57" w:rsidRPr="00194419">
        <w:t xml:space="preserve"> values</w:t>
      </w:r>
      <w:r w:rsidR="0080704F" w:rsidRPr="00194419">
        <w:t xml:space="preserve"> </w:t>
      </w:r>
      <w:r w:rsidR="00B56BCA" w:rsidRPr="00194419">
        <w:fldChar w:fldCharType="begin" w:fldLock="1"/>
      </w:r>
      <w:r w:rsidR="00B56BCA" w:rsidRPr="00194419">
        <w:instrText>ADDIN CSL_CITATION {"citationItems":[{"id":"ITEM-1","itemData":{"abstract":"Tritium, helium isotope and neon data from a multi-level samplig well (DFG 7) at Liedern/Bocholt (West Germany) are presented and discussed. The presence of a radiogenic helium component leads to 3He/4He ratios below that of atmospheric helium (minium 8 He values = - 60%) belaw abaut 20 m depth. The 3He profie can be corrected far the nucleogenic 3 He campanent using the neon measurements. Based an the \" Vagel\" madel .of a shalaw aquifer the tritium/3 He distributians are simulated far the years 1987, 200 and 2025. The madel results shaw that under favaurable canditians the tritiagenic 3He peak wi be detectable in shalaw aquifers far at least the next decades. The influence .of the vertical flaw velocity and the transversal dispersian coefficient an simulated distributians are estiated. 3 He confinement is calculated as a functian .of the vertical flaw velacity and the transversal dispersian coefficient. There is a critical value .of the vertical flaw velacity (abaut 0.25- 5 m/year) belaw which the 3 He lass increases rapidly ta high values.","author":[{"dropping-particle":"","family":"Schlosser","given":"P","non-dropping-particle":"","parse-names":false,"suffix":""},{"dropping-particle":"","family":"Stute","given":"M","non-dropping-particle":"","parse-names":false,"suffix":""},{"dropping-particle":"","family":"Sonntag","given":"C","non-dropping-particle":"","parse-names":false,"suffix":""},{"dropping-particle":"","family":"Munnich","given":"K O","non-dropping-particle":"","parse-names":false,"suffix":""}],"container-title":"Earth and Planetary Science Letters","id":"ITEM-1","issued":{"date-parts":[["1989"]]},"page":"245-256","title":"Tritogenic ³He in shallow groundwater","type":"article-journal","volume":"94"},"uris":["http://www.mendeley.com/documents/?uuid=b9b94b65-0177-429f-8873-fd62659008e7"]},{"id":"ITEM-2","itemData":{"DOI":"10.1016/j.apgeochem.2013.10.009","ISSN":"18729134","abstract":"Located in the northeastern region of Italy, the Venetian Plain (VP) is a sedimentary basin containing an extensively exploited groundwater system. The northern part is characterised by a large undifferentiated phreatic aquifer constituted by coarse grain alluvial deposits and recharged by local rainfalls and discharges from the rivers Brenta and Piave. The southern plain is characterised by a series of aquitards and sandy aquifers forming a well-defined artesian multi-aquifer system. In order to determine origins, transit times and mixing proportions of different components in groundwater (GW), a multi tracer study (3H, 3He/4He, 14C, CFC, SF6, 85Kr, 39Ar, 87Sr/86Sr, 18O, 2H, cations, and anions) has been carried out in VP between the rivers Brenta and Piave. The geochemical pattern of GW allows a distinction of the different water origins in the system, in particular based on HCO3-,SO42-,Ca/Mg,NO3-, 18O, 2H. A radiogenic 87Sr signature clearly marks GW originated from the Brenta and Tertiary catchments. End-member analysis and geochemical modelling highlight the existence of a mixing process involving waters recharged from the Brenta and Piave rivers, from the phreatic aquifer and from another GW reservoirs characterised by very low mineralization.Noble gas excesses in respect to atmospheric equilibrium occur in all samples, particularly in the deeper aquifers of the Piave river, but also in phreatic water of the undifferentiated aquifers. 3He-3H ages in the phreatic aquifer and in the shallower level of the multi-aquifer system indicate recharge times in the years 1970-2008. The progression of 3H-3He ages with the distance from the recharge areas together with initial tritium concentration (3H+3Hetrit) imply an infiltration rate of about 1km/y and the absence of older components in these GW. SF6 and 85Kr data corroborate these conclusions. 3H-3He ages in the deeper artesian aquifers suggest a dilution process with older, tritium free waters. 14C Fontes-Garnier model ages of the old GW components range from 1 to 12ka, yielding an apparent GW velocity of about 1-10m/y. Increase of radiogenic 4He follows the progression of 14C ages. 39Ar, radiogenic 4He and 14C tracers yield model-dependent age-ranges in overall good agreement once diffusion of 14C from aquitards, GW dispersion, lithogenic 39Ar production, and 4He production-rate heterogeneities are taken into account. The rate of radiogenic 4He increase with time, deduced by comparison with 14C model ag…","author":[{"dropping-particle":"","family":"Mayer","given":"A.","non-dropping-particle":"","parse-names":false,"suffix":""},{"dropping-particle":"","family":"Sültenfuss","given":"J.","non-dropping-particle":"","parse-names":false,"suffix":""},{"dropping-particle":"","family":"Travi","given":"Y.","non-dropping-particle":"","parse-names":false,"suffix":""},{"dropping-particle":"","family":"Rebeix","given":"R.","non-dropping-particle":"","parse-names":false,"suffix":""},{"dropping-particle":"","family":"Purtschert","given":"R.","non-dropping-particle":"","parse-names":false,"suffix":""},{"dropping-particle":"","family":"Claude","given":"C.","non-dropping-particle":"","parse-names":false,"suffix":""},{"dropping-particle":"","family":"Gal La Salle","given":"C.","non-dropping-particle":"Le","parse-names":false,"suffix":""},{"dropping-particle":"","family":"Miche","given":"H.","non-dropping-particle":"","parse-names":false,"suffix":""},{"dropping-particle":"","family":"Conchetto","given":"E.","non-dropping-particle":"","parse-names":false,"suffix":""}],"container-title":"Applied Geochemistry","id":"ITEM-2","issued":{"date-parts":[["2014"]]},"page":"177-198","publisher":"Elsevier Ltd","title":"A multi-tracer study of groundwater origin and transit-time in the aquifers of the Venice region (Italy)","type":"article-journal","volume":"50"},"uris":["http://www.mendeley.com/documents/?uuid=d6cbef93-15d8-42b2-b107-69256698da3b"]}],"mendeley":{"formattedCitation":"(Mayer et al., 2014; Schlosser et al., 1989)","plainTextFormattedCitation":"(Mayer et al., 2014; Schlosser et al., 1989)","previouslyFormattedCitation":"(Mayer et al., 2014; Schlosser et al., 1989)"},"properties":{"noteIndex":0},"schema":"https://github.com/citation-style-language/schema/raw/master/csl-citation.json"}</w:instrText>
      </w:r>
      <w:r w:rsidR="00B56BCA" w:rsidRPr="00194419">
        <w:fldChar w:fldCharType="separate"/>
      </w:r>
      <w:r w:rsidR="00B56BCA" w:rsidRPr="00194419">
        <w:rPr>
          <w:noProof/>
        </w:rPr>
        <w:t>(Mayer et al., 2014; Schlosser et al., 1989)</w:t>
      </w:r>
      <w:r w:rsidR="00B56BCA" w:rsidRPr="00194419">
        <w:fldChar w:fldCharType="end"/>
      </w:r>
      <w:r w:rsidR="00180E57" w:rsidRPr="00194419">
        <w:t>, meaning the differen</w:t>
      </w:r>
      <w:r w:rsidR="00180E57" w:rsidRPr="00194419">
        <w:rPr>
          <w:noProof/>
        </w:rPr>
        <w:t>ce between</w:t>
      </w:r>
      <w:r w:rsidR="00180E57" w:rsidRPr="00194419">
        <w:t xml:space="preserve"> </w:t>
      </w:r>
      <w:r w:rsidR="00801AF1" w:rsidRPr="00194419">
        <w:t xml:space="preserve">the </w:t>
      </w:r>
      <w:r w:rsidR="00180E57" w:rsidRPr="00194419">
        <w:t>determined Ne contents and its solubility equilibrium concentration</w:t>
      </w:r>
      <w:r w:rsidR="0027516F" w:rsidRPr="00194419">
        <w:t xml:space="preserve"> (Ne</w:t>
      </w:r>
      <w:r w:rsidR="0027516F" w:rsidRPr="00194419">
        <w:rPr>
          <w:vertAlign w:val="subscript"/>
        </w:rPr>
        <w:t>Eq</w:t>
      </w:r>
      <w:r w:rsidR="0027516F" w:rsidRPr="00194419">
        <w:t>)</w:t>
      </w:r>
      <w:r w:rsidR="00CD6ACE" w:rsidRPr="00194419">
        <w:t>, expressed in percentage</w:t>
      </w:r>
      <w:r w:rsidR="008525F8" w:rsidRPr="00194419">
        <w:t>.</w:t>
      </w:r>
      <w:r w:rsidR="0027516F" w:rsidRPr="00194419">
        <w:t xml:space="preserve"> Thus, the degassing corrected concentration of a given </w:t>
      </w:r>
      <w:r w:rsidR="000503A8">
        <w:t xml:space="preserve">gas </w:t>
      </w:r>
      <w:r w:rsidR="0027516F" w:rsidRPr="00194419">
        <w:t>tracer (C</w:t>
      </w:r>
      <w:r w:rsidR="0027516F" w:rsidRPr="00194419">
        <w:rPr>
          <w:vertAlign w:val="subscript"/>
        </w:rPr>
        <w:t>corr</w:t>
      </w:r>
      <w:r w:rsidR="0027516F" w:rsidRPr="00194419">
        <w:t>) can be obtained from the measured concentration (C</w:t>
      </w:r>
      <w:r w:rsidR="0027516F" w:rsidRPr="00194419">
        <w:rPr>
          <w:vertAlign w:val="subscript"/>
        </w:rPr>
        <w:t>s</w:t>
      </w:r>
      <w:r w:rsidR="0027516F" w:rsidRPr="00194419">
        <w:t>)</w:t>
      </w:r>
      <w:r w:rsidR="003C3A11">
        <w:t xml:space="preserve"> by applying </w:t>
      </w:r>
      <w:r w:rsidR="006A35F9">
        <w:t xml:space="preserve">the </w:t>
      </w:r>
      <w:r w:rsidR="006A35F9">
        <w:fldChar w:fldCharType="begin" w:fldLock="1"/>
      </w:r>
      <w:r w:rsidR="00ED421F">
        <w:instrText>ADDIN CSL_CITATION {"citationItems":[{"id":"ITEM-1","itemData":{"author":[{"dropping-particle":"","family":"Aeschbach-Hertig","given":"","non-dropping-particle":"","parse-names":false,"suffix":""},{"dropping-particle":"","family":"Peeters","given":"F","non-dropping-particle":"","parse-names":false,"suffix":""},{"dropping-particle":"","family":"Beyerle","given":"U","non-dropping-particle":"","parse-names":false,"suffix":""},{"dropping-particle":"","family":"Kipfer","given":"R","non-dropping-particle":"","parse-names":false,"suffix":""}],"container-title":"Water Resources Research","id":"ITEM-1","issue":"9","issued":{"date-parts":[["1999"]]},"page":"2779-2792","title":"Interpretation of dissolved atmospheric noble gases in natural waters","type":"article-journal","volume":"35"},"uris":["http://www.mendeley.com/documents/?uuid=8dd974f4-8561-4056-b726-c83940380d43"]}],"mendeley":{"formattedCitation":"(Aeschbach-Hertig et al., 1999)","manualFormatting":"Aeschbach-Hertig et al., (1999)","plainTextFormattedCitation":"(Aeschbach-Hertig et al., 1999)","previouslyFormattedCitation":"(Aeschbach-Hertig et al., 1999)"},"properties":{"noteIndex":0},"schema":"https://github.com/citation-style-language/schema/raw/master/csl-citation.json"}</w:instrText>
      </w:r>
      <w:r w:rsidR="006A35F9">
        <w:fldChar w:fldCharType="separate"/>
      </w:r>
      <w:r w:rsidR="006A35F9" w:rsidRPr="006A35F9">
        <w:rPr>
          <w:noProof/>
        </w:rPr>
        <w:t xml:space="preserve">Aeschbach-Hertig et al., </w:t>
      </w:r>
      <w:r w:rsidR="006A35F9">
        <w:rPr>
          <w:noProof/>
        </w:rPr>
        <w:t>(</w:t>
      </w:r>
      <w:r w:rsidR="006A35F9" w:rsidRPr="006A35F9">
        <w:rPr>
          <w:noProof/>
        </w:rPr>
        <w:t>1999)</w:t>
      </w:r>
      <w:r w:rsidR="006A35F9">
        <w:fldChar w:fldCharType="end"/>
      </w:r>
      <w:r w:rsidR="0027516F" w:rsidRPr="00194419">
        <w:t xml:space="preserve"> </w:t>
      </w:r>
      <w:r w:rsidR="006A35F9">
        <w:t>degassing equations, based on the diffusion coefficient of the gases. For low solubility gases (e.</w:t>
      </w:r>
      <w:r w:rsidR="00B13808">
        <w:t>g.: Ne, He) the correction approaches to the following equation</w:t>
      </w:r>
      <w:r w:rsidR="0027516F" w:rsidRPr="00194419">
        <w:t>:</w:t>
      </w:r>
    </w:p>
    <w:p w14:paraId="45AEC043" w14:textId="3988577F" w:rsidR="007A12D2" w:rsidRPr="00194419" w:rsidRDefault="00696AD3" w:rsidP="002C22B9">
      <w:pPr>
        <w:spacing w:line="480" w:lineRule="auto"/>
        <w:ind w:firstLine="0"/>
        <w:rPr>
          <w:rFonts w:eastAsiaTheme="minorEastAsia"/>
        </w:rPr>
      </w:pPr>
      <m:oMath>
        <m:sSub>
          <m:sSubPr>
            <m:ctrlPr>
              <w:rPr>
                <w:rFonts w:ascii="Cambria Math" w:hAnsi="Cambria Math"/>
              </w:rPr>
            </m:ctrlPr>
          </m:sSubPr>
          <m:e>
            <m:r>
              <w:rPr>
                <w:rFonts w:ascii="Cambria Math" w:hAnsi="Cambria Math"/>
              </w:rPr>
              <m:t>C</m:t>
            </m:r>
          </m:e>
          <m:sub>
            <m:r>
              <w:rPr>
                <w:rFonts w:ascii="Cambria Math" w:hAnsi="Cambria Math"/>
              </w:rPr>
              <m:t>corr</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s</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Ne</m:t>
                </m:r>
              </m:e>
              <m:sub>
                <m:r>
                  <w:rPr>
                    <w:rFonts w:ascii="Cambria Math" w:hAnsi="Cambria Math"/>
                  </w:rPr>
                  <m:t>eq</m:t>
                </m:r>
              </m:sub>
            </m:sSub>
          </m:num>
          <m:den>
            <m:sSub>
              <m:sSubPr>
                <m:ctrlPr>
                  <w:rPr>
                    <w:rFonts w:ascii="Cambria Math" w:hAnsi="Cambria Math"/>
                    <w:i/>
                  </w:rPr>
                </m:ctrlPr>
              </m:sSubPr>
              <m:e>
                <m:r>
                  <w:rPr>
                    <w:rFonts w:ascii="Cambria Math" w:hAnsi="Cambria Math"/>
                  </w:rPr>
                  <m:t>Ne</m:t>
                </m:r>
              </m:e>
              <m:sub>
                <m:r>
                  <w:rPr>
                    <w:rFonts w:ascii="Cambria Math" w:hAnsi="Cambria Math"/>
                  </w:rPr>
                  <m:t>eq</m:t>
                </m:r>
              </m:sub>
            </m:sSub>
            <m:r>
              <w:rPr>
                <w:rFonts w:ascii="Cambria Math" w:hAnsi="Cambria Math"/>
              </w:rPr>
              <m:t>+ΔNe</m:t>
            </m:r>
          </m:den>
        </m:f>
      </m:oMath>
      <w:r w:rsidR="001D4F04">
        <w:rPr>
          <w:rFonts w:eastAsiaTheme="minorEastAsia"/>
        </w:rPr>
        <w:t xml:space="preserve">     (note that </w:t>
      </w:r>
      <w:r w:rsidR="001D4F04" w:rsidRPr="00194419">
        <w:t>Δ</w:t>
      </w:r>
      <w:r w:rsidR="001D4F04">
        <w:rPr>
          <w:rFonts w:eastAsiaTheme="minorEastAsia"/>
        </w:rPr>
        <w:t xml:space="preserve">Ne&lt;0 for degassed samples) </w:t>
      </w:r>
      <w:r w:rsidR="000503A8">
        <w:rPr>
          <w:rFonts w:eastAsiaTheme="minorEastAsia"/>
        </w:rPr>
        <w:t xml:space="preserve">  (Equation 1)</w:t>
      </w:r>
    </w:p>
    <w:p w14:paraId="442E1EEE" w14:textId="2721F43E" w:rsidR="001D4F04" w:rsidRDefault="00B13808" w:rsidP="008A3630">
      <w:pPr>
        <w:spacing w:line="480" w:lineRule="auto"/>
      </w:pPr>
      <w:r>
        <w:t>The</w:t>
      </w:r>
      <w:r w:rsidR="00DC170B" w:rsidRPr="00194419">
        <w:rPr>
          <w:vertAlign w:val="superscript"/>
        </w:rPr>
        <w:t>3</w:t>
      </w:r>
      <w:r w:rsidR="00DC170B" w:rsidRPr="00194419">
        <w:t>H</w:t>
      </w:r>
      <w:r>
        <w:t xml:space="preserve"> activity</w:t>
      </w:r>
      <w:r w:rsidR="00DA5425">
        <w:t xml:space="preserve"> and the corrected </w:t>
      </w:r>
      <w:r w:rsidR="00DC170B" w:rsidRPr="00194419">
        <w:t>CFC-12</w:t>
      </w:r>
      <w:r w:rsidR="0053773E" w:rsidRPr="00194419">
        <w:t xml:space="preserve"> and SF</w:t>
      </w:r>
      <w:r w:rsidR="0053773E" w:rsidRPr="00194419">
        <w:rPr>
          <w:vertAlign w:val="subscript"/>
        </w:rPr>
        <w:t>6</w:t>
      </w:r>
      <w:r w:rsidR="008525F8" w:rsidRPr="00194419">
        <w:t xml:space="preserve"> </w:t>
      </w:r>
      <w:r w:rsidR="00DA5425">
        <w:t>concentrations</w:t>
      </w:r>
      <w:r w:rsidR="008525F8" w:rsidRPr="00194419">
        <w:t xml:space="preserve"> w</w:t>
      </w:r>
      <w:r w:rsidR="00D73933" w:rsidRPr="00194419">
        <w:t>ere</w:t>
      </w:r>
      <w:r w:rsidR="00DC170B" w:rsidRPr="00194419">
        <w:t xml:space="preserve"> compared </w:t>
      </w:r>
      <w:r w:rsidR="00D73933" w:rsidRPr="00194419">
        <w:t>to</w:t>
      </w:r>
      <w:r w:rsidR="00DC170B" w:rsidRPr="00194419">
        <w:t xml:space="preserve"> their respective atmospheric input function</w:t>
      </w:r>
      <w:r w:rsidR="00D73933" w:rsidRPr="00194419">
        <w:t>s</w:t>
      </w:r>
      <w:r w:rsidR="00DC170B" w:rsidRPr="00194419">
        <w:t>.</w:t>
      </w:r>
      <w:r w:rsidR="00187078" w:rsidRPr="00194419">
        <w:t xml:space="preserve"> </w:t>
      </w:r>
      <w:r w:rsidR="009B2CD9" w:rsidRPr="00194419">
        <w:t>The CFC-12</w:t>
      </w:r>
      <w:r w:rsidR="0053773E" w:rsidRPr="00194419">
        <w:t xml:space="preserve"> and SF</w:t>
      </w:r>
      <w:r w:rsidR="0053773E" w:rsidRPr="00194419">
        <w:rPr>
          <w:vertAlign w:val="subscript"/>
        </w:rPr>
        <w:t>6</w:t>
      </w:r>
      <w:r w:rsidR="00187078" w:rsidRPr="00194419">
        <w:t xml:space="preserve"> </w:t>
      </w:r>
      <w:r w:rsidR="009B2CD9" w:rsidRPr="00194419">
        <w:t xml:space="preserve">atmospheric mixing ratio in precipitations for Northern Hemisphere atmosphere </w:t>
      </w:r>
      <w:r w:rsidR="00187078" w:rsidRPr="00194419">
        <w:t xml:space="preserve">was obtained from </w:t>
      </w:r>
      <w:r w:rsidR="00CB0DDA" w:rsidRPr="00194419">
        <w:t xml:space="preserve">USGS </w:t>
      </w:r>
      <w:r w:rsidR="00B56BCA" w:rsidRPr="00194419">
        <w:fldChar w:fldCharType="begin" w:fldLock="1"/>
      </w:r>
      <w:r w:rsidR="005527DE" w:rsidRPr="00194419">
        <w:instrText>ADDIN CSL_CITATION {"citationItems":[{"id":"ITEM-1","itemData":{"author":[{"dropping-particle":"","family":"USGS","given":"","non-dropping-particle":"","parse-names":false,"suffix":""}],"container-title":"USGS GW Dating Lab Group.","id":"ITEM-1","issued":{"date-parts":[["2018"]]},"page":"https://water.usgs.gov/lab/software/air_curve/","title":"Atmospheric mixing ratios of CFC-11, CFC-12, CFC-113, SF&lt;sub&gt;6&lt;/sub&gt; x100, and tritium in precipitations for Northern Hemisphere atmosphere.","type":"webpage"},"uris":["http://www.mendeley.com/documents/?uuid=c25276ee-216b-41f7-bb16-fffb83b03fbb"]}],"mendeley":{"formattedCitation":"(USGS, 2018)","manualFormatting":"(2018)","plainTextFormattedCitation":"(USGS, 2018)","previouslyFormattedCitation":"(USGS, 2018)"},"properties":{"noteIndex":0},"schema":"https://github.com/citation-style-language/schema/raw/master/csl-citation.json"}</w:instrText>
      </w:r>
      <w:r w:rsidR="00B56BCA" w:rsidRPr="00194419">
        <w:fldChar w:fldCharType="separate"/>
      </w:r>
      <w:r w:rsidR="00B56BCA" w:rsidRPr="00194419">
        <w:rPr>
          <w:noProof/>
        </w:rPr>
        <w:t>(2018)</w:t>
      </w:r>
      <w:r w:rsidR="00B56BCA" w:rsidRPr="00194419">
        <w:fldChar w:fldCharType="end"/>
      </w:r>
      <w:r w:rsidR="00486FA6" w:rsidRPr="00194419">
        <w:t xml:space="preserve">, </w:t>
      </w:r>
      <w:r w:rsidR="00991C02" w:rsidRPr="00194419">
        <w:t xml:space="preserve">referred to SIO-2005 scale </w:t>
      </w:r>
      <w:r w:rsidR="0003615F" w:rsidRPr="00194419">
        <w:fldChar w:fldCharType="begin" w:fldLock="1"/>
      </w:r>
      <w:r w:rsidR="0003615F" w:rsidRPr="00194419">
        <w:instrText>ADDIN CSL_CITATION {"citationItems":[{"id":"ITEM-1","itemData":{"author":[{"dropping-particle":"","family":"Bullister","given":"J L","non-dropping-particle":"","parse-names":false,"suffix":""},{"dropping-particle":"","family":"Tanhua","given":"T","non-dropping-particle":"","parse-names":false,"suffix":""}],"container-title":"The GO-SHIP repeat hydrography manual: a collection of expert reports and guidelines","editor":[{"dropping-particle":"","family":"Hood","given":"E.M","non-dropping-particle":"","parse-names":false,"suffix":""},{"dropping-particle":"","family":"Sabne","given":"C.L.","non-dropping-particle":"","parse-names":false,"suffix":""},{"dropping-particle":"","family":"Sloyan","given":"B.M","non-dropping-particle":"","parse-names":false,"suffix":""}],"id":"ITEM-1","issued":{"date-parts":[["2010"]]},"publisher":"IOCCP Report Number 14, ICPO Public ation Series Number 134.","title":"Sampling and Measurement of Chlorofluorocarbons and Sulfur","type":"chapter"},"uris":["http://www.mendeley.com/documents/?uuid=711976b0-c981-4d90-9be3-4157ec4563dc"]}],"mendeley":{"formattedCitation":"(Bullister and Tanhua, 2010)","plainTextFormattedCitation":"(Bullister and Tanhua, 2010)","previouslyFormattedCitation":"(Bullister and Tanhua, 2010)"},"properties":{"noteIndex":0},"schema":"https://github.com/citation-style-language/schema/raw/master/csl-citation.json"}</w:instrText>
      </w:r>
      <w:r w:rsidR="0003615F" w:rsidRPr="00194419">
        <w:fldChar w:fldCharType="separate"/>
      </w:r>
      <w:r w:rsidR="0003615F" w:rsidRPr="00194419">
        <w:rPr>
          <w:noProof/>
        </w:rPr>
        <w:t>(Bullister and Tanhua, 2010)</w:t>
      </w:r>
      <w:r w:rsidR="0003615F" w:rsidRPr="00194419">
        <w:fldChar w:fldCharType="end"/>
      </w:r>
      <w:r w:rsidR="001D4F04">
        <w:t xml:space="preserve"> </w:t>
      </w:r>
      <w:r w:rsidR="003437D1">
        <w:t xml:space="preserve">Because of a higher solubility of </w:t>
      </w:r>
      <w:r w:rsidR="001D4F04">
        <w:t>CFC-12</w:t>
      </w:r>
      <w:r w:rsidR="003437D1">
        <w:t xml:space="preserve"> compared to He, Ne and SF6,</w:t>
      </w:r>
      <w:r w:rsidR="001D4F04">
        <w:t xml:space="preserve"> </w:t>
      </w:r>
      <w:r w:rsidR="003437D1">
        <w:t xml:space="preserve">corrections of CFC-12 data are overestimated by this simple approach. </w:t>
      </w:r>
      <w:r w:rsidR="00991C02" w:rsidRPr="00194419">
        <w:t xml:space="preserve"> </w:t>
      </w:r>
    </w:p>
    <w:p w14:paraId="1DF5D8F6" w14:textId="70097EDC" w:rsidR="007F6C6E" w:rsidRPr="00194419" w:rsidRDefault="001D4F04" w:rsidP="008A3630">
      <w:pPr>
        <w:spacing w:line="480" w:lineRule="auto"/>
      </w:pPr>
      <w:r>
        <w:lastRenderedPageBreak/>
        <w:t>A</w:t>
      </w:r>
      <w:r w:rsidR="009B2CD9" w:rsidRPr="00194419">
        <w:t xml:space="preserve"> specific tritium input function from Andalusia was generated </w:t>
      </w:r>
      <w:r w:rsidR="007C4734" w:rsidRPr="00194419">
        <w:t xml:space="preserve">using the available </w:t>
      </w:r>
      <w:r w:rsidR="009B2CD9" w:rsidRPr="00194419">
        <w:t xml:space="preserve">data from </w:t>
      </w:r>
      <w:r w:rsidR="007C4734" w:rsidRPr="00194419">
        <w:t xml:space="preserve">5 </w:t>
      </w:r>
      <w:r w:rsidR="009B2CD9" w:rsidRPr="00194419">
        <w:t>GNIP stations</w:t>
      </w:r>
      <w:r w:rsidR="007C4734" w:rsidRPr="00194419">
        <w:t xml:space="preserve"> in S Spain and Gibraltar</w:t>
      </w:r>
      <w:r w:rsidR="009B2CD9" w:rsidRPr="00194419">
        <w:t xml:space="preserve"> </w:t>
      </w:r>
      <w:r w:rsidR="0003615F" w:rsidRPr="00194419">
        <w:fldChar w:fldCharType="begin" w:fldLock="1"/>
      </w:r>
      <w:r w:rsidR="0003615F" w:rsidRPr="00194419">
        <w:instrText>ADDIN CSL_CITATION {"citationItems":[{"id":"ITEM-1","itemData":{"author":[{"dropping-particle":"","family":"IAEA/WMO","given":"","non-dropping-particle":"","parse-names":false,"suffix":""}],"container-title":"https://nucleus.iaea.org/wiser/index.aspx.","id":"ITEM-1","issued":{"date-parts":[["2018"]]},"title":"Global Network of Isotopes in Precipitation. The GNIP Database.","type":"webpage"},"uris":["http://www.mendeley.com/documents/?uuid=1b833faa-7423-4a32-920b-aa69c28abaf0"]}],"mendeley":{"formattedCitation":"(IAEA/WMO, 2018)","plainTextFormattedCitation":"(IAEA/WMO, 2018)","previouslyFormattedCitation":"(IAEA/WMO, 2018)"},"properties":{"noteIndex":0},"schema":"https://github.com/citation-style-language/schema/raw/master/csl-citation.json"}</w:instrText>
      </w:r>
      <w:r w:rsidR="0003615F" w:rsidRPr="00194419">
        <w:fldChar w:fldCharType="separate"/>
      </w:r>
      <w:r w:rsidR="0003615F" w:rsidRPr="00194419">
        <w:rPr>
          <w:noProof/>
        </w:rPr>
        <w:t>(IAEA/WMO, 2018)</w:t>
      </w:r>
      <w:r w:rsidR="0003615F" w:rsidRPr="00194419">
        <w:fldChar w:fldCharType="end"/>
      </w:r>
      <w:r w:rsidR="007C4734" w:rsidRPr="00194419">
        <w:t>, those within a 150 km radius from the study areas</w:t>
      </w:r>
      <w:r w:rsidR="007C4734" w:rsidRPr="00194419">
        <w:rPr>
          <w:noProof/>
        </w:rPr>
        <w:t>. T</w:t>
      </w:r>
      <w:r w:rsidR="009B2CD9" w:rsidRPr="00194419">
        <w:rPr>
          <w:noProof/>
        </w:rPr>
        <w:t>he</w:t>
      </w:r>
      <w:r w:rsidR="00C8747E" w:rsidRPr="00194419">
        <w:t xml:space="preserve"> </w:t>
      </w:r>
      <w:r w:rsidR="00C8747E" w:rsidRPr="00194419">
        <w:rPr>
          <w:vertAlign w:val="superscript"/>
        </w:rPr>
        <w:t>3</w:t>
      </w:r>
      <w:r w:rsidR="00C8747E" w:rsidRPr="00194419">
        <w:t>H</w:t>
      </w:r>
      <w:r w:rsidR="009B2CD9" w:rsidRPr="00194419">
        <w:t xml:space="preserve"> input curve was created by </w:t>
      </w:r>
      <w:r w:rsidR="00801AF1" w:rsidRPr="00194419">
        <w:t xml:space="preserve">the </w:t>
      </w:r>
      <w:r w:rsidR="009B2CD9" w:rsidRPr="00194419">
        <w:rPr>
          <w:noProof/>
        </w:rPr>
        <w:t>correlation</w:t>
      </w:r>
      <w:r w:rsidR="009B2CD9" w:rsidRPr="00194419">
        <w:t xml:space="preserve"> between </w:t>
      </w:r>
      <w:r w:rsidR="007C4734" w:rsidRPr="00194419">
        <w:t xml:space="preserve">that data and </w:t>
      </w:r>
      <w:r w:rsidR="009B2CD9" w:rsidRPr="00194419">
        <w:t xml:space="preserve">the tritium in precipitation record of GNIP </w:t>
      </w:r>
      <w:r w:rsidR="007C4734" w:rsidRPr="00194419">
        <w:t xml:space="preserve">Vienna </w:t>
      </w:r>
      <w:r w:rsidR="009B2CD9" w:rsidRPr="00194419">
        <w:t>station.</w:t>
      </w:r>
      <w:r w:rsidR="001D48E2" w:rsidRPr="00194419">
        <w:t xml:space="preserve"> </w:t>
      </w:r>
      <w:r w:rsidR="000229C0" w:rsidRPr="00194419">
        <w:t xml:space="preserve">As </w:t>
      </w:r>
      <w:r w:rsidR="000229C0" w:rsidRPr="00194419">
        <w:rPr>
          <w:vertAlign w:val="superscript"/>
        </w:rPr>
        <w:t>3</w:t>
      </w:r>
      <w:r w:rsidR="000229C0" w:rsidRPr="00194419">
        <w:t xml:space="preserve">H is </w:t>
      </w:r>
      <w:r w:rsidR="007C4734" w:rsidRPr="00194419">
        <w:t xml:space="preserve">a </w:t>
      </w:r>
      <w:r w:rsidR="000229C0" w:rsidRPr="00194419">
        <w:t>radioactive</w:t>
      </w:r>
      <w:r w:rsidR="007C4734" w:rsidRPr="00194419">
        <w:t xml:space="preserve"> isotope</w:t>
      </w:r>
      <w:r w:rsidR="000229C0" w:rsidRPr="00194419">
        <w:t xml:space="preserve">, part of the </w:t>
      </w:r>
      <w:r w:rsidR="000229C0" w:rsidRPr="00194419">
        <w:rPr>
          <w:vertAlign w:val="superscript"/>
        </w:rPr>
        <w:t>3</w:t>
      </w:r>
      <w:r w:rsidR="000229C0" w:rsidRPr="00194419">
        <w:t xml:space="preserve">H recharged from 1953 </w:t>
      </w:r>
      <w:r w:rsidR="00C61714">
        <w:t>has</w:t>
      </w:r>
      <w:r w:rsidR="00C61714" w:rsidRPr="00194419">
        <w:t xml:space="preserve"> </w:t>
      </w:r>
      <w:r w:rsidR="007C4734" w:rsidRPr="00194419">
        <w:t xml:space="preserve">already </w:t>
      </w:r>
      <w:r w:rsidR="000229C0" w:rsidRPr="00194419">
        <w:t>decayed. Thus, a decayed input function</w:t>
      </w:r>
      <w:r w:rsidR="007C4734" w:rsidRPr="00194419">
        <w:t xml:space="preserve"> (scaled to 2016)</w:t>
      </w:r>
      <w:r w:rsidR="000229C0" w:rsidRPr="00194419">
        <w:t xml:space="preserve"> was created based on the radioactive decay l</w:t>
      </w:r>
      <w:r w:rsidR="007C4734" w:rsidRPr="00194419">
        <w:t>a</w:t>
      </w:r>
      <w:r w:rsidR="000229C0" w:rsidRPr="00194419">
        <w:t xml:space="preserve">w and the </w:t>
      </w:r>
      <w:r w:rsidR="000229C0" w:rsidRPr="00194419">
        <w:rPr>
          <w:vertAlign w:val="superscript"/>
        </w:rPr>
        <w:t>3</w:t>
      </w:r>
      <w:r w:rsidR="000229C0" w:rsidRPr="00194419">
        <w:t>H decay constant, of 0.05626 yr</w:t>
      </w:r>
      <w:r w:rsidR="000229C0" w:rsidRPr="00194419">
        <w:rPr>
          <w:vertAlign w:val="superscript"/>
        </w:rPr>
        <w:t>-1</w:t>
      </w:r>
      <w:r w:rsidR="00DF1AAA" w:rsidRPr="00194419">
        <w:t xml:space="preserve"> (ln(2)/12.32 yr).</w:t>
      </w:r>
    </w:p>
    <w:p w14:paraId="29095C9A" w14:textId="07B69B45" w:rsidR="00DA405C" w:rsidRPr="00194419" w:rsidRDefault="001D48E2" w:rsidP="008A3630">
      <w:pPr>
        <w:spacing w:line="480" w:lineRule="auto"/>
      </w:pPr>
      <w:r w:rsidRPr="00194419">
        <w:t>CFC-12</w:t>
      </w:r>
      <w:r w:rsidR="000A33D5" w:rsidRPr="00194419">
        <w:t xml:space="preserve"> and </w:t>
      </w:r>
      <w:r w:rsidR="000A33D5" w:rsidRPr="00194419">
        <w:rPr>
          <w:vertAlign w:val="superscript"/>
        </w:rPr>
        <w:t>3</w:t>
      </w:r>
      <w:r w:rsidR="000A33D5" w:rsidRPr="00194419">
        <w:t>H</w:t>
      </w:r>
      <w:r w:rsidR="000229C0" w:rsidRPr="00194419">
        <w:t xml:space="preserve"> decay</w:t>
      </w:r>
      <w:r w:rsidR="007C4734" w:rsidRPr="00194419">
        <w:t>ed</w:t>
      </w:r>
      <w:r w:rsidRPr="00194419">
        <w:t xml:space="preserve"> input </w:t>
      </w:r>
      <w:r w:rsidR="004915E1" w:rsidRPr="00194419">
        <w:t>functions were used to develop B</w:t>
      </w:r>
      <w:r w:rsidRPr="00194419">
        <w:t xml:space="preserve">inary </w:t>
      </w:r>
      <w:r w:rsidR="004915E1" w:rsidRPr="00194419">
        <w:t>M</w:t>
      </w:r>
      <w:r w:rsidRPr="00194419">
        <w:t xml:space="preserve">ixing </w:t>
      </w:r>
      <w:r w:rsidR="004915E1" w:rsidRPr="00194419">
        <w:t>M</w:t>
      </w:r>
      <w:r w:rsidRPr="00194419">
        <w:t>odels (BM</w:t>
      </w:r>
      <w:r w:rsidR="00D73933" w:rsidRPr="00194419">
        <w:t>M</w:t>
      </w:r>
      <w:r w:rsidRPr="00194419">
        <w:t>)</w:t>
      </w:r>
      <w:r w:rsidR="00A9660A">
        <w:t>,</w:t>
      </w:r>
      <w:r w:rsidR="00945976">
        <w:t xml:space="preserve"> </w:t>
      </w:r>
      <w:r w:rsidR="004915E1" w:rsidRPr="00194419">
        <w:t>S</w:t>
      </w:r>
      <w:r w:rsidR="00D73933" w:rsidRPr="00194419">
        <w:t>hape-</w:t>
      </w:r>
      <w:r w:rsidR="004915E1" w:rsidRPr="00194419">
        <w:t>F</w:t>
      </w:r>
      <w:r w:rsidR="00D73933" w:rsidRPr="00194419">
        <w:t xml:space="preserve">ree </w:t>
      </w:r>
      <w:r w:rsidR="004915E1" w:rsidRPr="00194419">
        <w:t>M</w:t>
      </w:r>
      <w:r w:rsidR="00D73933" w:rsidRPr="00194419">
        <w:t xml:space="preserve">odels (SFM) </w:t>
      </w:r>
      <w:r w:rsidR="00A9660A">
        <w:t xml:space="preserve">and Lumped Parameter Models (LPM) </w:t>
      </w:r>
      <w:r w:rsidRPr="00194419">
        <w:t>that could explain the</w:t>
      </w:r>
      <w:r w:rsidR="007F6C6E" w:rsidRPr="00194419">
        <w:t xml:space="preserve"> observed tracer concentrations and permit quantify</w:t>
      </w:r>
      <w:r w:rsidR="0078404B" w:rsidRPr="00194419">
        <w:t>ing</w:t>
      </w:r>
      <w:r w:rsidR="007F6C6E" w:rsidRPr="00194419">
        <w:t xml:space="preserve"> the amount of old groundwater (</w:t>
      </w:r>
      <w:r w:rsidR="00005D34" w:rsidRPr="00194419">
        <w:t xml:space="preserve">i.e., tritium and CFC </w:t>
      </w:r>
      <w:r w:rsidR="007F6C6E" w:rsidRPr="00194419">
        <w:t>free) in each sample (</w:t>
      </w:r>
      <w:r w:rsidR="007F6C6E" w:rsidRPr="00194419">
        <w:rPr>
          <w:i/>
        </w:rPr>
        <w:t>F</w:t>
      </w:r>
      <w:r w:rsidR="007F6C6E" w:rsidRPr="00194419">
        <w:rPr>
          <w:i/>
          <w:vertAlign w:val="subscript"/>
        </w:rPr>
        <w:t>old</w:t>
      </w:r>
      <w:r w:rsidR="0078404B" w:rsidRPr="00194419">
        <w:t>),</w:t>
      </w:r>
      <w:r w:rsidR="007F6C6E" w:rsidRPr="00194419">
        <w:t xml:space="preserve"> </w:t>
      </w:r>
      <w:r w:rsidR="00DA405C" w:rsidRPr="00194419">
        <w:t>approximat</w:t>
      </w:r>
      <w:r w:rsidR="0078404B" w:rsidRPr="00194419">
        <w:t>ing</w:t>
      </w:r>
      <w:r w:rsidR="00B40697" w:rsidRPr="00194419">
        <w:t xml:space="preserve"> </w:t>
      </w:r>
      <w:r w:rsidR="00DA405C" w:rsidRPr="00194419">
        <w:rPr>
          <w:vertAlign w:val="superscript"/>
        </w:rPr>
        <w:t>3</w:t>
      </w:r>
      <w:r w:rsidR="00DA405C" w:rsidRPr="00194419">
        <w:t xml:space="preserve">H and </w:t>
      </w:r>
      <w:r w:rsidR="00EF08CC" w:rsidRPr="00194419">
        <w:t>CFC</w:t>
      </w:r>
      <w:r w:rsidR="00EF08CC" w:rsidRPr="00194419">
        <w:noBreakHyphen/>
      </w:r>
      <w:r w:rsidR="00DA405C" w:rsidRPr="00194419">
        <w:t xml:space="preserve">12 </w:t>
      </w:r>
      <w:r w:rsidR="0078404B" w:rsidRPr="00194419">
        <w:t xml:space="preserve">mean </w:t>
      </w:r>
      <w:r w:rsidR="00DA405C" w:rsidRPr="00194419">
        <w:t>ages of the</w:t>
      </w:r>
      <w:r w:rsidR="007F6C6E" w:rsidRPr="00194419">
        <w:t xml:space="preserve"> modern fraction (</w:t>
      </w:r>
      <w:r w:rsidR="007F6C6E" w:rsidRPr="00194419">
        <w:rPr>
          <w:i/>
        </w:rPr>
        <w:t>F</w:t>
      </w:r>
      <w:r w:rsidR="007F6C6E" w:rsidRPr="00194419">
        <w:rPr>
          <w:i/>
          <w:vertAlign w:val="subscript"/>
        </w:rPr>
        <w:t>young</w:t>
      </w:r>
      <w:r w:rsidR="007F6C6E" w:rsidRPr="00194419">
        <w:t>)</w:t>
      </w:r>
      <w:r w:rsidR="0078404B" w:rsidRPr="00194419">
        <w:t>,</w:t>
      </w:r>
      <w:r w:rsidR="00DA405C" w:rsidRPr="00194419">
        <w:t xml:space="preserve"> </w:t>
      </w:r>
      <w:r w:rsidR="0078404B" w:rsidRPr="00194419">
        <w:t>and defining</w:t>
      </w:r>
      <w:r w:rsidR="00DA405C" w:rsidRPr="00194419">
        <w:t xml:space="preserve"> its</w:t>
      </w:r>
      <w:r w:rsidR="007F6C6E" w:rsidRPr="00194419">
        <w:t xml:space="preserve"> </w:t>
      </w:r>
      <w:r w:rsidR="00B40697" w:rsidRPr="00194419">
        <w:t>groundwater age distribution.</w:t>
      </w:r>
      <w:r w:rsidR="0028291E" w:rsidRPr="00194419">
        <w:t xml:space="preserve"> In this study, </w:t>
      </w:r>
      <w:r w:rsidR="0028291E" w:rsidRPr="00194419">
        <w:rPr>
          <w:i/>
        </w:rPr>
        <w:t>F</w:t>
      </w:r>
      <w:r w:rsidR="0028291E" w:rsidRPr="00194419">
        <w:rPr>
          <w:i/>
          <w:vertAlign w:val="subscript"/>
        </w:rPr>
        <w:t>old</w:t>
      </w:r>
      <w:r w:rsidR="0028291E" w:rsidRPr="00194419">
        <w:t xml:space="preserve"> is considered to be infiltrated </w:t>
      </w:r>
      <w:r w:rsidR="00C61714">
        <w:t>before</w:t>
      </w:r>
      <w:r w:rsidR="00C61714" w:rsidRPr="00194419">
        <w:t xml:space="preserve"> </w:t>
      </w:r>
      <w:r w:rsidR="00A81499" w:rsidRPr="00194419">
        <w:t xml:space="preserve">the </w:t>
      </w:r>
      <w:r w:rsidR="0028291E" w:rsidRPr="00194419">
        <w:rPr>
          <w:noProof/>
        </w:rPr>
        <w:t>1940’s</w:t>
      </w:r>
      <w:r w:rsidR="0028291E" w:rsidRPr="00194419">
        <w:t xml:space="preserve"> decade, </w:t>
      </w:r>
      <w:r w:rsidR="00C61714" w:rsidRPr="00194419">
        <w:t>previously</w:t>
      </w:r>
      <w:r w:rsidR="0028291E" w:rsidRPr="00194419">
        <w:t xml:space="preserve"> </w:t>
      </w:r>
      <w:r w:rsidR="00C61714">
        <w:t xml:space="preserve">to </w:t>
      </w:r>
      <w:r w:rsidR="007C4734" w:rsidRPr="00194419">
        <w:t xml:space="preserve">the </w:t>
      </w:r>
      <w:r w:rsidR="0028291E" w:rsidRPr="00194419">
        <w:rPr>
          <w:noProof/>
        </w:rPr>
        <w:t>anthropogenic</w:t>
      </w:r>
      <w:r w:rsidR="0028291E" w:rsidRPr="00194419">
        <w:t xml:space="preserve"> release of</w:t>
      </w:r>
      <w:r w:rsidR="0078404B" w:rsidRPr="00194419">
        <w:t xml:space="preserve"> both</w:t>
      </w:r>
      <w:r w:rsidR="0028291E" w:rsidRPr="00194419">
        <w:t xml:space="preserve"> </w:t>
      </w:r>
      <w:r w:rsidR="0028291E" w:rsidRPr="00194419">
        <w:rPr>
          <w:vertAlign w:val="superscript"/>
        </w:rPr>
        <w:t>3</w:t>
      </w:r>
      <w:r w:rsidR="0028291E" w:rsidRPr="00194419">
        <w:t xml:space="preserve">H </w:t>
      </w:r>
      <w:r w:rsidR="0078404B" w:rsidRPr="00194419">
        <w:t>and</w:t>
      </w:r>
      <w:r w:rsidR="0028291E" w:rsidRPr="00194419">
        <w:t xml:space="preserve"> CFC</w:t>
      </w:r>
      <w:r w:rsidR="0028291E" w:rsidRPr="00194419">
        <w:noBreakHyphen/>
        <w:t>12.</w:t>
      </w:r>
    </w:p>
    <w:p w14:paraId="4E4A3A6C" w14:textId="390AB05F" w:rsidR="007F6C6E" w:rsidRPr="00194419" w:rsidRDefault="007F6C6E" w:rsidP="008A3630">
      <w:pPr>
        <w:spacing w:line="480" w:lineRule="auto"/>
      </w:pPr>
      <w:r w:rsidRPr="00194419">
        <w:t>The</w:t>
      </w:r>
      <w:r w:rsidR="00DA405C" w:rsidRPr="00194419">
        <w:t xml:space="preserve"> use of BMM is </w:t>
      </w:r>
      <w:r w:rsidR="00B40697" w:rsidRPr="00194419">
        <w:t>widely</w:t>
      </w:r>
      <w:r w:rsidR="00DA405C" w:rsidRPr="00194419">
        <w:t xml:space="preserve"> extended </w:t>
      </w:r>
      <w:r w:rsidR="00B40697" w:rsidRPr="00194419">
        <w:t xml:space="preserve">in literature </w:t>
      </w:r>
      <w:r w:rsidR="0003615F" w:rsidRPr="00194419">
        <w:fldChar w:fldCharType="begin" w:fldLock="1"/>
      </w:r>
      <w:r w:rsidR="00941999" w:rsidRPr="00194419">
        <w:instrText>ADDIN CSL_CITATION {"citationItems":[{"id":"ITEM-1","itemData":{"DOI":"10.1029/95WR01584","ISBN":"0043-1397","ISSN":"00431397","abstract":"The history and fate of groundwater nitrate (NO • -) contamination were compared in 2 small adjacent agricultural watersheds in the Atlantic coastal plain by combined use of chronologic (CC12F2, 3H), chemical (dissolved solids, gases), and isotopic (• 15N, • 13C, • 34S) analyses of recharging groundwaters, discharging groundwaters, and surface waters. The results demonstrate the interactive effects of changing agricultural practices, groundwater residence times, and local geologic features on the transfer of NO • -through local flow systems. Recharge dates of groundwaters taken in 1990-1992 from the surficial aquifer in the Chesterville Branch and Morgan Creek watersheds near Locust Grove, Maryland, ranged from pre-1940 to the late 1980's. When corrected for localized denitrification by use of dissolved gas concentrations, the dated waters provide a 40-year record of the recharge rate of NO • , which increased in both watersheds by a factor of 3-6, most rapidly in the 1970's. The increase in groundwater NO • -over time was approximately proportional to the documented increase in regional N fertilizer use, and could be accounted for by oxidation and leaching of about 20-35% of the fertilizer N. Groundwaters discharging upward beneath streams in both watersheds had measured recharge dates from pre-1940 to 1975, while chemical data for second-order reaches of the streams indicated average groundwater residence times in the order of 20+ years. At the time of the study, NO • -discharge rates were less than NO • -recharge rates for at least two reasons: (1) discharge of relatively old waters with low initial NO • -concentrations, and (2) local denitrification. In the Chesterville Branch watershed, groundwaters remained oxic throughout much of the surficial aquifer and discharged relatively unaltered to the stream, which had a relatively high NO • concentration (9-10 mg/L as N). In the Morgan Creek watershed, groundwaters were largely reduced and denitrified before discharging to the stream, which had a relatively low NO • -concentration (2-3 mg/L as N). Chemical and isotopic data indicate that quantitative denitrification occurred within buried calcareous glauconitic marine sediments that are present at relatively shallow depths beneath the Morgan Creek watershed. NO • -removal by forests, wetlands, and shallow organic-rich soils in near-stream environments was largely avoided by groundwaters that followed relatively deep flow paths before converging and disc…","author":[{"dropping-particle":"","family":"Bohlke","given":"J K","non-dropping-particle":"","parse-names":false,"suffix":""},{"dropping-particle":"","family":"Denver","given":"J M","non-dropping-particle":"","parse-names":false,"suffix":""}],"container-title":"Water Resources Research","id":"ITEM-1","issue":"9","issued":{"date-parts":[["1995"]]},"page":"2319-2339","title":"Combined use of ground- water dating, chemical, and isotopic analyses to resolve the history and fate of nitrate contamination in two agricultural watersheds, atlantic coastal Plain, Maryland","type":"article-journal","volume":"31"},"uris":["http://www.mendeley.com/documents/?uuid=d0ca769e-af26-437f-b2b6-6265aaeb3cd4"]},{"id":"ITEM-2","itemData":{"DOI":"10.1016/S0012-821X(03)00206-1","ISBN":"0012-821X","ISSN":"0012821X","abstract":"The isotopic ratios81Kr/Kr and36Cl/Cl and the4He concentrations measured in groundwater from four artesian wells in the western part of the Great Artesian Basin (GAB) in Australia are discussed. Based on radioactive decay along a water flow path the81Kr/Kr ratios are directly converted to groundwater residence times. Results are in a range of 225-400 kyr with error bars in the order of 15% primarily due to counting statistics in the cyclotron accelerator mass spectrometer measurement. Additional uncertainties from subsurface production and/or exchange with stagnant porewaters in the confining shales appear to be of the same order of magnitude. These81Kr ages are then used to calibrate the36Cl and the4He dating methods. Based on elemental analyses of rock samples from the sandstone aquifer as well as from the confining Bulldog shale the in situ flux of thermal neutrons and the corresponding3He/4He and36Cl/Cl ratios are calculated. From a comparison of: (i) the3He/4He ratios measured in the groundwater samples with the calculated in situ ratios in rocks and (ii) the measured δ37Cl ratios with the4He concentrations measured in groundwater it is concluded that both helium and chloride are most likely added to the aquifer from sources in the stagnant porewaters of the confining shale by diffusion and/or mixing. Based on this 'working hypothesis' the36Cl transport equation in groundwater is solved taking into account: (i) radioactive decay, (ii) subsurface production in the sandstone aquifer (with an in situ36Cl/Cl ratio of 6×10-15) and (iii) addition of chloride from a source in the confining shale (with a36Cl/Cl ratio of 13×10-15). Lacking better information it is assumed that the chloride concentration increased linearly with time from an (unknown) initial value Cito its measured present value C = Ci+ Ca, where Carepresents the (unknown) amount of chloride added from subsurface sources. Using the81Kr ages of the four groundwater samples and a reasonable initial36Cl/Cl ratio of 125×10-15, which is consistent with other studies in this part of the GAB, it is then possible to determine ( Ci, Ca) parameter sets for all four samples and consequently to simulate the Cl and the36Cl evolution with time. Strong evidence that the whole procedure is adequate comes from: (i) a comparison of Ciwith the calculated noble gas recharge temperatures (NGRT) indicating that a higher NGRT is related to higher input chloride concentrations Ci(because of higher evapotranspiratio…","author":[{"dropping-particle":"","family":"Lehmann","given":"B. E.","non-dropping-particle":"","parse-names":false,"suffix":""},{"dropping-particle":"","family":"Love","given":"A.","non-dropping-particle":"","parse-names":false,"suffix":""},{"dropping-particle":"","family":"Purtschert","given":"R.","non-dropping-particle":"","parse-names":false,"suffix":""},{"dropping-particle":"","family":"Collon","given":"P.","non-dropping-particle":"","parse-names":false,"suffix":""},{"dropping-particle":"","family":"Loosli","given":"H. H.","non-dropping-particle":"","parse-names":false,"suffix":""},{"dropping-particle":"","family":"Kutschera","given":"W.","non-dropping-particle":"","parse-names":false,"suffix":""},{"dropping-particle":"","family":"Beyerle","given":"U.","non-dropping-particle":"","parse-names":false,"suffix":""},{"dropping-particle":"","family":"Aeschbach-Hertig","given":"W.","non-dropping-particle":"","parse-names":false,"suffix":""},{"dropping-particle":"","family":"Kipfer","given":"R.","non-dropping-particle":"","parse-names":false,"suffix":""},{"dropping-particle":"","family":"Frape","given":"S. K.","non-dropping-particle":"","parse-names":false,"suffix":""},{"dropping-particle":"","family":"Herczeg","given":"A.","non-dropping-particle":"","parse-names":false,"suffix":""},{"dropping-particle":"","family":"Moran","given":"J.","non-dropping-particle":"","parse-names":false,"suffix":""},{"dropping-particle":"","family":"Tolstikhin","given":"I. N.","non-dropping-particle":"","parse-names":false,"suffix":""},{"dropping-particle":"","family":"Gröning","given":"M.","non-dropping-particle":"","parse-names":false,"suffix":""}],"container-title":"Earth and Planetary Science Letters","id":"ITEM-2","issue":"3-4","issued":{"date-parts":[["2003"]]},"page":"237-250","title":"A comparison of groundwater dating with &lt;sup&gt;81&lt;/sup&gt;Kr, &lt;sup&gt;36&lt;/sup&gt;Cl and &lt;sup&gt;4&lt;/sup&gt;He in four wells of the Great Artesian Basin, Australia","type":"article-journal","volume":"211"},"uris":["http://www.mendeley.com/documents/?uuid=3aa314d0-e905-4804-b827-6f99f0db6883"]},{"id":"ITEM-3","itemData":{"DOI":"10.1002/hyp.1403","ISBN":"0885-6087","ISSN":"08856087","abstract":"In the early 1960s, the US Geological Survey began routinely analysing river water samples for tritium concentrations at locations within the Mississippi River basin. The sites included the main stem of the Mississippi River (at Luling Ferry, Louisiana), and three of its major tributaries, the Ohio River (at Markland Dam, Kentucky), the upper Missouri River (at Nebraska City, Nebraska) and the Arkansas River (near Van Buren, Arkansas). The measurements cover the period during the peak of the bomb-produced tritium transient when tritium concentrations in precipitation rose above natural levels by two to three orders of magnitude. Using measurements of tritium concentrations in precipitation, a tritium input function was established for the river basins above the Ohio River, Missouri River and Arkansas River sampling locations. Owing to the extent of the basin above the Luling Ferry site, no input function was developed for that location. The input functions for the Ohio and Missouri Rivers were then used in a two-component mixing model to estimate residence times of water within these two basins. (The Arkansas River was not modelled because of extremely large yearly variations in flow during the peak of the tritium transient.) The two components used were: (i) recent precipitation (prompt outflow) and (ii) waters derived from the long-term groundwater reservoir of the basin. The tritium concentration of the second component is a function of the atmospheric input and the residence times of the groundwaters within the basin. Using yearly time periods, the parameters of the model were varied until a best fit was obtained between modelled and measured tritium data. The results from the model indicate that about 40% of the flow in the Ohio River was from prompt outflow, as compared with 10% for the Missouri River. Mean residence times of 10 years were calculated for the groundwater component of the Ohio River versus 4 years for the Missouri River. The mass flux of tritium through the Mississippi Basin and its tributaries was calculated during the years that tritium measurements were made. The cumulative fluxes, calculated in grams of 3H were: (i) 160 g for the Ohio (1961-1986), (ii) 98 g for the upper Missouri (1963-1997), (iii) 30 g for the Arkansas (1961-1997) and (iv) 780 g for the Mississippi (1961-1997).","author":[{"dropping-particle":"","family":"Michel","given":"Robert L.","non-dropping-particle":"","parse-names":false,"suffix":""}],"container-title":"Hydrological Processes","id":"ITEM-3","issue":"7","issued":{"date-parts":[["2004"]]},"page":"1255-1269","title":"Tritium hydrology of the Mississippi River basin","type":"article-journal","volume":"18"},"uris":["http://www.mendeley.com/documents/?uuid=c93ffc4f-97e3-4be4-b66e-3dc83acacd69"]},{"id":"ITEM-4","itemData":{"author":[{"dropping-particle":"","family":"Stanton","given":"Jennifer S","non-dropping-particle":"","parse-names":false,"suffix":""},{"dropping-particle":"","family":"Landon","given":"Matthew K","non-dropping-particle":"","parse-names":false,"suffix":""},{"dropping-particle":"","family":"Turco","given":"Michael J","non-dropping-particle":"","parse-names":false,"suffix":""}],"id":"ITEM-4","issued":{"date-parts":[["2007"]]},"number-of-pages":"37","publisher-place":"Reston, Virginia","title":"Ground-Water Age and Quality in the High Plains Aquifer near Seward, Nebraska, 2003–04","type":"report"},"uris":["http://www.mendeley.com/documents/?uuid=fb6462a1-4470-4626-9dcb-dc3d2a3d2b15"]},{"id":"ITEM-5","itemData":{"DOI":"10.1111/j.1745-6584.2008.00504.x","ISBN":"1745-6584 (Electronic)\\r0017-467X (Linking)","ISSN":"0017467X","PMID":"18823399","abstract":"To assess the vulnerability of ground water to contamination in the karstic Upper Floridan aquifer (UFA), age-dating tracers and selected anthropogenic and naturally occurring compounds were analyzed in multiple water samples from a public supply well (PSW) near Tampa, Florida. Samples also were collected from 28 monitoring wells in the UFA and the overlying surficial aquifer system (SAS) and intermediate confining unit located within the contributing recharge area to the PSW. Age tracer and geochemical data from the earlier stage of the study (2003 through 2005) were combined with new data (2006) on concentrations of sulfur hexafluoride (SF6), tritium (3H), and helium-3, which were consistent with binary mixtures of water for the PSW dominated by young water (less than 7 years). Water samples from the SAS also indicated mostly young water (less than 7 years); however, most water samples from monitoring wells in the UFA had lower SF6 and 3H concentrations than the PSW and SAS, indicating mixtures containing high proportions of older water (more than 60 years). Vulnerability of the PSW to contamination was indicated by predominantly young water and elevated nitrate-N and volatile organic compound concentrations that were similar to those in the SAS. Elevated arsenic (As) concentrations (3 to 19 mg/L) and higher As(V)/As(III) ratios in the PSW than in water from UFA monitoring wells indicate that oxic water from the SAS likely mobilizes As from pyrite in the UFA matrix. Young water found in the PSW also was present in UFA monitoring wells that tap a highly transmissive zone (43- to 53-m depth) in the UFA.","author":[{"dropping-particle":"","family":"Katz","given":"B. G.","non-dropping-particle":"","parse-names":false,"suffix":""},{"dropping-particle":"","family":"McBride","given":"W. S.","non-dropping-particle":"","parse-names":false,"suffix":""},{"dropping-particle":"","family":"Hunt","given":"A. G.","non-dropping-particle":"","parse-names":false,"suffix":""},{"dropping-particle":"","family":"Crandall","given":"C. A.","non-dropping-particle":"","parse-names":false,"suffix":""},{"dropping-particle":"","family":"Metz","given":"P. A.","non-dropping-particle":"","parse-names":false,"suffix":""},{"dropping-particle":"","family":"Eberts","given":"S. M.","non-dropping-particle":"","parse-names":false,"suffix":""},{"dropping-particle":"","family":"Berndt","given":"M. P.","non-dropping-particle":"","parse-names":false,"suffix":""}],"container-title":"Ground Water","id":"ITEM-5","issue":"3","issued":{"date-parts":[["2009"]]},"page":"438-452","title":"Vulnerability of a public supply well in a karstic aquifer to contamination","type":"article-journal","volume":"47"},"uris":["http://www.mendeley.com/documents/?uuid=637fe89e-1415-401e-9ac1-22ce57d15cbd"]},{"id":"ITEM-6","itemData":{"DOI":"10.1029/2009WR008341","ISBN":"0043-1397","ISSN":"00431397","abstract":"We tested three models of mixing between old interbasin groundwater flow (IGF) and young, locally derived groundwater in a lowland rain forest in Costa Rica using a large suite of environmental tracers. We focus on the young fraction of water using the transient tracers CFC-11, CFC-12, CFC-113, SF6, 3H, and bomb 14C. We measured 3He, but 3H/3He dating is generally problematic due to the presence of mantle 3He. Because of their unique concentration histories in the atmosphere, combinations of transient tracers are sensitive not only to subsurface travel times but also to mixing between waters having different travel times. Samples fall into three distinct categories: (1) young waters that plot along a piston flow line, (2) old samples that have near-zero concentrations of the transient tracers, and (3) mixtures of 1 and 2. We have modeled the concentrations of the transient tracers using (1) a binary mixing model (BMM) of old and young water with the young fraction transported via piston flow, (2) an exponential mixing model (EMM) with a distribution of groundwater travel times characterized by a mean value, and (3) an exponential mixing model for the young fraction followed by binary mixing with an old fraction (EMM/BMM). In spite of the mathematical differences in the mixing models, they all lead to a similar conceptual model of young (0 to 10 year) groundwater that is locally derived mixing with old (&amp;gt;1000 years) groundwater that is recharged beyond the surface water boundary of the system.","author":[{"dropping-particle":"","family":"Solomon","given":"D. K.","non-dropping-particle":"","parse-names":false,"suffix":""},{"dropping-particle":"","family":"Genereux","given":"David P.","non-dropping-particle":"","parse-names":false,"suffix":""},{"dropping-particle":"","family":"Plummer","given":"L. Niel","non-dropping-particle":"","parse-names":false,"suffix":""},{"dropping-particle":"","family":"Busenberg","given":"Eurybiades","non-dropping-particle":"","parse-names":false,"suffix":""}],"container-title":"Water Resources Research","id":"ITEM-6","issue":"4","issued":{"date-parts":[["2010"]]},"page":"1-14","title":"Testing mixing models of old and young groundwater in a tropical lowland rain forest with environmental tracers","type":"article-journal","volume":"46"},"uris":["http://www.mendeley.com/documents/?uuid=6f03bf01-4ec2-47b6-b350-88e5f8ec6d09"]},{"id":"ITEM-7","itemData":{"DOI":"10.1016/j.jhydrol.2015.06.022","ISBN":"00221694 (ISSN)","ISSN":"00221694","abstract":"Twenty-five public supply wells throughout the hydrogeologically diverse region of Scania, southern Sweden are subjected to environmental tracer analysis (3H-3He, 4He, CFCs, SF6 and for one well only also 85Kr and 39Ar) to study well and aquifer vulnerability and evaluate possibilities of groundwater age distribution assessment. We find CFC and SF6 concentrations well above solubility equilibrium with modern atmosphere, indicating local contamination, as well as indications of CFC degradation. The tracer-specific complications considerably constrain possibilities for sound quantitative regional groundwater age distribution assessments and demonstrate the importance of initial qualitative assessment of tracer-specific reliability, as well a need for additional, complementary tracers (e.g. 85Kr, 39Ar and potentially also 14C). Lumped parameter modelling yields credible age distribution assessments for representative wells in four type aquifers. Pollution vulnerability of the aquifer types was based on the selected LPM models and qualitative age characterisation. Most vulnerable are unconfined dual porosity and fractured bedrock aquifers, due to a large component of very young groundwater. Unconfined sedimentary aquifers are vulnerable due to young groundwater and a small pre-modern component. Less vulnerable are semi-confined sedimentary or dual-porosity aquifers, due to older age of the modern component and a larger pre-modern component. Confined aquifers appear least vulnerable, due an entirely pre-modern groundwater age distribution (recharged before 1963). Tracer complications aside, environmental tracer analyses and lumped parameter modelling aid in vulnerability assessment and protection of regional groundwater resources.","author":[{"dropping-particle":"","family":"Akesson","given":"Maria","non-dropping-particle":"","parse-names":false,"suffix":""},{"dropping-particle":"","family":"Suckow","given":"Axel","non-dropping-particle":"","parse-names":false,"suffix":""},{"dropping-particle":"","family":"Visser","given":"Ate","non-dropping-particle":"","parse-names":false,"suffix":""},{"dropping-particle":"","family":"Sültenfuss","given":"Jürgen","non-dropping-particle":"","parse-names":false,"suffix":""},{"dropping-particle":"","family":"Laier","given":"Troels","non-dropping-particle":"","parse-names":false,"suffix":""},{"dropping-particle":"","family":"Purtschert","given":"Roland","non-dropping-particle":"","parse-names":false,"suffix":""},{"dropping-particle":"","family":"Sparrenbom","given":"Charlotte J.","non-dropping-particle":"","parse-names":false,"suffix":""}],"container-title":"Journal of Hydrology","id":"ITEM-7","issued":{"date-parts":[["2015"]]},"page":"217-229","title":"Constraining age distributions of groundwater from public supply wells in diverse hydrogeological settings in Scania, Sweden","type":"article-journal","volume":"528"},"uris":["http://www.mendeley.com/documents/?uuid=4b567828-885e-4748-8e47-eca1aa20883f"]},{"id":"ITEM-8","itemData":{"DOI":"10.1002/hyp.11465","ISSN":"10991085","abstract":"Copyright © 2018 John Wiley  &amp;  Sons, Ltd. In an aquifer system with complex hydrogeology, mixing of groundwater with different ages could occur associated with various flow pathways. In this study, we applied different groundwater age-estimation techniques (lumped parameter model and numerical model) to characterize groundwater age distributions and the major pathways of nitrate contamination in the Gosan agricultural field, Jeju Island. According to the lumped parameter model, groundwater age in the study area could be explained by the binary mixing of the young groundwater (4–33 years) and the old water component ( &gt; 60 years). The complex hydrogeologic regimes and local heterogeneity observed in the study area (multilayered aquifer, well leakage hydraulics) were particularly well reflected in the numerical model. The numerical model predicted that the regional aquifer of Gosan responded to the fertilizer applications more rapidly (mean age: 9.7–22.3 years) than as estimated by other models. Our study results demonstrated that application and comparison of multiple age-estimation methods can be useful to understand better the flow regimes and the mixing characteristics of groundwater with different ages (pathways), and accordingly, to reduce the risk of improper groundwater management plans arising from the aquifer heterogeneity.","author":[{"dropping-particle":"","family":"Koh","given":"Eun Hee","non-dropping-particle":"","parse-names":false,"suffix":""},{"dropping-particle":"","family":"Lee","given":"Eunhee","non-dropping-particle":"","parse-names":false,"suffix":""},{"dropping-particle":"","family":"Kaown","given":"Dugin","non-dropping-particle":"","parse-names":false,"suffix":""},{"dropping-particle":"","family":"Green","given":"Christopher T.","non-dropping-particle":"","parse-names":false,"suffix":""},{"dropping-particle":"","family":"Koh","given":"Dong Chan","non-dropping-particle":"","parse-names":false,"suffix":""},{"dropping-particle":"","family":"Lee","given":"Kang Kun","non-dropping-particle":"","parse-names":false,"suffix":""},{"dropping-particle":"","family":"Lee","given":"Seung Hyun","non-dropping-particle":"","parse-names":false,"suffix":""}],"container-title":"Hydrological Processes","id":"ITEM-8","issue":"7","issued":{"date-parts":[["2018"]]},"page":"923-938","title":"Comparison of groundwater age models for assessing nitrate loading, transport pathways, and management options in a complex aquifer system","type":"article-journal","volume":"32"},"uris":["http://www.mendeley.com/documents/?uuid=cfaedb9d-22c8-4c4f-aee8-bcca391d0030"]}],"mendeley":{"formattedCitation":"(Akesson et al., 2015; Bohlke and Denver, 1995; Katz et al., 2009; Koh et al., 2018; Lehmann et al., 2003; Michel, 2004; Solomon et al., 2010; Stanton et al., 2007)","plainTextFormattedCitation":"(Akesson et al., 2015; Bohlke and Denver, 1995; Katz et al., 2009; Koh et al., 2018; Lehmann et al., 2003; Michel, 2004; Solomon et al., 2010; Stanton et al., 2007)","previouslyFormattedCitation":"(Akesson et al., 2015; Bohlke and Denver, 1995; Katz et al., 2009; Koh et al., 2018; Lehmann et al., 2003; Michel, 2004; Solomon et al., 2010; Stanton et al., 2007)"},"properties":{"noteIndex":0},"schema":"https://github.com/citation-style-language/schema/raw/master/csl-citation.json"}</w:instrText>
      </w:r>
      <w:r w:rsidR="0003615F" w:rsidRPr="00194419">
        <w:fldChar w:fldCharType="separate"/>
      </w:r>
      <w:r w:rsidR="0003615F" w:rsidRPr="00194419">
        <w:rPr>
          <w:noProof/>
        </w:rPr>
        <w:t>(Akesson et al., 2015; Bohlke and Denver, 1995; Katz et al., 2009; Koh et al., 2018; Lehmann et al., 2003; Michel, 2004; Solomon et al., 2010; Stanton et al., 2007)</w:t>
      </w:r>
      <w:r w:rsidR="0003615F" w:rsidRPr="00194419">
        <w:fldChar w:fldCharType="end"/>
      </w:r>
      <w:r w:rsidR="00DA405C" w:rsidRPr="00194419">
        <w:t xml:space="preserve"> as</w:t>
      </w:r>
      <w:r w:rsidR="00B40697" w:rsidRPr="00194419">
        <w:t xml:space="preserve"> a simplification proxy that</w:t>
      </w:r>
      <w:r w:rsidR="00DA405C" w:rsidRPr="00194419">
        <w:t xml:space="preserve"> </w:t>
      </w:r>
      <w:r w:rsidR="00B40697" w:rsidRPr="00194419">
        <w:t xml:space="preserve">easily </w:t>
      </w:r>
      <w:r w:rsidR="00DA405C" w:rsidRPr="00194419">
        <w:t>help</w:t>
      </w:r>
      <w:r w:rsidR="00EF08CC" w:rsidRPr="00194419">
        <w:t>s</w:t>
      </w:r>
      <w:r w:rsidR="00DA405C" w:rsidRPr="00194419">
        <w:t xml:space="preserve"> to </w:t>
      </w:r>
      <w:r w:rsidR="00B40697" w:rsidRPr="00194419">
        <w:t xml:space="preserve">interpret the variation of chemical components in a set of samples of a given hydrological system </w:t>
      </w:r>
      <w:r w:rsidR="0003615F" w:rsidRPr="00194419">
        <w:fldChar w:fldCharType="begin" w:fldLock="1"/>
      </w:r>
      <w:r w:rsidR="0003615F" w:rsidRPr="00194419">
        <w:instrText>ADDIN CSL_CITATION {"citationItems":[{"id":"ITEM-1","itemData":{"author":[{"dropping-particle":"","family":"Plummer","given":"L.N.","non-dropping-particle":"","parse-names":false,"suffix":""},{"dropping-particle":"","family":"Busenberg","given":"E.","non-dropping-particle":"","parse-names":false,"suffix":""},{"dropping-particle":"","family":"Han","given":"L.F.","non-dropping-particle":"","parse-names":false,"suffix":""}],"container-title":"Use of Chlorofluorocarbons in Hydrology: a guidebook.","id":"ITEM-1","issued":{"date-parts":[["2006"]]},"page":"72-59","publisher":"International Atomic Energy Agency","title":"CFCs in binary mixture of young and old groundwater.","type":"chapter"},"uris":["http://www.mendeley.com/documents/?uuid=fcb74124-8918-4c51-8dbb-65b56dcedb3a"]}],"mendeley":{"formattedCitation":"(Plummer et al., 2006)","plainTextFormattedCitation":"(Plummer et al., 2006)","previouslyFormattedCitation":"(Plummer et al., 2006)"},"properties":{"noteIndex":0},"schema":"https://github.com/citation-style-language/schema/raw/master/csl-citation.json"}</w:instrText>
      </w:r>
      <w:r w:rsidR="0003615F" w:rsidRPr="00194419">
        <w:fldChar w:fldCharType="separate"/>
      </w:r>
      <w:r w:rsidR="0003615F" w:rsidRPr="00194419">
        <w:rPr>
          <w:noProof/>
        </w:rPr>
        <w:t>(Plummer et al., 2006)</w:t>
      </w:r>
      <w:r w:rsidR="0003615F" w:rsidRPr="00194419">
        <w:fldChar w:fldCharType="end"/>
      </w:r>
      <w:r w:rsidR="00B40697" w:rsidRPr="00194419">
        <w:t>.</w:t>
      </w:r>
      <w:r w:rsidRPr="00194419">
        <w:t xml:space="preserve"> BMM </w:t>
      </w:r>
      <w:r w:rsidR="00612FE0" w:rsidRPr="00194419">
        <w:t xml:space="preserve">assume </w:t>
      </w:r>
      <w:r w:rsidR="007C4734" w:rsidRPr="00194419">
        <w:t xml:space="preserve">a </w:t>
      </w:r>
      <w:r w:rsidRPr="00194419">
        <w:rPr>
          <w:noProof/>
        </w:rPr>
        <w:t>binary</w:t>
      </w:r>
      <w:r w:rsidRPr="00194419">
        <w:t xml:space="preserve"> mixture of young and old water in which </w:t>
      </w:r>
      <w:r w:rsidR="00612FE0" w:rsidRPr="00194419">
        <w:rPr>
          <w:i/>
        </w:rPr>
        <w:t>F</w:t>
      </w:r>
      <w:r w:rsidR="00612FE0" w:rsidRPr="00194419">
        <w:rPr>
          <w:i/>
          <w:vertAlign w:val="subscript"/>
        </w:rPr>
        <w:t>y</w:t>
      </w:r>
      <w:r w:rsidR="0028291E" w:rsidRPr="00194419">
        <w:rPr>
          <w:i/>
          <w:vertAlign w:val="subscript"/>
        </w:rPr>
        <w:t>oung</w:t>
      </w:r>
      <w:r w:rsidR="00612FE0" w:rsidRPr="00194419">
        <w:t xml:space="preserve"> is transported via piston flow.</w:t>
      </w:r>
      <w:r w:rsidR="0028291E" w:rsidRPr="00194419">
        <w:t xml:space="preserve"> </w:t>
      </w:r>
      <w:r w:rsidR="00DA405C" w:rsidRPr="00194419">
        <w:t xml:space="preserve">The tracer concentration in </w:t>
      </w:r>
      <w:r w:rsidR="0028291E" w:rsidRPr="00194419">
        <w:t xml:space="preserve">each </w:t>
      </w:r>
      <w:r w:rsidR="00DA405C" w:rsidRPr="00194419">
        <w:t>sample</w:t>
      </w:r>
      <w:r w:rsidR="0028291E" w:rsidRPr="00194419">
        <w:t xml:space="preserve"> (</w:t>
      </w:r>
      <w:r w:rsidR="0028291E" w:rsidRPr="00194419">
        <w:rPr>
          <w:i/>
        </w:rPr>
        <w:t>C</w:t>
      </w:r>
      <w:r w:rsidR="0028291E" w:rsidRPr="00194419">
        <w:rPr>
          <w:i/>
          <w:vertAlign w:val="subscript"/>
        </w:rPr>
        <w:t>s</w:t>
      </w:r>
      <w:r w:rsidR="0028291E" w:rsidRPr="00194419">
        <w:t xml:space="preserve">) </w:t>
      </w:r>
      <w:r w:rsidR="00DA405C" w:rsidRPr="00194419">
        <w:t xml:space="preserve">is </w:t>
      </w:r>
      <w:r w:rsidR="0028291E" w:rsidRPr="00194419">
        <w:t>given by:</w:t>
      </w:r>
    </w:p>
    <w:p w14:paraId="26F4BF05" w14:textId="68784A88" w:rsidR="00005D34" w:rsidRPr="00194419" w:rsidRDefault="00696AD3" w:rsidP="002C22B9">
      <w:pPr>
        <w:spacing w:line="480" w:lineRule="auto"/>
        <w:ind w:firstLine="0"/>
      </w:pPr>
      <m:oMath>
        <m:sSub>
          <m:sSubPr>
            <m:ctrlPr>
              <w:rPr>
                <w:rFonts w:ascii="Cambria Math" w:hAnsi="Cambria Math"/>
              </w:rPr>
            </m:ctrlPr>
          </m:sSubPr>
          <m:e>
            <m:r>
              <w:rPr>
                <w:rFonts w:ascii="Cambria Math" w:hAnsi="Cambria Math"/>
              </w:rPr>
              <m:t>C</m:t>
            </m:r>
          </m:e>
          <m:sub>
            <m:r>
              <w:rPr>
                <w:rFonts w:ascii="Cambria Math" w:hAnsi="Cambria Math"/>
              </w:rPr>
              <m:t>s</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young</m:t>
            </m:r>
          </m:sub>
        </m:sSub>
        <m:sSub>
          <m:sSubPr>
            <m:ctrlPr>
              <w:rPr>
                <w:rFonts w:ascii="Cambria Math" w:hAnsi="Cambria Math"/>
              </w:rPr>
            </m:ctrlPr>
          </m:sSubPr>
          <m:e>
            <m:r>
              <m:rPr>
                <m:sty m:val="p"/>
              </m:rPr>
              <w:rPr>
                <w:rFonts w:ascii="Cambria Math" w:hAnsi="Cambria Math"/>
              </w:rPr>
              <m:t>·</m:t>
            </m:r>
            <m:r>
              <w:rPr>
                <w:rFonts w:ascii="Cambria Math" w:hAnsi="Cambria Math"/>
              </w:rPr>
              <m:t>F</m:t>
            </m:r>
          </m:e>
          <m:sub>
            <m:r>
              <w:rPr>
                <w:rFonts w:ascii="Cambria Math" w:hAnsi="Cambria Math"/>
              </w:rPr>
              <m:t>young</m:t>
            </m:r>
          </m:sub>
        </m:sSub>
        <m:r>
          <m:rPr>
            <m:sty m:val="p"/>
          </m:rPr>
          <w:rPr>
            <w:rFonts w:ascii="Cambria Math" w:hAnsi="Cambria Math"/>
          </w:rPr>
          <m:t>+</m:t>
        </m:r>
        <m:sSub>
          <m:sSubPr>
            <m:ctrlPr>
              <w:rPr>
                <w:rFonts w:ascii="Cambria Math" w:hAnsi="Cambria Math"/>
              </w:rPr>
            </m:ctrlPr>
          </m:sSubPr>
          <m:e>
            <m:r>
              <w:rPr>
                <w:rFonts w:ascii="Cambria Math" w:hAnsi="Cambria Math"/>
              </w:rPr>
              <m:t>F</m:t>
            </m:r>
          </m:e>
          <m:sub>
            <m:r>
              <w:rPr>
                <w:rFonts w:ascii="Cambria Math" w:hAnsi="Cambria Math"/>
              </w:rPr>
              <m:t>old</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old</m:t>
            </m:r>
          </m:sub>
        </m:sSub>
      </m:oMath>
      <w:r w:rsidR="000503A8">
        <w:rPr>
          <w:rFonts w:eastAsiaTheme="minorEastAsia"/>
        </w:rPr>
        <w:tab/>
        <w:t>(Equation 2)</w:t>
      </w:r>
    </w:p>
    <w:p w14:paraId="6D55F06A" w14:textId="2A93AE0B" w:rsidR="0028291E" w:rsidRPr="00194419" w:rsidRDefault="0028291E" w:rsidP="008A3630">
      <w:pPr>
        <w:spacing w:line="480" w:lineRule="auto"/>
      </w:pPr>
    </w:p>
    <w:p w14:paraId="6047DDD5" w14:textId="148E2CF6" w:rsidR="007F6C6E" w:rsidRPr="00194419" w:rsidRDefault="0028291E" w:rsidP="00945976">
      <w:pPr>
        <w:spacing w:line="480" w:lineRule="auto"/>
        <w:ind w:firstLine="0"/>
      </w:pPr>
      <w:r w:rsidRPr="00194419">
        <w:lastRenderedPageBreak/>
        <w:t xml:space="preserve">where </w:t>
      </w:r>
      <w:r w:rsidRPr="00194419">
        <w:rPr>
          <w:i/>
        </w:rPr>
        <w:t>C</w:t>
      </w:r>
      <w:r w:rsidRPr="00194419">
        <w:rPr>
          <w:i/>
          <w:vertAlign w:val="subscript"/>
        </w:rPr>
        <w:t>young</w:t>
      </w:r>
      <w:r w:rsidRPr="00194419">
        <w:t xml:space="preserve"> and </w:t>
      </w:r>
      <w:r w:rsidRPr="00194419">
        <w:rPr>
          <w:i/>
        </w:rPr>
        <w:t>C</w:t>
      </w:r>
      <w:r w:rsidRPr="00194419">
        <w:rPr>
          <w:i/>
          <w:vertAlign w:val="subscript"/>
        </w:rPr>
        <w:t>old</w:t>
      </w:r>
      <w:r w:rsidRPr="00194419">
        <w:t xml:space="preserve"> are the tracer concentrations in </w:t>
      </w:r>
      <w:r w:rsidRPr="00194419">
        <w:rPr>
          <w:i/>
        </w:rPr>
        <w:t>F</w:t>
      </w:r>
      <w:r w:rsidRPr="00194419">
        <w:rPr>
          <w:i/>
          <w:vertAlign w:val="subscript"/>
        </w:rPr>
        <w:t>young</w:t>
      </w:r>
      <w:r w:rsidRPr="00194419">
        <w:t xml:space="preserve"> and </w:t>
      </w:r>
      <w:r w:rsidRPr="00194419">
        <w:rPr>
          <w:i/>
        </w:rPr>
        <w:t>F</w:t>
      </w:r>
      <w:r w:rsidRPr="00194419">
        <w:rPr>
          <w:i/>
          <w:vertAlign w:val="subscript"/>
        </w:rPr>
        <w:t>old</w:t>
      </w:r>
      <w:r w:rsidR="00EF1524" w:rsidRPr="00194419">
        <w:t>, respectively.</w:t>
      </w:r>
    </w:p>
    <w:p w14:paraId="093BB8A7" w14:textId="36BABBF7" w:rsidR="001F6FA7" w:rsidRPr="00194419" w:rsidRDefault="00C74139" w:rsidP="008A3630">
      <w:pPr>
        <w:spacing w:line="480" w:lineRule="auto"/>
      </w:pPr>
      <w:r w:rsidRPr="00194419">
        <w:t>The</w:t>
      </w:r>
      <w:r w:rsidR="00EF50AD" w:rsidRPr="00194419">
        <w:t xml:space="preserve"> use of </w:t>
      </w:r>
      <w:r w:rsidRPr="00194419">
        <w:t xml:space="preserve">SFM </w:t>
      </w:r>
      <w:r w:rsidR="00EF50AD" w:rsidRPr="00194419">
        <w:t xml:space="preserve">in groundwater dating </w:t>
      </w:r>
      <w:r w:rsidRPr="00194419">
        <w:t xml:space="preserve">is a </w:t>
      </w:r>
      <w:r w:rsidR="009F036D" w:rsidRPr="00194419">
        <w:t>more novel</w:t>
      </w:r>
      <w:r w:rsidRPr="00194419">
        <w:t xml:space="preserve"> approach </w:t>
      </w:r>
      <w:r w:rsidR="0003615F" w:rsidRPr="00194419">
        <w:fldChar w:fldCharType="begin" w:fldLock="1"/>
      </w:r>
      <w:r w:rsidR="00E11C2E">
        <w:instrText>ADDIN CSL_CITATION {"citationItems":[{"id":"ITEM-1","itemData":{"DOI":"10.1002/2013WR014012","ISBN":"1944-7973","ISSN":"00431397","abstract":"Groundwater age is a key aspect of production well vulnerability. Public drinking water supply wells typically have long screens and are expected to produce a mixture of groundwater ages. The groundwater age distributions of seven production wells of the Holten well field (Netherlands) were estimated from tritium-helium (3H/3He), krypton-85 (85Kr), and argon-39 (39Ar), using a new application of a discrete age distribution model and existing mathematical models, by minimizing the uncertainty-weighted squared differences of modeled and measured tracer concentrations. The observed tracer concentrations fitted well to a 4-bin discrete age distribution model or a dispersion model with a fraction of old groundwater. Our results show that more than 75% of the water pumped by four shallow production wells has a groundwater age of less than 20 years and these wells are very vulnerable to recent surface contamination. More than 50% of the water pumped by three deep production wells is older than 60 years. 3H/3He samples from short screened monitoring wells surrounding the well field constrained the age stratification in the aquifer. The discrepancy between the age stratification with depth and the groundwater age distribution of the production wells showed that the well field preferentially pumps from the shallow part of the aquifer. The discrete groundwater age distribution model appears to be a suitable approach in settings where the shape of the age distribution cannot be assumed to follow a simple mathematical model, such as a production well field where wells compete for capture area.","author":[{"dropping-particle":"","family":"Visser","given":"Ate","non-dropping-particle":"","parse-names":false,"suffix":""},{"dropping-particle":"","family":"Broers","given":"Hans Peter","non-dropping-particle":"","parse-names":false,"suffix":""},{"dropping-particle":"","family":"Purtschert","given":"Roland","non-dropping-particle":"","parse-names":false,"suffix":""},{"dropping-particle":"","family":"Sültenfuß","given":"Jürgen","non-dropping-particle":"","parse-names":false,"suffix":""},{"dropping-particle":"","family":"Jonge","given":"Martin","non-dropping-particle":"de","parse-names":false,"suffix":""}],"container-title":"Water Resources Research","id":"ITEM-1","issue":"11","issued":{"date-parts":[["2013","11"]]},"page":"7778-7796","title":"Groundwater age distributions at a public drinking water supply well field derived from multiple age tracers (&lt;sup&gt;85&lt;/sup&gt;Kr, &lt;sup&gt;3&lt;/sup&gt;H/&lt;sup&gt;3&lt;/sup&gt;He, and &lt;sup&gt;39&lt;/sup&gt;Ar)","type":"article-journal","volume":"49"},"uris":["http://www.mendeley.com/documents/?uuid=69f51588-f06d-463e-92ec-1bc1d5bab382"]},{"id":"ITEM-2","itemData":{"DOI":"10.1016/j.apgeochem.2013.10.004","ISBN":"0883-2927","ISSN":"18729134","abstract":"Due to the mixing of groundwaters with different ages in aquifers, groundwater age is more appropriately represented by a distribution rather than a scalar number. To infer a groundwater age distribution from environmental tracers, a mathematical form is often assumed for the shape of the distribution and the parameters of the mathematical distribution are estimated using deterministic or stochastic inverse methods. The prescription of the mathematical form limits the exploration of the age distribution to the shapes that can be described by the selected distribution. In this paper, the use of freeform histograms as groundwater age distributions is evaluated. A Bayesian Markov Chain Monte Carlo approach is used to estimate the fraction of groundwater in each histogram bin. The method was able to capture the shape of a hypothetical gamma distribution from the concentrations of four age tracers. The number of bins that can be considered in this approach is limited based on the number of tracers available. The histogram method was also tested on tracer data sets from Holten (The Netherlands;3H,3He,85Kr,39Ar) and the La Selva Biological Station (Costa-Rica; SF6, CFCs,3H,4He and14C), and compared to a number of mathematical forms. According to standard Bayesian measures of model goodness, the best mathematical distribution performs better than the histogram distributions in terms of the ability to capture the observed tracer data relative to their complexity. Among the histogram distributions, the four bin histogram performs better in most of the cases. The Monte Carlo simulations showed strong correlations in the posterior estimates of bin contributions, indicating that these bins cannot be well constrained using the available age tracers. The fact that mathematical forms overall perform better than the freeform histogram does not undermine the benefit of the freeform approach, especially for the cases where a larger amount of observed data is available and when the real groundwater distribution is more complex than can be represented by simple mathematical forms.","author":[{"dropping-particle":"","family":"Massoudieh","given":"Arash","non-dropping-particle":"","parse-names":false,"suffix":""},{"dropping-particle":"","family":"Visser","given":"Ate","non-dropping-particle":"","parse-names":false,"suffix":""},{"dropping-particle":"","family":"Sharifi","given":"Soroosh","non-dropping-particle":"","parse-names":false,"suffix":""},{"dropping-particle":"","family":"Broers","given":"Hans Peter","non-dropping-particle":"","parse-names":false,"suffix":""}],"container-title":"Applied Geochemistry","id":"ITEM-2","issued":{"date-parts":[["2014"]]},"page":"252-264","publisher":"Elsevier Ltd","title":"A Bayesian modeling approach for estimation of a shape-free groundwater age distribution using multiple tracers","type":"article-journal","volume":"50"},"uris":["http://www.mendeley.com/documents/?uuid=129ba8b5-4ad0-4fc3-90c1-7e054cf4e819"]},{"id":"ITEM-3","itemData":{"DOI":"10.1002/2013WR014979.Reply","ISBN":"6176273099","ISSN":"00431397","PMID":"1000287943","author":[{"dropping-particle":"","family":"Mccallum","given":"James L.","non-dropping-particle":"","parse-names":false,"suffix":""},{"dropping-particle":"","family":"Cook","given":"Peter G.","non-dropping-particle":"","parse-names":false,"suffix":""},{"dropping-particle":"","family":"Dogramaci","given":"Shawan","non-dropping-particle":"","parse-names":false,"suffix":""},{"dropping-particle":"","family":"Purtschert","given":"Roland","non-dropping-particle":"","parse-names":false,"suffix":""},{"dropping-particle":"","family":"Simmons","given":"Craig T.","non-dropping-particle":"","parse-names":false,"suffix":""},{"dropping-particle":"","family":"Burk","given":"Lawrence","non-dropping-particle":"","parse-names":false,"suffix":""}],"container-title":"Water Resources Research","id":"ITEM-3","issued":{"date-parts":[["2017"]]},"page":"1039-1056","title":"Identifying modern and historic recharge events from tracer- derived groundwater age distributions","type":"article-journal","volume":"53"},"uris":["http://www.mendeley.com/documents/?uuid=664663fc-996d-4f2b-b1a4-33ad6b07783d"]}],"mendeley":{"formattedCitation":"(Massoudieh et al., 2014; Mccallum et al., 2017; Visser et al., 2013)","plainTextFormattedCitation":"(Massoudieh et al., 2014; Mccallum et al., 2017; Visser et al., 2013)","previouslyFormattedCitation":"(Massoudieh et al., 2014; Mccallum et al., 2017; Visser et al., 2013)"},"properties":{"noteIndex":0},"schema":"https://github.com/citation-style-language/schema/raw/master/csl-citation.json"}</w:instrText>
      </w:r>
      <w:r w:rsidR="0003615F" w:rsidRPr="00194419">
        <w:fldChar w:fldCharType="separate"/>
      </w:r>
      <w:r w:rsidR="0003615F" w:rsidRPr="00194419">
        <w:rPr>
          <w:noProof/>
        </w:rPr>
        <w:t>(Massoudieh et al., 2014; Mccallum et al., 2017; Visser et al., 2013)</w:t>
      </w:r>
      <w:r w:rsidR="0003615F" w:rsidRPr="00194419">
        <w:fldChar w:fldCharType="end"/>
      </w:r>
      <w:r w:rsidR="00EF50AD" w:rsidRPr="00194419">
        <w:t>. This is an extension of the BMM</w:t>
      </w:r>
      <w:r w:rsidR="001F6FA7" w:rsidRPr="00194419">
        <w:t xml:space="preserve"> that describe groundwater age distribution by a histogram of </w:t>
      </w:r>
      <w:r w:rsidR="001F6FA7" w:rsidRPr="00194419">
        <w:rPr>
          <w:i/>
        </w:rPr>
        <w:t>n</w:t>
      </w:r>
      <w:r w:rsidR="001F6FA7" w:rsidRPr="00194419">
        <w:t xml:space="preserve"> bins with a uniform age distribution within each bin </w:t>
      </w:r>
      <w:r w:rsidR="0003615F" w:rsidRPr="00194419">
        <w:fldChar w:fldCharType="begin" w:fldLock="1"/>
      </w:r>
      <w:r w:rsidR="00E11C2E">
        <w:instrText>ADDIN CSL_CITATION {"citationItems":[{"id":"ITEM-1","itemData":{"DOI":"10.1002/2013WR014012","ISBN":"1944-7973","ISSN":"00431397","abstract":"Groundwater age is a key aspect of production well vulnerability. Public drinking water supply wells typically have long screens and are expected to produce a mixture of groundwater ages. The groundwater age distributions of seven production wells of the Holten well field (Netherlands) were estimated from tritium-helium (3H/3He), krypton-85 (85Kr), and argon-39 (39Ar), using a new application of a discrete age distribution model and existing mathematical models, by minimizing the uncertainty-weighted squared differences of modeled and measured tracer concentrations. The observed tracer concentrations fitted well to a 4-bin discrete age distribution model or a dispersion model with a fraction of old groundwater. Our results show that more than 75% of the water pumped by four shallow production wells has a groundwater age of less than 20 years and these wells are very vulnerable to recent surface contamination. More than 50% of the water pumped by three deep production wells is older than 60 years. 3H/3He samples from short screened monitoring wells surrounding the well field constrained the age stratification in the aquifer. The discrepancy between the age stratification with depth and the groundwater age distribution of the production wells showed that the well field preferentially pumps from the shallow part of the aquifer. The discrete groundwater age distribution model appears to be a suitable approach in settings where the shape of the age distribution cannot be assumed to follow a simple mathematical model, such as a production well field where wells compete for capture area.","author":[{"dropping-particle":"","family":"Visser","given":"Ate","non-dropping-particle":"","parse-names":false,"suffix":""},{"dropping-particle":"","family":"Broers","given":"Hans Peter","non-dropping-particle":"","parse-names":false,"suffix":""},{"dropping-particle":"","family":"Purtschert","given":"Roland","non-dropping-particle":"","parse-names":false,"suffix":""},{"dropping-particle":"","family":"Sültenfuß","given":"Jürgen","non-dropping-particle":"","parse-names":false,"suffix":""},{"dropping-particle":"","family":"Jonge","given":"Martin","non-dropping-particle":"de","parse-names":false,"suffix":""}],"container-title":"Water Resources Research","id":"ITEM-1","issue":"11","issued":{"date-parts":[["2013","11"]]},"page":"7778-7796","title":"Groundwater age distributions at a public drinking water supply well field derived from multiple age tracers (&lt;sup&gt;85&lt;/sup&gt;Kr, &lt;sup&gt;3&lt;/sup&gt;H/&lt;sup&gt;3&lt;/sup&gt;He, and &lt;sup&gt;39&lt;/sup&gt;Ar)","type":"article-journal","volume":"49"},"uris":["http://www.mendeley.com/documents/?uuid=69f51588-f06d-463e-92ec-1bc1d5bab382"]}],"mendeley":{"formattedCitation":"(Visser et al., 2013)","plainTextFormattedCitation":"(Visser et al., 2013)","previouslyFormattedCitation":"(Visser et al., 2013)"},"properties":{"noteIndex":0},"schema":"https://github.com/citation-style-language/schema/raw/master/csl-citation.json"}</w:instrText>
      </w:r>
      <w:r w:rsidR="0003615F" w:rsidRPr="00194419">
        <w:fldChar w:fldCharType="separate"/>
      </w:r>
      <w:r w:rsidR="0003615F" w:rsidRPr="00194419">
        <w:rPr>
          <w:noProof/>
        </w:rPr>
        <w:t>(Visser et al., 2013)</w:t>
      </w:r>
      <w:r w:rsidR="0003615F" w:rsidRPr="00194419">
        <w:fldChar w:fldCharType="end"/>
      </w:r>
      <w:r w:rsidR="00A9660A">
        <w:t>, and contrary to LPM does not made any assumption about the groundwater flow dynamics.</w:t>
      </w:r>
      <w:r w:rsidR="001F6FA7" w:rsidRPr="00194419">
        <w:t xml:space="preserve"> The</w:t>
      </w:r>
      <w:r w:rsidR="00EA5723" w:rsidRPr="00194419">
        <w:t>n,</w:t>
      </w:r>
      <w:r w:rsidR="001F6FA7" w:rsidRPr="00194419">
        <w:t xml:space="preserve"> </w:t>
      </w:r>
      <w:r w:rsidR="001F6FA7" w:rsidRPr="00194419">
        <w:rPr>
          <w:i/>
        </w:rPr>
        <w:t>C</w:t>
      </w:r>
      <w:r w:rsidR="001F6FA7" w:rsidRPr="00194419">
        <w:rPr>
          <w:i/>
          <w:vertAlign w:val="subscript"/>
        </w:rPr>
        <w:t>s</w:t>
      </w:r>
      <w:r w:rsidR="001F6FA7" w:rsidRPr="00194419">
        <w:t xml:space="preserve"> is </w:t>
      </w:r>
      <w:r w:rsidR="00EA5723" w:rsidRPr="00194419">
        <w:t>the</w:t>
      </w:r>
      <w:r w:rsidR="007632F0">
        <w:t xml:space="preserve"> summation</w:t>
      </w:r>
      <w:r w:rsidR="00EA5723" w:rsidRPr="00194419">
        <w:t xml:space="preserve"> of the </w:t>
      </w:r>
      <w:r w:rsidR="001C0FA6" w:rsidRPr="00194419">
        <w:t>product</w:t>
      </w:r>
      <w:r w:rsidR="00304E8D" w:rsidRPr="00194419">
        <w:t>s</w:t>
      </w:r>
      <w:r w:rsidR="00EA5723" w:rsidRPr="00194419">
        <w:t xml:space="preserve"> </w:t>
      </w:r>
      <w:r w:rsidR="007632F0">
        <w:t xml:space="preserve">of </w:t>
      </w:r>
      <w:r w:rsidR="00EA5723" w:rsidRPr="00194419">
        <w:t>the fraction</w:t>
      </w:r>
      <w:r w:rsidR="007632F0">
        <w:t>s</w:t>
      </w:r>
      <w:r w:rsidR="00EA5723" w:rsidRPr="00194419">
        <w:t xml:space="preserve"> of groundwater </w:t>
      </w:r>
      <w:r w:rsidR="001C0FA6" w:rsidRPr="00194419">
        <w:t xml:space="preserve">sample </w:t>
      </w:r>
      <w:r w:rsidR="00EA5723" w:rsidRPr="00194419">
        <w:t>in each bin (</w:t>
      </w:r>
      <w:r w:rsidR="00EA5723" w:rsidRPr="00194419">
        <w:rPr>
          <w:i/>
        </w:rPr>
        <w:t>F</w:t>
      </w:r>
      <w:r w:rsidR="00EA5723" w:rsidRPr="00194419">
        <w:rPr>
          <w:i/>
          <w:vertAlign w:val="subscript"/>
        </w:rPr>
        <w:t>i</w:t>
      </w:r>
      <w:r w:rsidR="00EA5723" w:rsidRPr="00194419">
        <w:t xml:space="preserve">) </w:t>
      </w:r>
      <w:r w:rsidR="007632F0">
        <w:t>and</w:t>
      </w:r>
      <w:r w:rsidR="007632F0" w:rsidRPr="00194419">
        <w:t xml:space="preserve"> </w:t>
      </w:r>
      <w:r w:rsidR="00304E8D" w:rsidRPr="00194419">
        <w:t>their</w:t>
      </w:r>
      <w:r w:rsidR="00EA5723" w:rsidRPr="00194419">
        <w:t xml:space="preserve"> mean tracer concentration (</w:t>
      </w:r>
      <w:r w:rsidR="00EA5723" w:rsidRPr="00194419">
        <w:rPr>
          <w:i/>
        </w:rPr>
        <w:t>C</w:t>
      </w:r>
      <w:r w:rsidR="00EA5723" w:rsidRPr="00194419">
        <w:rPr>
          <w:i/>
          <w:vertAlign w:val="subscript"/>
        </w:rPr>
        <w:t>i</w:t>
      </w:r>
      <w:r w:rsidR="00EA5723" w:rsidRPr="00194419">
        <w:t>):</w:t>
      </w:r>
    </w:p>
    <w:p w14:paraId="23E0C3EE" w14:textId="72031601" w:rsidR="00EA5723" w:rsidRPr="00194419" w:rsidRDefault="00696AD3" w:rsidP="002C22B9">
      <w:pPr>
        <w:spacing w:line="480" w:lineRule="auto"/>
        <w:ind w:firstLine="0"/>
      </w:pPr>
      <m:oMath>
        <m:sSub>
          <m:sSubPr>
            <m:ctrlPr>
              <w:rPr>
                <w:rFonts w:ascii="Cambria Math" w:hAnsi="Cambria Math"/>
              </w:rPr>
            </m:ctrlPr>
          </m:sSubPr>
          <m:e>
            <m:r>
              <w:rPr>
                <w:rFonts w:ascii="Cambria Math" w:hAnsi="Cambria Math"/>
              </w:rPr>
              <m:t>C</m:t>
            </m:r>
          </m:e>
          <m:sub>
            <m:r>
              <w:rPr>
                <w:rFonts w:ascii="Cambria Math" w:hAnsi="Cambria Math"/>
              </w:rPr>
              <m:t>s</m:t>
            </m:r>
          </m:sub>
        </m:sSub>
        <m:r>
          <m:rPr>
            <m:sty m:val="p"/>
          </m:rPr>
          <w:rPr>
            <w:rFonts w:ascii="Cambria Math" w:hAnsi="Cambria Math"/>
          </w:rPr>
          <m:t>=</m:t>
        </m:r>
        <m:sSub>
          <m:sSubPr>
            <m:ctrlPr>
              <w:rPr>
                <w:rFonts w:ascii="Cambria Math" w:hAnsi="Cambria Math"/>
              </w:rPr>
            </m:ctrlPr>
          </m:sSubPr>
          <m:e>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F</m:t>
                    </m:r>
                  </m:e>
                  <m:sub>
                    <m:r>
                      <w:rPr>
                        <w:rFonts w:ascii="Cambria Math" w:hAnsi="Cambria Math"/>
                      </w:rPr>
                      <m:t>i</m:t>
                    </m:r>
                  </m:sub>
                </m:sSub>
                <m:sSub>
                  <m:sSubPr>
                    <m:ctrlPr>
                      <w:rPr>
                        <w:rFonts w:ascii="Cambria Math" w:hAnsi="Cambria Math"/>
                      </w:rPr>
                    </m:ctrlPr>
                  </m:sSubPr>
                  <m:e>
                    <m:r>
                      <w:rPr>
                        <w:rFonts w:ascii="Cambria Math" w:hAnsi="Cambria Math"/>
                      </w:rPr>
                      <m:t>C</m:t>
                    </m:r>
                  </m:e>
                  <m:sub>
                    <m:r>
                      <w:rPr>
                        <w:rFonts w:ascii="Cambria Math" w:hAnsi="Cambria Math"/>
                      </w:rPr>
                      <m:t>i</m:t>
                    </m:r>
                  </m:sub>
                </m:sSub>
              </m:e>
            </m:nary>
          </m:e>
          <m:sub/>
        </m:sSub>
      </m:oMath>
      <w:r w:rsidR="000503A8">
        <w:rPr>
          <w:rFonts w:eastAsiaTheme="minorEastAsia"/>
        </w:rPr>
        <w:tab/>
        <w:t>(Equation 3)</w:t>
      </w:r>
    </w:p>
    <w:p w14:paraId="40161569" w14:textId="47C27668" w:rsidR="007F6C6E" w:rsidRDefault="00750925" w:rsidP="008A3630">
      <w:pPr>
        <w:spacing w:line="480" w:lineRule="auto"/>
      </w:pPr>
      <w:r w:rsidRPr="00194419">
        <w:t xml:space="preserve">With the aim of having a more detailed insight of the age distribution of the samples, </w:t>
      </w:r>
      <w:r w:rsidR="001F6FA7" w:rsidRPr="00194419">
        <w:t>3</w:t>
      </w:r>
      <w:r w:rsidR="009A0DB4" w:rsidRPr="00194419">
        <w:t xml:space="preserve"> bins</w:t>
      </w:r>
      <w:r w:rsidR="001F6FA7" w:rsidRPr="00194419">
        <w:t xml:space="preserve"> were used </w:t>
      </w:r>
      <w:r w:rsidRPr="00194419">
        <w:t xml:space="preserve">in this study </w:t>
      </w:r>
      <w:r w:rsidR="001F6FA7" w:rsidRPr="00194419">
        <w:t xml:space="preserve">to fit the </w:t>
      </w:r>
      <w:r w:rsidR="00EA5723" w:rsidRPr="00194419">
        <w:t>observed data tracer</w:t>
      </w:r>
      <w:r w:rsidR="0078404B" w:rsidRPr="00194419">
        <w:t xml:space="preserve"> concentrations</w:t>
      </w:r>
      <w:r w:rsidR="00EA5723" w:rsidRPr="00194419">
        <w:t xml:space="preserve">, </w:t>
      </w:r>
      <w:r w:rsidR="00EF08CC" w:rsidRPr="00194419">
        <w:t xml:space="preserve">considering time lapses of </w:t>
      </w:r>
      <w:r w:rsidR="004808AE" w:rsidRPr="00194419">
        <w:t>30</w:t>
      </w:r>
      <w:r w:rsidR="00EF08CC" w:rsidRPr="00194419">
        <w:t xml:space="preserve"> years</w:t>
      </w:r>
      <w:r w:rsidR="00EA5723" w:rsidRPr="00194419">
        <w:t>.</w:t>
      </w:r>
      <w:r w:rsidR="00EF08CC" w:rsidRPr="00194419">
        <w:t xml:space="preserve"> The first </w:t>
      </w:r>
      <w:r w:rsidR="004808AE" w:rsidRPr="00194419">
        <w:t xml:space="preserve">and second </w:t>
      </w:r>
      <w:r w:rsidR="00EF08CC" w:rsidRPr="00194419">
        <w:t>bin</w:t>
      </w:r>
      <w:r w:rsidR="004808AE" w:rsidRPr="00194419">
        <w:t>s</w:t>
      </w:r>
      <w:r w:rsidR="00EF08CC" w:rsidRPr="00194419">
        <w:t xml:space="preserve"> </w:t>
      </w:r>
      <w:r w:rsidR="004808AE" w:rsidRPr="00194419">
        <w:t>have average ages of 15 (0-30) and 45</w:t>
      </w:r>
      <w:r w:rsidR="00EF08CC" w:rsidRPr="00194419">
        <w:t xml:space="preserve"> </w:t>
      </w:r>
      <w:r w:rsidR="004808AE" w:rsidRPr="00194419">
        <w:t xml:space="preserve">(30-60) </w:t>
      </w:r>
      <w:r w:rsidR="00EF08CC" w:rsidRPr="00194419">
        <w:t>years,</w:t>
      </w:r>
      <w:r w:rsidR="004808AE" w:rsidRPr="00194419">
        <w:t xml:space="preserve"> respectively.</w:t>
      </w:r>
      <w:r w:rsidR="00EF08CC" w:rsidRPr="00194419">
        <w:t xml:space="preserve"> </w:t>
      </w:r>
      <w:r w:rsidR="004808AE" w:rsidRPr="00194419">
        <w:t>T</w:t>
      </w:r>
      <w:r w:rsidR="00EF08CC" w:rsidRPr="00194419">
        <w:t xml:space="preserve">he last one </w:t>
      </w:r>
      <w:r w:rsidR="004808AE" w:rsidRPr="00194419">
        <w:t>has an average age of 75 years</w:t>
      </w:r>
      <w:r w:rsidR="0078404B" w:rsidRPr="00194419">
        <w:t xml:space="preserve">, </w:t>
      </w:r>
      <w:r w:rsidR="004808AE" w:rsidRPr="00194419">
        <w:t xml:space="preserve">between 60 and </w:t>
      </w:r>
      <w:r w:rsidR="00B3037C" w:rsidRPr="00194419">
        <w:t xml:space="preserve">90 </w:t>
      </w:r>
      <w:r w:rsidR="004808AE" w:rsidRPr="00194419">
        <w:t xml:space="preserve">years, and it has a very low CFC-12 and </w:t>
      </w:r>
      <w:r w:rsidR="004808AE" w:rsidRPr="00194419">
        <w:rPr>
          <w:vertAlign w:val="superscript"/>
        </w:rPr>
        <w:t>3</w:t>
      </w:r>
      <w:r w:rsidR="004808AE" w:rsidRPr="00194419">
        <w:t xml:space="preserve">H concentration, similar to </w:t>
      </w:r>
      <w:r w:rsidR="004808AE" w:rsidRPr="00194419">
        <w:rPr>
          <w:noProof/>
        </w:rPr>
        <w:t>that</w:t>
      </w:r>
      <w:r w:rsidR="004808AE" w:rsidRPr="00194419">
        <w:t xml:space="preserve"> of</w:t>
      </w:r>
      <w:r w:rsidR="0078404B" w:rsidRPr="00194419">
        <w:t xml:space="preserve"> </w:t>
      </w:r>
      <w:r w:rsidR="0078404B" w:rsidRPr="00194419">
        <w:rPr>
          <w:i/>
        </w:rPr>
        <w:t>F</w:t>
      </w:r>
      <w:r w:rsidR="0078404B" w:rsidRPr="00194419">
        <w:rPr>
          <w:i/>
          <w:vertAlign w:val="subscript"/>
        </w:rPr>
        <w:t>old</w:t>
      </w:r>
      <w:r w:rsidR="00EF08CC" w:rsidRPr="00194419">
        <w:t xml:space="preserve"> (i.e. </w:t>
      </w:r>
      <w:r w:rsidRPr="00194419">
        <w:rPr>
          <w:vertAlign w:val="superscript"/>
        </w:rPr>
        <w:t>3</w:t>
      </w:r>
      <w:r w:rsidRPr="00194419">
        <w:t xml:space="preserve">H </w:t>
      </w:r>
      <w:r w:rsidR="00EF50AD" w:rsidRPr="00194419">
        <w:t xml:space="preserve">and CFC </w:t>
      </w:r>
      <w:r w:rsidR="00EF08CC" w:rsidRPr="00194419">
        <w:t>free)</w:t>
      </w:r>
      <w:r w:rsidR="0078404B" w:rsidRPr="00194419">
        <w:t>.</w:t>
      </w:r>
      <w:r w:rsidR="00F951C4" w:rsidRPr="00194419">
        <w:t xml:space="preserve"> </w:t>
      </w:r>
      <w:r w:rsidR="00C33BC2" w:rsidRPr="00194419">
        <w:t xml:space="preserve">Using SOLVER Add-In in Excel, each bin fraction was calculated adopting as constrains the CFC-12 and </w:t>
      </w:r>
      <w:r w:rsidR="00C33BC2" w:rsidRPr="00194419">
        <w:rPr>
          <w:vertAlign w:val="superscript"/>
        </w:rPr>
        <w:t>3</w:t>
      </w:r>
      <w:r w:rsidR="00C33BC2" w:rsidRPr="00194419">
        <w:t>H piston-flow concentrations of the selected ranges of ages.</w:t>
      </w:r>
    </w:p>
    <w:p w14:paraId="4D10DC83" w14:textId="0D638605" w:rsidR="00974BD3" w:rsidRDefault="00974BD3" w:rsidP="008A3630">
      <w:pPr>
        <w:spacing w:line="480" w:lineRule="auto"/>
      </w:pPr>
      <w:r>
        <w:t>Lumped Parameters Model</w:t>
      </w:r>
      <w:r w:rsidR="00D518F7">
        <w:t xml:space="preserve"> have been used for many authors during the last three decades (e.g.: Beyer et al., 2016; Suckow, 2014; Visser et al., 2013; Waugh et al., 2003). They define the age distribution of groundwater in a sample at time </w:t>
      </w:r>
      <w:r w:rsidR="00D518F7" w:rsidRPr="00444A13">
        <w:rPr>
          <w:i/>
        </w:rPr>
        <w:t>t</w:t>
      </w:r>
      <w:r w:rsidR="00D518F7">
        <w:t xml:space="preserve"> using a convolution integral that sum up all concentrations (</w:t>
      </w:r>
      <w:r w:rsidR="00D518F7" w:rsidRPr="00444A13">
        <w:rPr>
          <w:i/>
        </w:rPr>
        <w:t>C</w:t>
      </w:r>
      <w:r w:rsidR="00D518F7" w:rsidRPr="00444A13">
        <w:rPr>
          <w:i/>
          <w:vertAlign w:val="subscript"/>
        </w:rPr>
        <w:t>i</w:t>
      </w:r>
      <w:r w:rsidR="00D518F7">
        <w:t>) at each time (</w:t>
      </w:r>
      <w:r w:rsidR="00D518F7" w:rsidRPr="00444A13">
        <w:rPr>
          <w:i/>
        </w:rPr>
        <w:t>t</w:t>
      </w:r>
      <w:r w:rsidR="00D518F7">
        <w:t>’):</w:t>
      </w:r>
    </w:p>
    <w:p w14:paraId="00565AB8" w14:textId="25D7BE8F" w:rsidR="00A9660A" w:rsidRPr="00D518F7" w:rsidRDefault="00974BD3" w:rsidP="008A3630">
      <w:pPr>
        <w:spacing w:line="480" w:lineRule="auto"/>
        <w:rPr>
          <w:rFonts w:eastAsiaTheme="minorEastAsia"/>
        </w:rPr>
      </w:pPr>
      <m:oMath>
        <m:sSub>
          <m:sSubPr>
            <m:ctrlPr>
              <w:rPr>
                <w:rFonts w:ascii="Cambria Math" w:hAnsi="Cambria Math"/>
                <w:i/>
              </w:rPr>
            </m:ctrlPr>
          </m:sSubPr>
          <m:e>
            <m:r>
              <w:rPr>
                <w:rFonts w:ascii="Cambria Math" w:hAnsi="Cambria Math"/>
              </w:rPr>
              <m:t>C</m:t>
            </m:r>
          </m:e>
          <m:sub>
            <m:r>
              <w:rPr>
                <w:rFonts w:ascii="Cambria Math" w:hAnsi="Cambria Math"/>
              </w:rPr>
              <m:t>s</m:t>
            </m:r>
          </m:sub>
        </m:sSub>
        <m:d>
          <m:dPr>
            <m:ctrlPr>
              <w:rPr>
                <w:rFonts w:ascii="Cambria Math" w:hAnsi="Cambria Math"/>
                <w:i/>
              </w:rPr>
            </m:ctrlPr>
          </m:dPr>
          <m:e>
            <m:r>
              <w:rPr>
                <w:rFonts w:ascii="Cambria Math" w:hAnsi="Cambria Math"/>
              </w:rPr>
              <m:t>t</m:t>
            </m:r>
          </m:e>
        </m:d>
        <m:r>
          <w:rPr>
            <w:rFonts w:ascii="Cambria Math" w:hAnsi="Cambria Math"/>
          </w:rPr>
          <m:t>=</m:t>
        </m:r>
        <m:nary>
          <m:naryPr>
            <m:limLoc m:val="subSup"/>
            <m:ctrlPr>
              <w:rPr>
                <w:rFonts w:ascii="Cambria Math" w:hAnsi="Cambria Math"/>
                <w:i/>
              </w:rPr>
            </m:ctrlPr>
          </m:naryPr>
          <m:sub>
            <m:r>
              <w:rPr>
                <w:rFonts w:ascii="Cambria Math" w:hAnsi="Cambria Math"/>
              </w:rPr>
              <m:t>-∞</m:t>
            </m:r>
          </m:sub>
          <m:sup>
            <m:r>
              <w:rPr>
                <w:rFonts w:ascii="Cambria Math" w:hAnsi="Cambria Math"/>
              </w:rPr>
              <m:t>t</m:t>
            </m:r>
          </m:sup>
          <m:e>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m:t>
            </m:r>
          </m:e>
        </m:nary>
        <m:r>
          <w:rPr>
            <w:rFonts w:ascii="Cambria Math" w:hAnsi="Cambria Math"/>
          </w:rPr>
          <m:t>t')·g(t-t')·</m:t>
        </m:r>
        <m:sSup>
          <m:sSupPr>
            <m:ctrlPr>
              <w:rPr>
                <w:rFonts w:ascii="Cambria Math" w:hAnsi="Cambria Math"/>
                <w:i/>
              </w:rPr>
            </m:ctrlPr>
          </m:sSupPr>
          <m:e>
            <m:r>
              <w:rPr>
                <w:rFonts w:ascii="Cambria Math" w:hAnsi="Cambria Math"/>
              </w:rPr>
              <m:t>e</m:t>
            </m:r>
          </m:e>
          <m:sup>
            <m:r>
              <w:rPr>
                <w:rFonts w:ascii="Cambria Math" w:hAnsi="Cambria Math"/>
              </w:rPr>
              <m:t>-λ</m:t>
            </m:r>
            <m:d>
              <m:dPr>
                <m:ctrlPr>
                  <w:rPr>
                    <w:rFonts w:ascii="Cambria Math" w:hAnsi="Cambria Math"/>
                    <w:i/>
                  </w:rPr>
                </m:ctrlPr>
              </m:dPr>
              <m:e>
                <m:r>
                  <w:rPr>
                    <w:rFonts w:ascii="Cambria Math" w:hAnsi="Cambria Math"/>
                  </w:rPr>
                  <m:t>t-</m:t>
                </m:r>
                <m:sSup>
                  <m:sSupPr>
                    <m:ctrlPr>
                      <w:rPr>
                        <w:rFonts w:ascii="Cambria Math" w:hAnsi="Cambria Math"/>
                        <w:i/>
                      </w:rPr>
                    </m:ctrlPr>
                  </m:sSupPr>
                  <m:e>
                    <m:r>
                      <w:rPr>
                        <w:rFonts w:ascii="Cambria Math" w:hAnsi="Cambria Math"/>
                      </w:rPr>
                      <m:t>t</m:t>
                    </m:r>
                  </m:e>
                  <m:sup>
                    <m:r>
                      <w:rPr>
                        <w:rFonts w:ascii="Cambria Math" w:hAnsi="Cambria Math"/>
                      </w:rPr>
                      <m:t>'</m:t>
                    </m:r>
                  </m:sup>
                </m:sSup>
              </m:e>
            </m:d>
          </m:sup>
        </m:sSup>
        <m:r>
          <w:rPr>
            <w:rFonts w:ascii="Cambria Math" w:eastAsiaTheme="minorEastAsia" w:hAnsi="Cambria Math"/>
          </w:rPr>
          <m:t>dt'</m:t>
        </m:r>
      </m:oMath>
      <w:r w:rsidR="00F665AE">
        <w:rPr>
          <w:rFonts w:eastAsiaTheme="minorEastAsia"/>
        </w:rPr>
        <w:tab/>
        <w:t>(Equation 4)</w:t>
      </w:r>
    </w:p>
    <w:p w14:paraId="1CAD7CD7" w14:textId="34C9CFF1" w:rsidR="00EC03ED" w:rsidRPr="00194419" w:rsidRDefault="00D518F7" w:rsidP="00945976">
      <w:pPr>
        <w:spacing w:line="480" w:lineRule="auto"/>
        <w:ind w:firstLine="0"/>
      </w:pPr>
      <w:bookmarkStart w:id="0" w:name="_GoBack"/>
      <w:bookmarkEnd w:id="0"/>
      <w:r>
        <w:rPr>
          <w:rFonts w:eastAsiaTheme="minorEastAsia"/>
        </w:rPr>
        <w:lastRenderedPageBreak/>
        <w:t xml:space="preserve">where </w:t>
      </w:r>
      <w:r w:rsidRPr="00444A13">
        <w:rPr>
          <w:rFonts w:eastAsiaTheme="minorEastAsia"/>
          <w:i/>
        </w:rPr>
        <w:t>g(t-t’</w:t>
      </w:r>
      <w:r>
        <w:rPr>
          <w:rFonts w:eastAsiaTheme="minorEastAsia"/>
          <w:i/>
        </w:rPr>
        <w:t>)</w:t>
      </w:r>
      <w:r>
        <w:rPr>
          <w:rFonts w:eastAsiaTheme="minorEastAsia"/>
        </w:rPr>
        <w:t xml:space="preserve"> is the weight function that determine the importance of each age in the total groundwater age, and </w:t>
      </w:r>
      <w:r w:rsidRPr="00444A13">
        <w:rPr>
          <w:rFonts w:eastAsiaTheme="minorEastAsia"/>
          <w:i/>
        </w:rPr>
        <w:t>e</w:t>
      </w:r>
      <w:r w:rsidRPr="00444A13">
        <w:rPr>
          <w:rFonts w:eastAsiaTheme="minorEastAsia"/>
          <w:i/>
          <w:vertAlign w:val="superscript"/>
        </w:rPr>
        <w:t>-λ(t-t’)</w:t>
      </w:r>
      <w:r w:rsidR="00EC03ED">
        <w:rPr>
          <w:rFonts w:eastAsiaTheme="minorEastAsia"/>
        </w:rPr>
        <w:t xml:space="preserve"> account for the</w:t>
      </w:r>
      <w:r w:rsidR="009B338F">
        <w:rPr>
          <w:rFonts w:eastAsiaTheme="minorEastAsia"/>
        </w:rPr>
        <w:t xml:space="preserve"> decay of those radioactive tracers. </w:t>
      </w:r>
      <w:r w:rsidR="00EC03ED">
        <w:rPr>
          <w:rFonts w:eastAsiaTheme="minorEastAsia"/>
        </w:rPr>
        <w:t>The main advantage of LPM is that they only require two of three parameters, one of which is the mean residence time, while the other define the weight function.  Based on the characteristics of the study, only the Exponential Piston Model (EPM) and the Dispersion Model (DM) have been considered. The EPM describes piston-flow transport followed by exponential mixing, which conceptually would occur in areas where</w:t>
      </w:r>
      <w:r w:rsidR="00F665AE">
        <w:rPr>
          <w:rFonts w:eastAsiaTheme="minorEastAsia"/>
        </w:rPr>
        <w:t xml:space="preserve"> there is</w:t>
      </w:r>
      <w:r w:rsidR="00EC03ED">
        <w:rPr>
          <w:rFonts w:eastAsiaTheme="minorEastAsia"/>
        </w:rPr>
        <w:t xml:space="preserve"> no recharge nearby the </w:t>
      </w:r>
      <w:r w:rsidR="00F665AE">
        <w:rPr>
          <w:rFonts w:eastAsiaTheme="minorEastAsia"/>
        </w:rPr>
        <w:t>sampled point. Thus the weight function is condition by the EPM ratio, which is the length of the area not receiving recharge by the area doing it (Cook and Böhlke, 2000).</w:t>
      </w:r>
      <w:r w:rsidR="00A867AA">
        <w:rPr>
          <w:rFonts w:eastAsiaTheme="minorEastAsia"/>
        </w:rPr>
        <w:t xml:space="preserve"> On the other hand, the DM is based on the advection dispersion equation and can describe the age distribution for many aquifer configurations (Jurgenes et al., 2012). It uses de dispersion parameter (DP), which is the ratio of dispersion coefficient to the outlet position and the velocity. </w:t>
      </w:r>
      <w:r w:rsidR="00EC03ED">
        <w:rPr>
          <w:rFonts w:eastAsiaTheme="minorEastAsia"/>
        </w:rPr>
        <w:t>Detailed descriptions of</w:t>
      </w:r>
      <w:r w:rsidR="00A867AA">
        <w:rPr>
          <w:rFonts w:eastAsiaTheme="minorEastAsia"/>
        </w:rPr>
        <w:t xml:space="preserve"> all the</w:t>
      </w:r>
      <w:r w:rsidR="00EC03ED">
        <w:rPr>
          <w:rFonts w:eastAsiaTheme="minorEastAsia"/>
        </w:rPr>
        <w:t xml:space="preserve"> LPM can be found in literature (e.g.: Jurgens et al., 2012; Maloszewski and Zuber, 1982; Suckow, 2014).</w:t>
      </w:r>
    </w:p>
    <w:p w14:paraId="07E9BDFF" w14:textId="72A61399" w:rsidR="003C3F1F" w:rsidRPr="00194419" w:rsidRDefault="003C3F1F" w:rsidP="008A3630">
      <w:pPr>
        <w:pStyle w:val="Prrafodelista"/>
        <w:numPr>
          <w:ilvl w:val="0"/>
          <w:numId w:val="1"/>
        </w:numPr>
        <w:spacing w:line="480" w:lineRule="auto"/>
        <w:rPr>
          <w:b/>
        </w:rPr>
      </w:pPr>
      <w:r w:rsidRPr="00194419">
        <w:rPr>
          <w:b/>
        </w:rPr>
        <w:t>RESULT</w:t>
      </w:r>
      <w:r w:rsidR="006F2E9E" w:rsidRPr="00194419">
        <w:rPr>
          <w:b/>
        </w:rPr>
        <w:t>S</w:t>
      </w:r>
      <w:r w:rsidR="00EF2339" w:rsidRPr="00194419">
        <w:rPr>
          <w:b/>
        </w:rPr>
        <w:t xml:space="preserve"> AND </w:t>
      </w:r>
      <w:r w:rsidR="00FC658F" w:rsidRPr="00194419">
        <w:rPr>
          <w:b/>
        </w:rPr>
        <w:t xml:space="preserve">DATING </w:t>
      </w:r>
      <w:r w:rsidR="00EF2339" w:rsidRPr="00194419">
        <w:rPr>
          <w:b/>
        </w:rPr>
        <w:t>INTERPRETATION</w:t>
      </w:r>
    </w:p>
    <w:p w14:paraId="2D2A8853" w14:textId="77777777" w:rsidR="003C3F1F" w:rsidRPr="00194419" w:rsidRDefault="006F2E9E" w:rsidP="008A3630">
      <w:pPr>
        <w:pStyle w:val="Prrafodelista"/>
        <w:numPr>
          <w:ilvl w:val="1"/>
          <w:numId w:val="1"/>
        </w:numPr>
        <w:spacing w:line="480" w:lineRule="auto"/>
        <w:rPr>
          <w:b/>
        </w:rPr>
      </w:pPr>
      <w:r w:rsidRPr="00194419">
        <w:rPr>
          <w:b/>
        </w:rPr>
        <w:t>Groundwater chemistry</w:t>
      </w:r>
    </w:p>
    <w:p w14:paraId="53BCA3D4" w14:textId="516068EC" w:rsidR="00AD5AD2" w:rsidRPr="00194419" w:rsidRDefault="004808AE" w:rsidP="008A3630">
      <w:pPr>
        <w:spacing w:line="480" w:lineRule="auto"/>
      </w:pPr>
      <w:r w:rsidRPr="00194419">
        <w:rPr>
          <w:noProof/>
        </w:rPr>
        <w:t>The c</w:t>
      </w:r>
      <w:r w:rsidR="00FA3D68" w:rsidRPr="00194419">
        <w:rPr>
          <w:noProof/>
        </w:rPr>
        <w:t>hemical</w:t>
      </w:r>
      <w:r w:rsidR="00FA3D68" w:rsidRPr="00194419">
        <w:t xml:space="preserve"> composition of s</w:t>
      </w:r>
      <w:r w:rsidR="00AD5AD2" w:rsidRPr="00194419">
        <w:t>pring water</w:t>
      </w:r>
      <w:r w:rsidR="00CF2EC4" w:rsidRPr="00194419">
        <w:t xml:space="preserve"> samples</w:t>
      </w:r>
      <w:r w:rsidR="00FA3D68" w:rsidRPr="00194419">
        <w:t xml:space="preserve"> is summarized in Table </w:t>
      </w:r>
      <w:r w:rsidR="00E85DD6">
        <w:t>2</w:t>
      </w:r>
      <w:r w:rsidR="00FA3D68" w:rsidRPr="00194419">
        <w:t>. Groundwater exhibit</w:t>
      </w:r>
      <w:r w:rsidR="00CF2EC4" w:rsidRPr="00194419">
        <w:t>s</w:t>
      </w:r>
      <w:r w:rsidR="00FA3D68" w:rsidRPr="00194419">
        <w:t xml:space="preserve"> a wide range of mineralization, from brackish waters to brines. Average EC values vary from 1.7 mS/cm in B5, to 215.5 mS/cm in </w:t>
      </w:r>
      <w:r w:rsidR="00A65FB0" w:rsidRPr="00194419">
        <w:t>H1</w:t>
      </w:r>
      <w:r w:rsidR="00791F9E" w:rsidRPr="00194419">
        <w:t>, and</w:t>
      </w:r>
      <w:r w:rsidR="00176F6A" w:rsidRPr="00194419">
        <w:t xml:space="preserve"> </w:t>
      </w:r>
      <w:r w:rsidR="00A65FB0" w:rsidRPr="00194419">
        <w:t xml:space="preserve">the </w:t>
      </w:r>
      <w:r w:rsidR="00791F9E" w:rsidRPr="00194419">
        <w:t>m</w:t>
      </w:r>
      <w:r w:rsidR="00176F6A" w:rsidRPr="00194419">
        <w:t>ean water temperature of springs are comprise</w:t>
      </w:r>
      <w:r w:rsidR="00D73933" w:rsidRPr="00194419">
        <w:t>d</w:t>
      </w:r>
      <w:r w:rsidR="00176F6A" w:rsidRPr="00194419">
        <w:t xml:space="preserve"> between 15.9ºC in B</w:t>
      </w:r>
      <w:r w:rsidR="00C37413" w:rsidRPr="00194419">
        <w:t>4</w:t>
      </w:r>
      <w:r w:rsidR="00176F6A" w:rsidRPr="00194419">
        <w:t>, and 22.2ºC in B3</w:t>
      </w:r>
      <w:r w:rsidR="00791F9E" w:rsidRPr="00194419">
        <w:t xml:space="preserve"> (Tab. </w:t>
      </w:r>
      <w:r w:rsidR="00E85DD6">
        <w:t>2</w:t>
      </w:r>
      <w:r w:rsidR="00791F9E" w:rsidRPr="00194419">
        <w:t>)</w:t>
      </w:r>
      <w:r w:rsidR="00176F6A" w:rsidRPr="00194419">
        <w:t xml:space="preserve">. </w:t>
      </w:r>
      <w:r w:rsidR="00B71E8E" w:rsidRPr="00194419">
        <w:t xml:space="preserve">In general terms, the brine </w:t>
      </w:r>
      <w:r w:rsidR="00791F9E" w:rsidRPr="00194419">
        <w:t>spring</w:t>
      </w:r>
      <w:r w:rsidR="00AD24C1" w:rsidRPr="00194419">
        <w:t>s</w:t>
      </w:r>
      <w:r w:rsidR="00B71E8E" w:rsidRPr="00194419">
        <w:t xml:space="preserve"> exhibit different grade of positive thermal anomaly</w:t>
      </w:r>
      <w:r w:rsidR="00791F9E" w:rsidRPr="00194419">
        <w:t xml:space="preserve"> (up to 4.5ºC in B3) respect to the </w:t>
      </w:r>
      <w:r w:rsidR="007632F0" w:rsidRPr="00194419">
        <w:t>m</w:t>
      </w:r>
      <w:r w:rsidR="007632F0">
        <w:t>ea</w:t>
      </w:r>
      <w:r w:rsidR="007632F0" w:rsidRPr="00194419">
        <w:t xml:space="preserve">n </w:t>
      </w:r>
      <w:r w:rsidR="00791F9E" w:rsidRPr="00194419">
        <w:t>air temperature of each study area (16.5ºC-17.7ºC; Fig. 2)</w:t>
      </w:r>
      <w:r w:rsidR="00D73933" w:rsidRPr="00194419">
        <w:t xml:space="preserve">. </w:t>
      </w:r>
      <w:r w:rsidR="00D73933" w:rsidRPr="00194419">
        <w:lastRenderedPageBreak/>
        <w:t>On the contrary,</w:t>
      </w:r>
      <w:r w:rsidR="00B71E8E" w:rsidRPr="00194419">
        <w:t xml:space="preserve"> the less mineralized outlets (B4, B5, H3, T4) drain groundwater with temperature values close to </w:t>
      </w:r>
      <w:r w:rsidR="00D73933" w:rsidRPr="00194419">
        <w:t>the atmospheric values.</w:t>
      </w:r>
    </w:p>
    <w:p w14:paraId="7F507AF0" w14:textId="7AA60125" w:rsidR="00807355" w:rsidRPr="00194419" w:rsidRDefault="00AF4A5B" w:rsidP="008A3630">
      <w:pPr>
        <w:spacing w:line="480" w:lineRule="auto"/>
      </w:pPr>
      <w:r w:rsidRPr="00194419">
        <w:t xml:space="preserve">The measured flow rates present a wide range of values, from less than 1 l/s to nearly 100 l/s (Tab. </w:t>
      </w:r>
      <w:r w:rsidR="00E85DD6">
        <w:t>2</w:t>
      </w:r>
      <w:r w:rsidRPr="00194419">
        <w:t>). J1 spring present</w:t>
      </w:r>
      <w:r w:rsidR="007A12D2" w:rsidRPr="00194419">
        <w:t>s</w:t>
      </w:r>
      <w:r w:rsidRPr="00194419">
        <w:t xml:space="preserve"> the greatest discharge variations, as it indicates</w:t>
      </w:r>
      <w:r w:rsidR="007632F0">
        <w:t xml:space="preserve"> by</w:t>
      </w:r>
      <w:r w:rsidRPr="00194419">
        <w:t xml:space="preserve"> the calculated</w:t>
      </w:r>
      <w:r w:rsidR="007632F0">
        <w:t xml:space="preserve"> coefficient of variability</w:t>
      </w:r>
      <w:r w:rsidRPr="00194419">
        <w:t xml:space="preserve"> </w:t>
      </w:r>
      <w:r w:rsidR="007632F0">
        <w:t>(</w:t>
      </w:r>
      <w:r w:rsidRPr="00194419">
        <w:t>cv</w:t>
      </w:r>
      <w:r w:rsidR="007632F0">
        <w:t>)</w:t>
      </w:r>
      <w:r w:rsidRPr="00194419">
        <w:t xml:space="preserve">. That is due to the existence of </w:t>
      </w:r>
      <w:r w:rsidR="007A12D2" w:rsidRPr="00194419">
        <w:t xml:space="preserve">a </w:t>
      </w:r>
      <w:r w:rsidRPr="00194419">
        <w:t>well-developed karst network that connects concentrated recharge areas to the spring</w:t>
      </w:r>
      <w:r w:rsidR="00867A3A" w:rsidRPr="00194419">
        <w:t xml:space="preserve"> </w:t>
      </w:r>
      <w:r w:rsidR="00867A3A" w:rsidRPr="00194419">
        <w:fldChar w:fldCharType="begin" w:fldLock="1"/>
      </w:r>
      <w:r w:rsidR="003A7DC8" w:rsidRPr="00194419">
        <w:instrText>ADDIN CSL_CITATION {"citationItems":[{"id":"ITEM-1","itemData":{"DOI":"https://doi.org/10.5038/1827-806X.46.2.2115","author":[{"dropping-particle":"","family":"Gil-Márquez","given":"José Manuel","non-dropping-particle":"","parse-names":false,"suffix":""},{"dropping-particle":"","family":"Barberá","given":"Juan Antonio","non-dropping-particle":"","parse-names":false,"suffix":""},{"dropping-particle":"","family":"Mudarra","given":"Matías","non-dropping-particle":"","parse-names":false,"suffix":""},{"dropping-particle":"","family":"Andreo","given":"Bartolomé","non-dropping-particle":"","parse-names":false,"suffix":""},{"dropping-particle":"","family":"Prieto-Mera","given":"Jorge","non-dropping-particle":"","parse-names":false,"suffix":""},{"dropping-particle":"","family":"Sánchez","given":"Damián","non-dropping-particle":"","parse-names":false,"suffix":""},{"dropping-particle":"","family":"Rizo-Decelis","given":"Luis David","non-dropping-particle":"","parse-names":false,"suffix":""},{"dropping-particle":"","family":"Argamasilla","given":"Manuel","non-dropping-particle":"","parse-names":false,"suffix":""},{"dropping-particle":"","family":"Nieto","given":"José Manuel","non-dropping-particle":"","parse-names":false,"suffix":""},{"dropping-particle":"","family":"la Torre","given":"Beatriz","non-dropping-particle":"De","parse-names":false,"suffix":""}],"container-title":"International Journal of Speleology","id":"ITEM-1","issue":"2","issued":{"date-parts":[["2017"]]},"page":"219-235","title":"Karst development of an evaporitic system and its hydrogeological implications inferred from GIS-based analysis and tracing techniques","type":"article-journal","volume":"46"},"uris":["http://www.mendeley.com/documents/?uuid=b1611886-1290-41cb-984d-a71ada92160d"]}],"mendeley":{"formattedCitation":"(José Manuel Gil-Márquez et al., 2017)","manualFormatting":"(Gil-Márquez et al., 2017a)","plainTextFormattedCitation":"(José Manuel Gil-Márquez et al., 2017)","previouslyFormattedCitation":"(José Manuel Gil-Márquez et al., 2017)"},"properties":{"noteIndex":0},"schema":"https://github.com/citation-style-language/schema/raw/master/csl-citation.json"}</w:instrText>
      </w:r>
      <w:r w:rsidR="00867A3A" w:rsidRPr="00194419">
        <w:fldChar w:fldCharType="separate"/>
      </w:r>
      <w:r w:rsidR="00867A3A" w:rsidRPr="00194419">
        <w:rPr>
          <w:noProof/>
        </w:rPr>
        <w:t>(Gil-Márquez et al., 2017</w:t>
      </w:r>
      <w:r w:rsidR="006266DD" w:rsidRPr="00194419">
        <w:rPr>
          <w:noProof/>
        </w:rPr>
        <w:t>a</w:t>
      </w:r>
      <w:r w:rsidR="00867A3A" w:rsidRPr="00194419">
        <w:rPr>
          <w:noProof/>
        </w:rPr>
        <w:t>)</w:t>
      </w:r>
      <w:r w:rsidR="00867A3A" w:rsidRPr="00194419">
        <w:fldChar w:fldCharType="end"/>
      </w:r>
      <w:r w:rsidRPr="00194419">
        <w:t xml:space="preserve">. </w:t>
      </w:r>
    </w:p>
    <w:p w14:paraId="15B15F8F" w14:textId="4193DA5C" w:rsidR="007A12D2" w:rsidRPr="00194419" w:rsidRDefault="007A12D2" w:rsidP="00194419">
      <w:pPr>
        <w:spacing w:line="480" w:lineRule="auto"/>
        <w:ind w:firstLine="0"/>
      </w:pPr>
      <w:r w:rsidRPr="00194419">
        <w:t>The most abundant ions in the analyzed water samples are Cl</w:t>
      </w:r>
      <w:r w:rsidRPr="00194419">
        <w:rPr>
          <w:vertAlign w:val="superscript"/>
        </w:rPr>
        <w:t>-</w:t>
      </w:r>
      <w:r w:rsidRPr="00194419">
        <w:t xml:space="preserve"> and Na</w:t>
      </w:r>
      <w:r w:rsidRPr="00194419">
        <w:rPr>
          <w:vertAlign w:val="superscript"/>
        </w:rPr>
        <w:t>+</w:t>
      </w:r>
      <w:r w:rsidRPr="00194419">
        <w:t xml:space="preserve">, with concentrations up to 191 g/l and 115 g/l, respectively (H1, Tab. </w:t>
      </w:r>
      <w:r w:rsidR="00E85DD6">
        <w:t>2</w:t>
      </w:r>
      <w:r w:rsidRPr="00194419">
        <w:t xml:space="preserve">). Aguileras spring (H3) samples are the only ones with </w:t>
      </w:r>
      <w:r w:rsidR="00E44731">
        <w:t xml:space="preserve">calcium-sulfated hydrofacies, </w:t>
      </w:r>
      <w:r w:rsidRPr="00194419">
        <w:t xml:space="preserve">although the greater </w:t>
      </w:r>
      <w:r w:rsidR="00E44731">
        <w:t>concentrations</w:t>
      </w:r>
      <w:r w:rsidR="00E44731" w:rsidRPr="00194419">
        <w:t xml:space="preserve"> </w:t>
      </w:r>
      <w:r w:rsidRPr="00194419">
        <w:t xml:space="preserve">of </w:t>
      </w:r>
      <w:r w:rsidR="00E44731" w:rsidRPr="00194419">
        <w:t>SO</w:t>
      </w:r>
      <w:r w:rsidR="00E44731" w:rsidRPr="00194419">
        <w:rPr>
          <w:vertAlign w:val="subscript"/>
        </w:rPr>
        <w:t>4</w:t>
      </w:r>
      <w:r w:rsidR="00E44731" w:rsidRPr="00194419">
        <w:rPr>
          <w:vertAlign w:val="superscript"/>
        </w:rPr>
        <w:t>2-</w:t>
      </w:r>
      <w:r w:rsidR="00E44731" w:rsidRPr="00194419">
        <w:t xml:space="preserve"> and Ca</w:t>
      </w:r>
      <w:r w:rsidR="00E44731" w:rsidRPr="00194419">
        <w:rPr>
          <w:vertAlign w:val="superscript"/>
        </w:rPr>
        <w:t>2+</w:t>
      </w:r>
      <w:r w:rsidRPr="00194419">
        <w:t xml:space="preserve"> (8.3 and 3.6 g/l, respectively) are reached in Lower Anzur spring (J1).</w:t>
      </w:r>
    </w:p>
    <w:p w14:paraId="50ABB429" w14:textId="602CDA0E" w:rsidR="007A12D2" w:rsidRPr="00194419" w:rsidRDefault="007A12D2" w:rsidP="008A3630">
      <w:pPr>
        <w:spacing w:line="480" w:lineRule="auto"/>
      </w:pPr>
      <w:r w:rsidRPr="00194419">
        <w:t xml:space="preserve">Overall, groundwater mineralization increases toward lower positions in each study area, as EC boxplot shows (Fig. 2), except for Don Benito spring (B3), which is located in a different flow line than the rest of the studied points in Brujuelo area </w:t>
      </w:r>
      <w:r w:rsidRPr="00194419">
        <w:fldChar w:fldCharType="begin" w:fldLock="1"/>
      </w:r>
      <w:r w:rsidRPr="00194419">
        <w:instrText>ADDIN CSL_CITATION {"citationItems":[{"id":"ITEM-1","itemData":{"DOI":"10.1016/j.jhydrol.2016.11.062","ISSN":"00221694","author":[{"dropping-particle":"","family":"Gil-Márquez","given":"J.M.","non-dropping-particle":"","parse-names":false,"suffix":""},{"dropping-particle":"","family":"Barberá","given":"J.A.","non-dropping-particle":"","parse-names":false,"suffix":""},{"dropping-particle":"","family":"Andreo","given":"B.","non-dropping-particle":"","parse-names":false,"suffix":""},{"dropping-particle":"","family":"Mudarra","given":"M.","non-dropping-particle":"","parse-names":false,"suffix":""}],"container-title":"Journal of Hydrology","id":"ITEM-1","issue":"1","issued":{"date-parts":[["2017"]]},"page":"538-554","title":"Hydrological and geochemical processes constraining groundwater salinity in wetland areas related to evaporitic (karst) systems. A case study from Southern Spain","type":"article-journal","volume":"544"},"uris":["http://www.mendeley.com/documents/?uuid=8e962595-dee3-4ce0-ad26-66ab9d704bfc"]}],"mendeley":{"formattedCitation":"(Gil-Márquez et al., 2017)","manualFormatting":"(Fig. 1D; Gil-Márquez et al., 2017b)","plainTextFormattedCitation":"(Gil-Márquez et al., 2017)","previouslyFormattedCitation":"(Gil-Márquez et al., 2017)"},"properties":{"noteIndex":0},"schema":"https://github.com/citation-style-language/schema/raw/master/csl-citation.json"}</w:instrText>
      </w:r>
      <w:r w:rsidRPr="00194419">
        <w:fldChar w:fldCharType="separate"/>
      </w:r>
      <w:r w:rsidRPr="00194419">
        <w:rPr>
          <w:noProof/>
        </w:rPr>
        <w:t>(Fig. 1D; Gil-Márquez et al., 2017b)</w:t>
      </w:r>
      <w:r w:rsidRPr="00194419">
        <w:fldChar w:fldCharType="end"/>
      </w:r>
      <w:r w:rsidRPr="00194419">
        <w:t xml:space="preserve">. Such a </w:t>
      </w:r>
      <w:r w:rsidRPr="00194419">
        <w:rPr>
          <w:noProof/>
        </w:rPr>
        <w:t>trend</w:t>
      </w:r>
      <w:r w:rsidRPr="00194419">
        <w:t xml:space="preserve"> is basically due to the rising of solutes derived from the dissolution of halite (Na</w:t>
      </w:r>
      <w:r w:rsidRPr="00194419">
        <w:rPr>
          <w:vertAlign w:val="superscript"/>
        </w:rPr>
        <w:t>+</w:t>
      </w:r>
      <w:r w:rsidRPr="00194419">
        <w:t>, Cl</w:t>
      </w:r>
      <w:r w:rsidRPr="00194419">
        <w:rPr>
          <w:vertAlign w:val="superscript"/>
        </w:rPr>
        <w:t>-</w:t>
      </w:r>
      <w:r w:rsidRPr="00194419">
        <w:t>) and, to a lesser extent, gypsum (SO</w:t>
      </w:r>
      <w:r w:rsidRPr="00194419">
        <w:rPr>
          <w:vertAlign w:val="subscript"/>
        </w:rPr>
        <w:t>4</w:t>
      </w:r>
      <w:r w:rsidRPr="00194419">
        <w:rPr>
          <w:vertAlign w:val="superscript"/>
        </w:rPr>
        <w:t>2</w:t>
      </w:r>
      <w:r w:rsidRPr="00194419">
        <w:rPr>
          <w:vertAlign w:val="superscript"/>
        </w:rPr>
        <w:noBreakHyphen/>
      </w:r>
      <w:r w:rsidRPr="00194419">
        <w:t>, Ca</w:t>
      </w:r>
      <w:r w:rsidRPr="00194419">
        <w:rPr>
          <w:vertAlign w:val="superscript"/>
        </w:rPr>
        <w:t>2+</w:t>
      </w:r>
      <w:r w:rsidRPr="00194419">
        <w:t>). Contrary to Cl</w:t>
      </w:r>
      <w:r w:rsidRPr="00194419">
        <w:rPr>
          <w:vertAlign w:val="superscript"/>
        </w:rPr>
        <w:t>-</w:t>
      </w:r>
      <w:r w:rsidRPr="00194419">
        <w:t>, SO</w:t>
      </w:r>
      <w:r w:rsidRPr="00194419">
        <w:rPr>
          <w:vertAlign w:val="subscript"/>
        </w:rPr>
        <w:t>4</w:t>
      </w:r>
      <w:r w:rsidRPr="00194419">
        <w:rPr>
          <w:vertAlign w:val="superscript"/>
        </w:rPr>
        <w:t>2-</w:t>
      </w:r>
      <w:r w:rsidRPr="00194419">
        <w:t xml:space="preserve"> concentration do not keep growing towards the spring </w:t>
      </w:r>
      <w:r w:rsidR="00745A87">
        <w:t>located</w:t>
      </w:r>
      <w:r w:rsidR="00745A87" w:rsidRPr="00194419">
        <w:t xml:space="preserve"> </w:t>
      </w:r>
      <w:r w:rsidRPr="00194419">
        <w:t>at lower altitudes of each study area, but it rather stabilizes around 6 g/l when groundwater has EC values higher than 100 mS/cm (Fig. 2). Hence, although most of the springs drain Na-Cl type water, the proportion of Cl</w:t>
      </w:r>
      <w:r w:rsidRPr="00194419">
        <w:rPr>
          <w:vertAlign w:val="superscript"/>
        </w:rPr>
        <w:t>-</w:t>
      </w:r>
      <w:r w:rsidRPr="00194419">
        <w:t xml:space="preserve"> respect to SO</w:t>
      </w:r>
      <w:r w:rsidRPr="00194419">
        <w:rPr>
          <w:vertAlign w:val="subscript"/>
        </w:rPr>
        <w:t>4</w:t>
      </w:r>
      <w:r w:rsidRPr="00194419">
        <w:rPr>
          <w:vertAlign w:val="superscript"/>
        </w:rPr>
        <w:t>2-</w:t>
      </w:r>
      <w:r w:rsidRPr="00194419">
        <w:t xml:space="preserve"> also increases towards lower positions, as the rCl</w:t>
      </w:r>
      <w:r w:rsidRPr="00194419">
        <w:rPr>
          <w:vertAlign w:val="superscript"/>
        </w:rPr>
        <w:t>-</w:t>
      </w:r>
      <w:r w:rsidRPr="00194419">
        <w:t>/SO</w:t>
      </w:r>
      <w:r w:rsidRPr="00194419">
        <w:rPr>
          <w:vertAlign w:val="subscript"/>
        </w:rPr>
        <w:t>4</w:t>
      </w:r>
      <w:r w:rsidRPr="00194419">
        <w:rPr>
          <w:vertAlign w:val="superscript"/>
        </w:rPr>
        <w:t>2-</w:t>
      </w:r>
      <w:r w:rsidRPr="00194419">
        <w:t xml:space="preserve"> boxplot of figure 2 shows.</w:t>
      </w:r>
    </w:p>
    <w:p w14:paraId="35C57EC7" w14:textId="6C7D78BD" w:rsidR="001822C1" w:rsidRPr="00194419" w:rsidRDefault="001822C1" w:rsidP="00444A13">
      <w:pPr>
        <w:pStyle w:val="Prrafodelista"/>
        <w:keepNext/>
        <w:numPr>
          <w:ilvl w:val="1"/>
          <w:numId w:val="1"/>
        </w:numPr>
        <w:spacing w:line="480" w:lineRule="auto"/>
        <w:ind w:left="788" w:hanging="431"/>
        <w:rPr>
          <w:b/>
          <w:lang w:val="es-ES_tradnl"/>
        </w:rPr>
      </w:pPr>
      <w:r w:rsidRPr="00194419">
        <w:rPr>
          <w:b/>
          <w:lang w:val="es-ES_tradnl"/>
        </w:rPr>
        <w:lastRenderedPageBreak/>
        <w:t>Groundwater dating tracer</w:t>
      </w:r>
      <w:r w:rsidR="00BC37DD" w:rsidRPr="00194419">
        <w:rPr>
          <w:b/>
          <w:lang w:val="es-ES_tradnl"/>
        </w:rPr>
        <w:t>s</w:t>
      </w:r>
    </w:p>
    <w:p w14:paraId="749D5D60" w14:textId="77777777" w:rsidR="001822C1" w:rsidRPr="00194419" w:rsidRDefault="001822C1" w:rsidP="00444A13">
      <w:pPr>
        <w:pStyle w:val="Prrafodelista"/>
        <w:keepNext/>
        <w:numPr>
          <w:ilvl w:val="2"/>
          <w:numId w:val="1"/>
        </w:numPr>
        <w:spacing w:line="480" w:lineRule="auto"/>
        <w:ind w:left="1225" w:hanging="505"/>
        <w:rPr>
          <w:b/>
          <w:lang w:val="es-ES_tradnl"/>
        </w:rPr>
      </w:pPr>
      <w:r w:rsidRPr="00194419">
        <w:rPr>
          <w:lang w:val="es-ES_tradnl"/>
        </w:rPr>
        <w:t xml:space="preserve"> </w:t>
      </w:r>
      <w:r w:rsidRPr="00194419">
        <w:rPr>
          <w:b/>
          <w:lang w:val="es-ES_tradnl"/>
        </w:rPr>
        <w:t>Tritium</w:t>
      </w:r>
    </w:p>
    <w:p w14:paraId="6C829A25" w14:textId="078917C7" w:rsidR="001C0FA6" w:rsidRPr="00194419" w:rsidRDefault="00017D47" w:rsidP="008A3630">
      <w:pPr>
        <w:spacing w:line="480" w:lineRule="auto"/>
      </w:pPr>
      <w:r w:rsidRPr="00194419">
        <w:t>The ³H activity in the rain samples taken from September 2014 to June 2016 varies from 1.76 to 3.23.</w:t>
      </w:r>
      <w:r w:rsidR="00E44731">
        <w:t xml:space="preserve"> The estimated activities of </w:t>
      </w:r>
      <w:r w:rsidR="00E44731" w:rsidRPr="00444A13">
        <w:rPr>
          <w:vertAlign w:val="superscript"/>
        </w:rPr>
        <w:t>3</w:t>
      </w:r>
      <w:r w:rsidR="00E44731">
        <w:t>H</w:t>
      </w:r>
      <w:r w:rsidRPr="00194419">
        <w:t xml:space="preserve"> </w:t>
      </w:r>
      <w:r w:rsidR="00E44731">
        <w:t xml:space="preserve">in the precipitation of the study areas from </w:t>
      </w:r>
      <w:r w:rsidR="003F7122">
        <w:t>2012</w:t>
      </w:r>
      <w:r w:rsidR="00E44731">
        <w:t xml:space="preserve"> </w:t>
      </w:r>
      <w:r w:rsidR="003F7122">
        <w:t>to 2</w:t>
      </w:r>
      <w:r w:rsidR="00E44731">
        <w:t>0</w:t>
      </w:r>
      <w:r w:rsidR="003F7122">
        <w:t xml:space="preserve">17 range between 2 and 4 TU </w:t>
      </w:r>
      <w:r w:rsidR="003F7122">
        <w:fldChar w:fldCharType="begin" w:fldLock="1"/>
      </w:r>
      <w:r w:rsidR="00707258">
        <w:instrText>ADDIN CSL_CITATION {"citationItems":[{"id":"ITEM-1","itemData":{"author":[{"dropping-particle":"","family":"Castaño","given":"S","non-dropping-particle":"","parse-names":false,"suffix":""},{"dropping-particle":"","family":"Rodríguez-Arévalo","given":"J.","non-dropping-particle":"","parse-names":false,"suffix":""}],"container-title":"Proceeding of the International Symposium on Isotope Hydrology. Advancing the understanding of water cycle processes","id":"ITEM-1","issued":{"date-parts":[["2019"]]},"publisher-place":"Vienna","title":"Mapping environmental tritium activity concentration in recent precipitation in Spain to trace moisture sources in the hydrological cycle","type":"paper-conference"},"uris":["http://www.mendeley.com/documents/?uuid=32d1ea3c-179a-44a0-a83a-acf482b999bc"]}],"mendeley":{"formattedCitation":"(Castaño and Rodríguez-Arévalo, 2019)","plainTextFormattedCitation":"(Castaño and Rodríguez-Arévalo, 2019)","previouslyFormattedCitation":"(Castaño and Rodríguez-Arévalo, 2019)"},"properties":{"noteIndex":0},"schema":"https://github.com/citation-style-language/schema/raw/master/csl-citation.json"}</w:instrText>
      </w:r>
      <w:r w:rsidR="003F7122">
        <w:fldChar w:fldCharType="separate"/>
      </w:r>
      <w:r w:rsidR="003F7122" w:rsidRPr="003F7122">
        <w:rPr>
          <w:noProof/>
        </w:rPr>
        <w:t>(Castaño and Rodríguez-Arévalo, 2019)</w:t>
      </w:r>
      <w:r w:rsidR="003F7122">
        <w:fldChar w:fldCharType="end"/>
      </w:r>
      <w:r w:rsidR="003F7122">
        <w:t>, based on estimation made from data retrieved from the GNIP</w:t>
      </w:r>
      <w:r w:rsidR="00E44731">
        <w:t>.</w:t>
      </w:r>
      <w:r w:rsidR="003F7122">
        <w:t xml:space="preserve"> </w:t>
      </w:r>
      <w:r w:rsidR="00E44731" w:rsidRPr="00194419">
        <w:t xml:space="preserve">All spring samples contain </w:t>
      </w:r>
      <w:r w:rsidR="00E44731" w:rsidRPr="00194419">
        <w:rPr>
          <w:vertAlign w:val="superscript"/>
        </w:rPr>
        <w:t>3</w:t>
      </w:r>
      <w:r w:rsidR="00E44731" w:rsidRPr="00194419">
        <w:t xml:space="preserve">H (Tab. </w:t>
      </w:r>
      <w:r w:rsidR="00E85DD6">
        <w:t>3</w:t>
      </w:r>
      <w:r w:rsidR="00E44731" w:rsidRPr="00194419">
        <w:t xml:space="preserve">) and their values range from 1.10 TU (J1) to 3.06 (B2). The variation of </w:t>
      </w:r>
      <w:r w:rsidR="00E44731" w:rsidRPr="00194419">
        <w:rPr>
          <w:vertAlign w:val="superscript"/>
        </w:rPr>
        <w:t>3</w:t>
      </w:r>
      <w:r w:rsidR="00E44731" w:rsidRPr="00194419">
        <w:t>H concentrations found in a</w:t>
      </w:r>
      <w:r w:rsidR="00E44731" w:rsidRPr="00194419">
        <w:rPr>
          <w:noProof/>
        </w:rPr>
        <w:t xml:space="preserve"> same</w:t>
      </w:r>
      <w:r w:rsidR="00E44731" w:rsidRPr="00194419">
        <w:t xml:space="preserve"> spring </w:t>
      </w:r>
      <w:r w:rsidR="00E44731" w:rsidRPr="00194419">
        <w:rPr>
          <w:noProof/>
        </w:rPr>
        <w:t>is</w:t>
      </w:r>
      <w:r w:rsidR="00E44731" w:rsidRPr="00194419">
        <w:t xml:space="preserve"> below 0.23 TU, except for Lower Anzur spring (J1), where </w:t>
      </w:r>
      <w:r w:rsidR="00E44731" w:rsidRPr="00194419">
        <w:rPr>
          <w:vertAlign w:val="superscript"/>
        </w:rPr>
        <w:t>3</w:t>
      </w:r>
      <w:r w:rsidR="00E44731" w:rsidRPr="00194419">
        <w:t xml:space="preserve">H content </w:t>
      </w:r>
      <w:r w:rsidR="00E44731" w:rsidRPr="00194419">
        <w:rPr>
          <w:noProof/>
        </w:rPr>
        <w:t>varies</w:t>
      </w:r>
      <w:r w:rsidR="00E44731" w:rsidRPr="00194419">
        <w:t xml:space="preserve"> between 1.10 and 2.59 TU (Tab. </w:t>
      </w:r>
      <w:r w:rsidR="00E85DD6">
        <w:t>3</w:t>
      </w:r>
      <w:r w:rsidR="00E44731" w:rsidRPr="00194419">
        <w:t xml:space="preserve">). </w:t>
      </w:r>
      <w:r w:rsidR="004550E0" w:rsidRPr="00194419">
        <w:t>Most</w:t>
      </w:r>
      <w:r w:rsidR="00EF1857" w:rsidRPr="00194419">
        <w:t xml:space="preserve"> samples</w:t>
      </w:r>
      <w:r w:rsidR="004550E0" w:rsidRPr="00194419">
        <w:t xml:space="preserve">, except B2, </w:t>
      </w:r>
      <w:r w:rsidR="00EF1857" w:rsidRPr="00194419">
        <w:t>ha</w:t>
      </w:r>
      <w:r w:rsidR="00E35A96" w:rsidRPr="00194419">
        <w:t>d</w:t>
      </w:r>
      <w:r w:rsidR="00EF1857" w:rsidRPr="00194419">
        <w:t xml:space="preserve"> </w:t>
      </w:r>
      <w:r w:rsidR="00EF1857" w:rsidRPr="00194419">
        <w:rPr>
          <w:vertAlign w:val="superscript"/>
        </w:rPr>
        <w:t>3</w:t>
      </w:r>
      <w:r w:rsidR="00EF1857" w:rsidRPr="00194419">
        <w:t>H conce</w:t>
      </w:r>
      <w:r w:rsidR="00EF1857" w:rsidRPr="00194419">
        <w:rPr>
          <w:noProof/>
        </w:rPr>
        <w:t xml:space="preserve">ntrations </w:t>
      </w:r>
      <w:r w:rsidR="00EF1857" w:rsidRPr="00194419">
        <w:t xml:space="preserve">below the </w:t>
      </w:r>
      <w:r w:rsidR="00D66B40" w:rsidRPr="00194419">
        <w:t>decay corrected</w:t>
      </w:r>
      <w:r w:rsidR="00EF1857" w:rsidRPr="00194419">
        <w:t xml:space="preserve"> input function</w:t>
      </w:r>
      <w:r w:rsidR="00D66B40" w:rsidRPr="00194419">
        <w:t xml:space="preserve">, which </w:t>
      </w:r>
      <w:r w:rsidR="00707258">
        <w:rPr>
          <w:noProof/>
        </w:rPr>
        <w:t>had</w:t>
      </w:r>
      <w:r w:rsidR="00707258" w:rsidRPr="00194419">
        <w:t xml:space="preserve"> </w:t>
      </w:r>
      <w:r w:rsidR="00D66B40" w:rsidRPr="00194419">
        <w:t>little variations for the last 30 years</w:t>
      </w:r>
      <w:r w:rsidR="00EF1857" w:rsidRPr="00194419">
        <w:t xml:space="preserve"> (Fig. 3). Many </w:t>
      </w:r>
      <w:r w:rsidR="00D66B40" w:rsidRPr="00194419">
        <w:t>samples</w:t>
      </w:r>
      <w:r w:rsidR="00EF1857" w:rsidRPr="00194419">
        <w:t xml:space="preserve"> present values</w:t>
      </w:r>
      <w:r w:rsidR="004E6E09" w:rsidRPr="00194419">
        <w:t xml:space="preserve"> </w:t>
      </w:r>
      <w:r w:rsidR="0019242F" w:rsidRPr="00194419">
        <w:t>comprised between 2</w:t>
      </w:r>
      <w:r w:rsidR="004E6E09" w:rsidRPr="00194419">
        <w:t xml:space="preserve"> and 3.5 TU</w:t>
      </w:r>
      <w:r w:rsidR="00966D73" w:rsidRPr="00194419">
        <w:t xml:space="preserve"> (red lines in figure 3)</w:t>
      </w:r>
      <w:r w:rsidR="004E6E09" w:rsidRPr="00194419">
        <w:t>, which are</w:t>
      </w:r>
      <w:r w:rsidRPr="00194419">
        <w:t xml:space="preserve"> similar to rain </w:t>
      </w:r>
      <w:r w:rsidR="00707258">
        <w:t>that recharged</w:t>
      </w:r>
      <w:r w:rsidR="00707258" w:rsidRPr="00194419">
        <w:t xml:space="preserve"> </w:t>
      </w:r>
      <w:r w:rsidR="0019242F" w:rsidRPr="00194419">
        <w:t>after</w:t>
      </w:r>
      <w:r w:rsidR="004E6E09" w:rsidRPr="00194419">
        <w:t xml:space="preserve"> 1980</w:t>
      </w:r>
      <w:r w:rsidR="00D66B40" w:rsidRPr="00194419">
        <w:t>, and therefore,</w:t>
      </w:r>
      <w:r w:rsidR="004550E0" w:rsidRPr="00194419">
        <w:t xml:space="preserve"> they basically</w:t>
      </w:r>
      <w:r w:rsidR="00D66B40" w:rsidRPr="00194419">
        <w:t xml:space="preserve"> have a modern origin</w:t>
      </w:r>
      <w:r w:rsidR="0019242F" w:rsidRPr="00194419">
        <w:t>. On the contrary, H1, H2, T</w:t>
      </w:r>
      <w:r w:rsidR="004E6E09" w:rsidRPr="00194419">
        <w:t xml:space="preserve">3, and </w:t>
      </w:r>
      <w:r w:rsidR="004550E0" w:rsidRPr="00194419">
        <w:t>two</w:t>
      </w:r>
      <w:r w:rsidR="004E6E09" w:rsidRPr="00194419">
        <w:t xml:space="preserve"> sample</w:t>
      </w:r>
      <w:r w:rsidR="004550E0" w:rsidRPr="00194419">
        <w:t>s</w:t>
      </w:r>
      <w:r w:rsidR="004E6E09" w:rsidRPr="00194419">
        <w:t xml:space="preserve"> </w:t>
      </w:r>
      <w:r w:rsidR="0019242F" w:rsidRPr="00194419">
        <w:t xml:space="preserve">of </w:t>
      </w:r>
      <w:r w:rsidR="004E6E09" w:rsidRPr="00194419">
        <w:t xml:space="preserve">J1 and B3, </w:t>
      </w:r>
      <w:r w:rsidR="00E35A96" w:rsidRPr="00194419">
        <w:t>had</w:t>
      </w:r>
      <w:r w:rsidR="004E6E09" w:rsidRPr="00194419">
        <w:t xml:space="preserve"> </w:t>
      </w:r>
      <w:r w:rsidR="00E35A96" w:rsidRPr="00194419">
        <w:rPr>
          <w:vertAlign w:val="superscript"/>
        </w:rPr>
        <w:t>3</w:t>
      </w:r>
      <w:r w:rsidR="0019242F" w:rsidRPr="00194419">
        <w:t>H activities below 2</w:t>
      </w:r>
      <w:r w:rsidR="00A9117D">
        <w:t>TU</w:t>
      </w:r>
      <w:r w:rsidR="00175D75" w:rsidRPr="00194419">
        <w:t xml:space="preserve">. Thus, they must have a proportion of tritium-free </w:t>
      </w:r>
      <w:r w:rsidR="00175D75" w:rsidRPr="00194419">
        <w:rPr>
          <w:noProof/>
        </w:rPr>
        <w:t>groundwater infiltrated</w:t>
      </w:r>
      <w:r w:rsidR="00175D75" w:rsidRPr="00194419">
        <w:t xml:space="preserve"> before 1953, when the atmospheric </w:t>
      </w:r>
      <w:r w:rsidR="00175D75" w:rsidRPr="00194419">
        <w:rPr>
          <w:vertAlign w:val="superscript"/>
        </w:rPr>
        <w:t>3</w:t>
      </w:r>
      <w:r w:rsidR="00175D75" w:rsidRPr="00194419">
        <w:t>H started to grow (Fig. 3).</w:t>
      </w:r>
    </w:p>
    <w:p w14:paraId="0A20D285" w14:textId="3C359277" w:rsidR="00BC37DD" w:rsidRPr="00194419" w:rsidRDefault="00BC37DD" w:rsidP="008A3630">
      <w:pPr>
        <w:spacing w:line="480" w:lineRule="auto"/>
      </w:pPr>
      <w:r w:rsidRPr="00194419">
        <w:t xml:space="preserve">Lower Anzur spring (J1) case is quite particular, as its water shows a great variability of </w:t>
      </w:r>
      <w:r w:rsidR="00E35A96" w:rsidRPr="00194419">
        <w:rPr>
          <w:vertAlign w:val="superscript"/>
        </w:rPr>
        <w:t>3</w:t>
      </w:r>
      <w:r w:rsidRPr="00194419">
        <w:t xml:space="preserve">H concentration (Tab. </w:t>
      </w:r>
      <w:r w:rsidR="00E85DD6">
        <w:t>3</w:t>
      </w:r>
      <w:r w:rsidR="00E85DD6" w:rsidRPr="00194419">
        <w:t xml:space="preserve"> </w:t>
      </w:r>
      <w:r w:rsidRPr="00194419">
        <w:t xml:space="preserve">&amp; Fig. 3). That reflects a more complex </w:t>
      </w:r>
      <w:r w:rsidR="00E35A96" w:rsidRPr="00194419">
        <w:t xml:space="preserve">hydrogeological </w:t>
      </w:r>
      <w:r w:rsidRPr="00194419">
        <w:t xml:space="preserve">functioning, in which the groundwater age distribution could vary notably, depending on the </w:t>
      </w:r>
      <w:r w:rsidRPr="00194419">
        <w:rPr>
          <w:noProof/>
        </w:rPr>
        <w:t>flow</w:t>
      </w:r>
      <w:r w:rsidRPr="00194419">
        <w:t xml:space="preserve"> conditions. The system drained through Lower Anzur spring is markedly karstic </w:t>
      </w:r>
      <w:r w:rsidRPr="00194419">
        <w:fldChar w:fldCharType="begin" w:fldLock="1"/>
      </w:r>
      <w:r w:rsidR="00707258">
        <w:instrText>ADDIN CSL_CITATION {"citationItems":[{"id":"ITEM-1","itemData":{"DOI":"10.1007/978-3-319-45465-8","ISBN":"978-3-319-45464-1","author":[{"dropping-particle":"","family":"Gil-Márquez","given":"Jose Manuel","non-dropping-particle":"","parse-names":false,"suffix":""},{"dropping-particle":"","family":"Mudarra","given":"Matías","non-dropping-particle":"","parse-names":false,"suffix":""},{"dropping-particle":"","family":"Andreo","given":"Bartolomé","non-dropping-particle":"","parse-names":false,"suffix":""}],"chapter-number":"32","container-title":"Eurokarst 2016, Neuchâtel: advances in the hydrogeology of karst and carbonate reservoirs","editor":[{"dropping-particle":"","family":"Renard","given":"Philippe","non-dropping-particle":"","parse-names":false,"suffix":""},{"dropping-particle":"","family":"Bertrand","given":"Catherine","non-dropping-particle":"","parse-names":false,"suffix":""}],"id":"ITEM-1","issued":{"date-parts":[["2017"]]},"page":"335-343","publisher":"Springer","publisher-place":"Heidelberg","title":"Analysis of natural response and hydrochemical data by statistical approaches to characterize the hydrogeological functioning of a highly karstified evaporitic system in south Spain","type":"chapter"},"uris":["http://www.mendeley.com/documents/?uuid=fd9bd77c-afd8-4154-b385-9bcd3631ce97"]}],"mendeley":{"formattedCitation":"(Gil-Márquez et al., 2017)","manualFormatting":"(Gil-Márquez et al., 2017c; Gil-Márquez et al., 2019)","plainTextFormattedCitation":"(Gil-Márquez et al., 2017)","previouslyFormattedCitation":"(Gil-Márquez et al., 2017)"},"properties":{"noteIndex":0},"schema":"https://github.com/citation-style-language/schema/raw/master/csl-citation.json"}</w:instrText>
      </w:r>
      <w:r w:rsidRPr="00194419">
        <w:fldChar w:fldCharType="separate"/>
      </w:r>
      <w:r w:rsidRPr="00194419">
        <w:rPr>
          <w:noProof/>
        </w:rPr>
        <w:t>(Gil-Márquez et al., 2017c</w:t>
      </w:r>
      <w:r w:rsidR="00FD3337" w:rsidRPr="00194419">
        <w:rPr>
          <w:noProof/>
        </w:rPr>
        <w:t xml:space="preserve">; Gil-Márquez et al., </w:t>
      </w:r>
      <w:r w:rsidR="00707258">
        <w:rPr>
          <w:noProof/>
        </w:rPr>
        <w:t>2019</w:t>
      </w:r>
      <w:r w:rsidRPr="00194419">
        <w:rPr>
          <w:noProof/>
        </w:rPr>
        <w:t>)</w:t>
      </w:r>
      <w:r w:rsidRPr="00194419">
        <w:fldChar w:fldCharType="end"/>
      </w:r>
      <w:r w:rsidRPr="00194419">
        <w:t xml:space="preserve"> and the outlet shows great hydrochemical </w:t>
      </w:r>
      <w:r w:rsidR="004550E0" w:rsidRPr="00194419">
        <w:t xml:space="preserve">and hydrodynamic </w:t>
      </w:r>
      <w:r w:rsidRPr="00194419">
        <w:t xml:space="preserve">variability (Tab. </w:t>
      </w:r>
      <w:r w:rsidR="00E85DD6">
        <w:t>3</w:t>
      </w:r>
      <w:r w:rsidRPr="00194419">
        <w:t xml:space="preserve">). During </w:t>
      </w:r>
      <w:r w:rsidRPr="00194419">
        <w:rPr>
          <w:noProof/>
        </w:rPr>
        <w:t>spring</w:t>
      </w:r>
      <w:r w:rsidRPr="00194419">
        <w:t xml:space="preserve"> flood</w:t>
      </w:r>
      <w:r w:rsidR="008605A9" w:rsidRPr="00194419">
        <w:t>s</w:t>
      </w:r>
      <w:r w:rsidRPr="00194419">
        <w:t xml:space="preserve">, water cooling and mineralization decrease </w:t>
      </w:r>
      <w:r w:rsidR="00CC01D6" w:rsidRPr="00194419">
        <w:rPr>
          <w:noProof/>
        </w:rPr>
        <w:t>were</w:t>
      </w:r>
      <w:r w:rsidRPr="00194419">
        <w:t xml:space="preserve"> observed, as a consequence of the arrival of recently infiltrated water through karst swallow holes, while depletion waters present</w:t>
      </w:r>
      <w:r w:rsidR="00CC01D6" w:rsidRPr="00194419">
        <w:t>ed</w:t>
      </w:r>
      <w:r w:rsidRPr="00194419">
        <w:t xml:space="preserve"> higher temperature and </w:t>
      </w:r>
      <w:r w:rsidRPr="00194419">
        <w:lastRenderedPageBreak/>
        <w:t xml:space="preserve">salinity. </w:t>
      </w:r>
      <w:r w:rsidR="00FA2CD1">
        <w:t>Rises of</w:t>
      </w:r>
      <w:r w:rsidR="00F54B69" w:rsidRPr="00194419">
        <w:t xml:space="preserve"> mineralization and water temperature </w:t>
      </w:r>
      <w:r w:rsidRPr="00194419">
        <w:t>frequently appear at the beginning of floods</w:t>
      </w:r>
      <w:r w:rsidR="00F54B69" w:rsidRPr="00194419">
        <w:t xml:space="preserve"> in J1</w:t>
      </w:r>
      <w:r w:rsidR="00FA2CD1">
        <w:t>,</w:t>
      </w:r>
      <w:r w:rsidRPr="00194419">
        <w:t xml:space="preserve"> </w:t>
      </w:r>
      <w:r w:rsidR="00FA2CD1">
        <w:t>which</w:t>
      </w:r>
      <w:r w:rsidRPr="00194419">
        <w:t xml:space="preserve"> </w:t>
      </w:r>
      <w:r w:rsidR="00FA2CD1">
        <w:t>is related to a</w:t>
      </w:r>
      <w:r w:rsidR="00FA2CD1" w:rsidRPr="00194419">
        <w:t xml:space="preserve"> piston-flow effect</w:t>
      </w:r>
      <w:r w:rsidR="00FA2CD1">
        <w:t xml:space="preserve"> </w:t>
      </w:r>
      <w:r w:rsidR="00FA2CD1" w:rsidRPr="00194419">
        <w:fldChar w:fldCharType="begin" w:fldLock="1"/>
      </w:r>
      <w:r w:rsidR="00FA2CD1">
        <w:instrText>ADDIN CSL_CITATION {"citationItems":[{"id":"ITEM-1","itemData":{"DOI":"10.1016/j.jhydrol.2019.06.055","ISSN":"00221694","author":[{"dropping-particle":"","family":"Gil-Márquez","given":"J.M.","non-dropping-particle":"","parse-names":false,"suffix":""},{"dropping-particle":"","family":"Andreo","given":"B.","non-dropping-particle":"","parse-names":false,"suffix":""},{"dropping-particle":"","family":"Mudarra","given":"M.","non-dropping-particle":"","parse-names":false,"suffix":""}],"container-title":"Journal of Hydrology","id":"ITEM-1","issue":"June","issued":{"date-parts":[["2019"]]},"page":"299-314","publisher":"Elsevier","title":"Combining hydrodynamics, hydrochemistry, and environmental isotopes to understand the hydrogeological functioning of evaporite-karst springs. An example from southern Spain","type":"article-journal","volume":"576"},"uris":["http://www.mendeley.com/documents/?uuid=75da33b4-d5cc-4ad5-98cd-90e166e9a3a3"]}],"mendeley":{"formattedCitation":"(Gil-Márquez et al., 2019)","plainTextFormattedCitation":"(Gil-Márquez et al., 2019)","previouslyFormattedCitation":"(Gil-Márquez et al., 2019)"},"properties":{"noteIndex":0},"schema":"https://github.com/citation-style-language/schema/raw/master/csl-citation.json"}</w:instrText>
      </w:r>
      <w:r w:rsidR="00FA2CD1" w:rsidRPr="00194419">
        <w:fldChar w:fldCharType="separate"/>
      </w:r>
      <w:r w:rsidR="00FA2CD1" w:rsidRPr="00707258">
        <w:rPr>
          <w:noProof/>
        </w:rPr>
        <w:t>(Gil-Márquez et al., 2019)</w:t>
      </w:r>
      <w:r w:rsidR="00FA2CD1" w:rsidRPr="00194419">
        <w:fldChar w:fldCharType="end"/>
      </w:r>
      <w:r w:rsidR="00FA2CD1">
        <w:t xml:space="preserve">. </w:t>
      </w:r>
      <w:r w:rsidR="004D49D8">
        <w:t xml:space="preserve">Such term is used in karst hydrology to describe the drainage of groundwater previously stored in the system as a consequence of the pressure transfer provoked by recharge </w:t>
      </w:r>
      <w:r w:rsidR="00C44C03">
        <w:t>(</w:t>
      </w:r>
      <w:r w:rsidR="004D49D8">
        <w:t>e.g.,</w:t>
      </w:r>
      <w:r w:rsidR="00E11C2E">
        <w:fldChar w:fldCharType="begin" w:fldLock="1"/>
      </w:r>
      <w:r w:rsidR="00CC0D8D">
        <w:instrText>ADDIN CSL_CITATION {"citationItems":[{"id":"ITEM-1","itemData":{"ISBN":"1579583997","author":[{"dropping-particle":"","family":"Gunn","given":"John","non-dropping-particle":"","parse-names":false,"suffix":""}],"id":"ITEM-1","issued":{"date-parts":[["2004"]]},"number-of-pages":"1940","publisher":"Taylor &amp; Francis","publisher-place":"New York","title":"Encyclopedia of Caves and Karst Science","type":"book"},"uris":["http://www.mendeley.com/documents/?uuid=29d9f2a9-b7de-4d97-8343-6c4704a4599e"]},{"id":"ITEM-2","itemData":{"DOI":"10.1002/hyp.13400","ISSN":"10991085","author":[{"dropping-particle":"","family":"Frank","given":"Simon","non-dropping-particle":"","parse-names":false,"suffix":""},{"dropping-particle":"","family":"Goeppert","given":"Nadine","non-dropping-particle":"","parse-names":false,"suffix":""},{"dropping-particle":"","family":"Ohmer","given":"Marc","non-dropping-particle":"","parse-names":false,"suffix":""},{"dropping-particle":"","family":"Goldscheider","given":"Nico","non-dropping-particle":"","parse-names":false,"suffix":""}],"container-title":"Hydrological Processes","id":"ITEM-2","issue":"January","issued":{"date-parts":[["2019"]]},"page":"1-12","title":"Sulfate variations as a natural tracer for conduit-matrix interaction in a complex karst aquifer","type":"article-journal"},"uris":["http://www.mendeley.com/documents/?uuid=9284a368-aa9e-40de-87d0-4f95f1c836d6"]},{"id":"ITEM-3","itemData":{"DOI":"10.1007/s10040-010-0576-2","ISBN":"1431-2174","ISSN":"14312174","abstract":"Poiano is the largest karst spring of the Emilia Romagna region (northern Italy). It drains an aquifer of unique properties composed of anhydrite with halite lenses at depth and gypsum at the surface (both with high NaCl content). Hydrogeological research has been undertaken using automatically recorded hourly data on temperature, electrical conductivity, and water level. Water feeding the Poiano spring is restricted within the gypsum/anhydrite outcrop between the Lucola, Sologno and Secchia rivers. Karstification in the Upper Secchia Valley only concerns the gypsum rocks mainly present along the border and in the shallower parts of the sulfate outcrop and does not appear to occur at depth. Data strongly support the hypothesis that the salt content in the spring water derives from active halokinetic movements. For the first time, the fundamental hydrogeological importance of the anhydrite part inside the sulfate rocks is demonstrated. If gypsum prevails over anhydrite the karst drainage network can extend deep into the rocks following a network of fractures and fissures. Instead, if in the deep parts of the aquifer anhydrite prevails over gypsum, the karst evolution cannot take place at depth and the structure of the underground drainage paths only follows near-surface paths in gypsum. (English) [ABSTRACT FROM AUTHOR]","author":[{"dropping-particle":"","family":"Chiesi","given":"Mauro","non-dropping-particle":"","parse-names":false,"suffix":""},{"dropping-particle":"","family":"Waele","given":"Jo","non-dropping-particle":"de","parse-names":false,"suffix":""},{"dropping-particle":"","family":"Forti","given":"Paolo","non-dropping-particle":"","parse-names":false,"suffix":""}],"container-title":"Hydrogeology Journal","id":"ITEM-3","issue":"5","issued":{"date-parts":[["2010"]]},"page":"1111-1124","title":"Origin and evolution of a salty gypsum/anhydrite karst spring: The case of Poiano (Northern Apennines, Italy)","type":"article-journal","volume":"18"},"uris":["http://www.mendeley.com/documents/?uuid=ad741dfe-b80a-4fe2-b4b1-a09bb8cf1136"]},{"id":"ITEM-4","itemData":{"author":[{"dropping-particle":"","family":"Hunkeler","given":"Daniel","non-dropping-particle":"","parse-names":false,"suffix":""},{"dropping-particle":"","family":"Mudry","given":"Jacques","non-dropping-particle":"","parse-names":false,"suffix":""}],"chapter-number":"6","container-title":"Methods in karst hydrogeology","editor":[{"dropping-particle":"","family":"Goldscheider","given":"Nico","non-dropping-particle":"","parse-names":false,"suffix":""},{"dropping-particle":"","family":"Drew","given":"David","non-dropping-particle":"","parse-names":false,"suffix":""}],"id":"ITEM-4","issued":{"date-parts":[["2007"]]},"page":"93-121","publisher":"CRC Press","publisher-place":"London","title":"Hydrochemical methods","type":"chapter"},"uris":["http://www.mendeley.com/documents/?uuid=f490771e-fb2f-4713-92b0-3a5703956e3a"]}],"mendeley":{"formattedCitation":"(Chiesi et al., 2010; Frank et al., 2019; Gunn, 2004; Hunkeler and Mudry, 2007)","manualFormatting":"Chiesi et al., 2010; Frank et al., 2019; Gunn, 2004; Hunkeler and Mudry, 2007)","plainTextFormattedCitation":"(Chiesi et al., 2010; Frank et al., 2019; Gunn, 2004; Hunkeler and Mudry, 2007)","previouslyFormattedCitation":"(Chiesi et al., 2010; Frank et al., 2019; Gunn, 2004; Hunkeler and Mudry, 2007)"},"properties":{"noteIndex":0},"schema":"https://github.com/citation-style-language/schema/raw/master/csl-citation.json"}</w:instrText>
      </w:r>
      <w:r w:rsidR="00E11C2E">
        <w:fldChar w:fldCharType="separate"/>
      </w:r>
      <w:r w:rsidR="00E11C2E" w:rsidRPr="00444A13">
        <w:rPr>
          <w:noProof/>
          <w:lang w:val="de-DE"/>
        </w:rPr>
        <w:t>Chiesi et al., 2010; Frank et al., 2019; Gunn, 2004; Hunkeler and Mudry, 2007)</w:t>
      </w:r>
      <w:r w:rsidR="00E11C2E">
        <w:fldChar w:fldCharType="end"/>
      </w:r>
      <w:r w:rsidR="00D21EE3" w:rsidRPr="00444A13">
        <w:rPr>
          <w:lang w:val="de-DE"/>
        </w:rPr>
        <w:t xml:space="preserve"> </w:t>
      </w:r>
      <w:r w:rsidR="00FA2CD1" w:rsidRPr="00444A13">
        <w:rPr>
          <w:lang w:val="de-DE"/>
        </w:rPr>
        <w:t xml:space="preserve">. </w:t>
      </w:r>
      <w:r w:rsidR="0074770A">
        <w:t xml:space="preserve">The study of the flow-rate, hydrochemical and isotopic variations in J1 spring during four </w:t>
      </w:r>
      <w:r w:rsidR="0074770A" w:rsidRPr="00444A13">
        <w:t xml:space="preserve">years permitted to reach a good understanding of its functioning (Gil-Márquez et al., 2019). </w:t>
      </w:r>
      <w:r w:rsidRPr="00444A13">
        <w:t xml:space="preserve">The highest </w:t>
      </w:r>
      <w:r w:rsidR="00CC01D6" w:rsidRPr="00444A13">
        <w:rPr>
          <w:vertAlign w:val="superscript"/>
        </w:rPr>
        <w:t>3</w:t>
      </w:r>
      <w:r w:rsidRPr="00444A13">
        <w:t xml:space="preserve">H value (2.59 TU; Tab. </w:t>
      </w:r>
      <w:r w:rsidR="00E85DD6" w:rsidRPr="00444A13">
        <w:t>3</w:t>
      </w:r>
      <w:r w:rsidRPr="00444A13">
        <w:t>) was obtained during a chemical dilution (</w:t>
      </w:r>
      <w:r w:rsidRPr="00444A13">
        <w:rPr>
          <w:noProof/>
        </w:rPr>
        <w:t>Dec</w:t>
      </w:r>
      <w:r w:rsidRPr="00444A13">
        <w:t xml:space="preserve"> 2016), </w:t>
      </w:r>
      <w:r w:rsidR="00F54B69" w:rsidRPr="00444A13">
        <w:t xml:space="preserve">understood as mineralization decreased, </w:t>
      </w:r>
      <w:r w:rsidRPr="00444A13">
        <w:t>which reflects</w:t>
      </w:r>
      <w:r w:rsidRPr="00194419">
        <w:t xml:space="preserve"> the influence of recent recharge on the natural response</w:t>
      </w:r>
      <w:r w:rsidR="00CC01D6" w:rsidRPr="00194419">
        <w:t xml:space="preserve"> of the spring</w:t>
      </w:r>
      <w:r w:rsidRPr="00194419">
        <w:t xml:space="preserve">. On the other hand, the lowest </w:t>
      </w:r>
      <w:r w:rsidR="00CC01D6" w:rsidRPr="00194419">
        <w:rPr>
          <w:vertAlign w:val="superscript"/>
        </w:rPr>
        <w:t>3</w:t>
      </w:r>
      <w:r w:rsidRPr="00194419">
        <w:t>H concentrations coincided with a piston-flow effect (1.95 TU), an</w:t>
      </w:r>
      <w:r w:rsidR="00CC01D6" w:rsidRPr="00194419">
        <w:t xml:space="preserve">d with </w:t>
      </w:r>
      <w:r w:rsidRPr="00194419">
        <w:t>the depletion of 2015 (1.10 TU). The value</w:t>
      </w:r>
      <w:r w:rsidR="004550E0" w:rsidRPr="00194419">
        <w:t xml:space="preserve"> of 1.95 TU</w:t>
      </w:r>
      <w:r w:rsidRPr="00194419">
        <w:t xml:space="preserve"> would have been provoked by the mobilization of deeper groundwater flows due to the recharge boost, which suggests that groundwater coming from </w:t>
      </w:r>
      <w:r w:rsidR="00CC01D6" w:rsidRPr="00194419">
        <w:t>deeper regions would have less</w:t>
      </w:r>
      <w:r w:rsidR="00CA09D1">
        <w:t xml:space="preserve"> or no</w:t>
      </w:r>
      <w:r w:rsidR="00CC01D6" w:rsidRPr="00194419">
        <w:t xml:space="preserve"> </w:t>
      </w:r>
      <w:r w:rsidR="00CC01D6" w:rsidRPr="00194419">
        <w:rPr>
          <w:vertAlign w:val="superscript"/>
        </w:rPr>
        <w:t>3</w:t>
      </w:r>
      <w:r w:rsidRPr="00194419">
        <w:t>H and, therefore, they would be older. The value</w:t>
      </w:r>
      <w:r w:rsidR="004550E0" w:rsidRPr="00194419">
        <w:t xml:space="preserve"> of 1.1 TU </w:t>
      </w:r>
      <w:r w:rsidRPr="00194419">
        <w:t xml:space="preserve">would be related to the diminishing of recent recharge contribution. The contribution of old groundwater must be high in such conditions since the </w:t>
      </w:r>
      <w:r w:rsidRPr="00194419">
        <w:rPr>
          <w:vertAlign w:val="superscript"/>
        </w:rPr>
        <w:t>3</w:t>
      </w:r>
      <w:r w:rsidRPr="00194419">
        <w:t xml:space="preserve">H value </w:t>
      </w:r>
      <w:r w:rsidR="00A81499" w:rsidRPr="00194419">
        <w:t xml:space="preserve">of </w:t>
      </w:r>
      <w:r w:rsidRPr="00194419">
        <w:t xml:space="preserve">that </w:t>
      </w:r>
      <w:r w:rsidRPr="00194419">
        <w:rPr>
          <w:noProof/>
        </w:rPr>
        <w:t>sample</w:t>
      </w:r>
      <w:r w:rsidRPr="00194419">
        <w:t xml:space="preserve"> </w:t>
      </w:r>
      <w:r w:rsidR="00CC01D6" w:rsidRPr="00194419">
        <w:t>was</w:t>
      </w:r>
      <w:r w:rsidRPr="00194419">
        <w:t xml:space="preserve"> very low compared to precipitation concentration</w:t>
      </w:r>
      <w:r w:rsidR="00CC01D6" w:rsidRPr="00194419">
        <w:t xml:space="preserve"> (Tab. </w:t>
      </w:r>
      <w:r w:rsidR="00E85DD6">
        <w:t>3</w:t>
      </w:r>
      <w:r w:rsidR="00CC01D6" w:rsidRPr="00194419">
        <w:t>)</w:t>
      </w:r>
      <w:r w:rsidRPr="00194419">
        <w:t>.</w:t>
      </w:r>
    </w:p>
    <w:p w14:paraId="305C7FC2" w14:textId="77777777" w:rsidR="00152C91" w:rsidRPr="00194419" w:rsidRDefault="00152C91" w:rsidP="00536025">
      <w:pPr>
        <w:pStyle w:val="Prrafodelista"/>
        <w:keepNext/>
        <w:numPr>
          <w:ilvl w:val="2"/>
          <w:numId w:val="1"/>
        </w:numPr>
        <w:spacing w:line="480" w:lineRule="auto"/>
        <w:ind w:left="1225" w:hanging="505"/>
        <w:rPr>
          <w:b/>
          <w:lang w:val="es-ES_tradnl"/>
        </w:rPr>
      </w:pPr>
      <w:r w:rsidRPr="00194419">
        <w:rPr>
          <w:b/>
          <w:lang w:val="es-ES_tradnl"/>
        </w:rPr>
        <w:t>Noble gases</w:t>
      </w:r>
    </w:p>
    <w:p w14:paraId="679E0666" w14:textId="367EDD2F" w:rsidR="00152C91" w:rsidRPr="00194419" w:rsidRDefault="00152C91" w:rsidP="008A3630">
      <w:pPr>
        <w:spacing w:line="480" w:lineRule="auto"/>
      </w:pPr>
      <w:r w:rsidRPr="00194419">
        <w:t xml:space="preserve">Ne concentrations </w:t>
      </w:r>
      <w:r w:rsidR="008A04C7" w:rsidRPr="00194419">
        <w:t xml:space="preserve">in all samples </w:t>
      </w:r>
      <w:r w:rsidRPr="00194419">
        <w:t>are lower than equilibrium values (</w:t>
      </w:r>
      <w:r w:rsidRPr="00194419">
        <w:rPr>
          <w:lang w:val="es-ES"/>
        </w:rPr>
        <w:t>Δ</w:t>
      </w:r>
      <w:r w:rsidRPr="00194419">
        <w:t>Ne)</w:t>
      </w:r>
      <w:r w:rsidR="008A04C7" w:rsidRPr="00194419">
        <w:t>,</w:t>
      </w:r>
      <w:r w:rsidRPr="00194419">
        <w:t xml:space="preserve"> calculated for freshwater at recharge conditions (see section 3.4)</w:t>
      </w:r>
      <w:r w:rsidR="008A04C7" w:rsidRPr="00194419">
        <w:t>,</w:t>
      </w:r>
      <w:r w:rsidRPr="00194419">
        <w:t xml:space="preserve"> except for T4</w:t>
      </w:r>
      <w:r w:rsidR="004A11B7" w:rsidRPr="00194419">
        <w:t xml:space="preserve"> and one </w:t>
      </w:r>
      <w:r w:rsidR="00F82831">
        <w:t xml:space="preserve">sample </w:t>
      </w:r>
      <w:r w:rsidR="004A11B7" w:rsidRPr="00194419">
        <w:t>of</w:t>
      </w:r>
      <w:r w:rsidRPr="00194419">
        <w:t xml:space="preserve"> H3 (Tab. </w:t>
      </w:r>
      <w:r w:rsidR="00E85DD6">
        <w:t>3</w:t>
      </w:r>
      <w:r w:rsidRPr="00194419">
        <w:t xml:space="preserve">). That means that sampled waters are degassed, between -16% and -66% </w:t>
      </w:r>
      <w:r w:rsidRPr="00194419">
        <w:rPr>
          <w:lang w:val="es-ES"/>
        </w:rPr>
        <w:t>Δ</w:t>
      </w:r>
      <w:r w:rsidRPr="00194419">
        <w:t xml:space="preserve">Ne. </w:t>
      </w:r>
      <w:r w:rsidR="009C4CB6" w:rsidRPr="00194419">
        <w:t>Nonetheless, the degassing signatures were reproduced in the duplicate samples</w:t>
      </w:r>
      <w:r w:rsidR="00A81499" w:rsidRPr="00194419">
        <w:t>.</w:t>
      </w:r>
      <w:r w:rsidR="009C4CB6" w:rsidRPr="00194419">
        <w:t xml:space="preserve"> Thus, sampling from these springs is reliable and </w:t>
      </w:r>
      <w:r w:rsidRPr="00194419">
        <w:t xml:space="preserve">the </w:t>
      </w:r>
      <w:r w:rsidRPr="00194419">
        <w:rPr>
          <w:noProof/>
        </w:rPr>
        <w:t>los</w:t>
      </w:r>
      <w:r w:rsidR="00C25FB4" w:rsidRPr="00194419">
        <w:rPr>
          <w:noProof/>
        </w:rPr>
        <w:t>s</w:t>
      </w:r>
      <w:r w:rsidRPr="00194419">
        <w:t xml:space="preserve"> of gas must have occurred </w:t>
      </w:r>
      <w:r w:rsidRPr="00194419">
        <w:rPr>
          <w:noProof/>
        </w:rPr>
        <w:t>before.</w:t>
      </w:r>
      <w:r w:rsidRPr="00194419">
        <w:t xml:space="preserve"> In order to calculate </w:t>
      </w:r>
      <w:r w:rsidR="008A04C7" w:rsidRPr="00194419">
        <w:rPr>
          <w:vertAlign w:val="superscript"/>
        </w:rPr>
        <w:lastRenderedPageBreak/>
        <w:t>3</w:t>
      </w:r>
      <w:r w:rsidRPr="00194419">
        <w:t>He</w:t>
      </w:r>
      <w:r w:rsidRPr="00194419">
        <w:rPr>
          <w:vertAlign w:val="subscript"/>
        </w:rPr>
        <w:t>trit</w:t>
      </w:r>
      <w:r w:rsidRPr="00194419">
        <w:t xml:space="preserve"> concentration, </w:t>
      </w:r>
      <w:r w:rsidR="008A04C7" w:rsidRPr="00194419">
        <w:rPr>
          <w:vertAlign w:val="superscript"/>
        </w:rPr>
        <w:t>3</w:t>
      </w:r>
      <w:r w:rsidRPr="00194419">
        <w:t>H/</w:t>
      </w:r>
      <w:r w:rsidR="008A04C7" w:rsidRPr="00194419">
        <w:rPr>
          <w:vertAlign w:val="superscript"/>
        </w:rPr>
        <w:t>3</w:t>
      </w:r>
      <w:r w:rsidRPr="00194419">
        <w:t xml:space="preserve">He ages, </w:t>
      </w:r>
      <w:r w:rsidR="004A11B7" w:rsidRPr="00194419">
        <w:t>and</w:t>
      </w:r>
      <w:r w:rsidRPr="00194419">
        <w:t xml:space="preserve"> the proportion of </w:t>
      </w:r>
      <w:r w:rsidRPr="00194419">
        <w:rPr>
          <w:vertAlign w:val="superscript"/>
        </w:rPr>
        <w:t>4</w:t>
      </w:r>
      <w:r w:rsidRPr="00194419">
        <w:t>He with a radiogenic origin (</w:t>
      </w:r>
      <w:r w:rsidRPr="00194419">
        <w:rPr>
          <w:vertAlign w:val="superscript"/>
        </w:rPr>
        <w:t>4</w:t>
      </w:r>
      <w:r w:rsidRPr="00194419">
        <w:t>He</w:t>
      </w:r>
      <w:r w:rsidRPr="00194419">
        <w:rPr>
          <w:vertAlign w:val="subscript"/>
        </w:rPr>
        <w:t>rad</w:t>
      </w:r>
      <w:r w:rsidRPr="00194419">
        <w:t xml:space="preserve">), it is necessary to assess the time when the degassing happened, between recharge and sampling </w:t>
      </w:r>
      <w:r w:rsidR="000E0212" w:rsidRPr="00194419">
        <w:fldChar w:fldCharType="begin" w:fldLock="1"/>
      </w:r>
      <w:r w:rsidR="005527DE" w:rsidRPr="00194419">
        <w:instrText>ADDIN CSL_CITATION {"citationItems":[{"id":"ITEM-1","itemData":{"DOI":"10.1007/s10040-010-0663-4","author":[{"dropping-particle":"","family":"Sültenfuss","given":"Jürgen","non-dropping-particle":"","parse-names":false,"suffix":""},{"dropping-particle":"","family":"Purtschert","given":"Roland","non-dropping-particle":"","parse-names":false,"suffix":""},{"dropping-particle":"","family":"Führböter","given":"Jens F","non-dropping-particle":"","parse-names":false,"suffix":""}],"container-title":"Hydrogeology Journal","id":"ITEM-1","issued":{"date-parts":[["2011"]]},"page":"221-236","title":"Age structure and recharge conditions of a coastal aquifer ( northern Germany ) investigated with &lt;sup&gt;39&lt;/sup&gt;Ar, &lt;sup&gt;14&lt;/sup&gt;C, &lt;sup&gt;3&lt;/sup&gt;H, He isotopes and Ne","type":"article-journal","volume":"19"},"uris":["http://www.mendeley.com/documents/?uuid=ae9362a1-8110-4d26-8363-278532b866b3"]}],"mendeley":{"formattedCitation":"(Sültenfuss et al., 2011)","plainTextFormattedCitation":"(Sültenfuss et al., 2011)","previouslyFormattedCitation":"(Sültenfuss et al., 2011)"},"properties":{"noteIndex":0},"schema":"https://github.com/citation-style-language/schema/raw/master/csl-citation.json"}</w:instrText>
      </w:r>
      <w:r w:rsidR="000E0212" w:rsidRPr="00194419">
        <w:fldChar w:fldCharType="separate"/>
      </w:r>
      <w:r w:rsidR="000E0212" w:rsidRPr="00194419">
        <w:rPr>
          <w:noProof/>
        </w:rPr>
        <w:t>(Sültenfuss et al., 2011)</w:t>
      </w:r>
      <w:r w:rsidR="000E0212" w:rsidRPr="00194419">
        <w:fldChar w:fldCharType="end"/>
      </w:r>
      <w:r w:rsidRPr="00194419">
        <w:t xml:space="preserve">. </w:t>
      </w:r>
      <w:r w:rsidR="00CC0D8D">
        <w:t xml:space="preserve">The effect of salinity over noble gas concentration is approximately of -0.42% for He and -0.48% for Ne </w:t>
      </w:r>
      <w:r w:rsidR="00CC0D8D">
        <w:fldChar w:fldCharType="begin" w:fldLock="1"/>
      </w:r>
      <w:r w:rsidR="006A35F9">
        <w:instrText>ADDIN CSL_CITATION {"citationItems":[{"id":"ITEM-1","itemData":{"author":[{"dropping-particle":"","family":"Aeschbach-Hertig","given":"","non-dropping-particle":"","parse-names":false,"suffix":""},{"dropping-particle":"","family":"Peeters","given":"F","non-dropping-particle":"","parse-names":false,"suffix":""},{"dropping-particle":"","family":"Beyerle","given":"U","non-dropping-particle":"","parse-names":false,"suffix":""},{"dropping-particle":"","family":"Kipfer","given":"R","non-dropping-particle":"","parse-names":false,"suffix":""}],"container-title":"Water Resources Research","id":"ITEM-1","issue":"9","issued":{"date-parts":[["1999"]]},"page":"2779-2792","title":"Interpretation of dissolved atmospheric noble gases in natural waters","type":"article-journal","volume":"35"},"uris":["http://www.mendeley.com/documents/?uuid=8dd974f4-8561-4056-b726-c83940380d43"]}],"mendeley":{"formattedCitation":"(Aeschbach-Hertig et al., 1999)","plainTextFormattedCitation":"(Aeschbach-Hertig et al., 1999)","previouslyFormattedCitation":"(Aeschbach-Hertig et al., 1999)"},"properties":{"noteIndex":0},"schema":"https://github.com/citation-style-language/schema/raw/master/csl-citation.json"}</w:instrText>
      </w:r>
      <w:r w:rsidR="00CC0D8D">
        <w:fldChar w:fldCharType="separate"/>
      </w:r>
      <w:r w:rsidR="00CC0D8D" w:rsidRPr="00CC0D8D">
        <w:rPr>
          <w:noProof/>
        </w:rPr>
        <w:t>(Aeschbach-Hertig et al., 1999)</w:t>
      </w:r>
      <w:r w:rsidR="00CC0D8D">
        <w:fldChar w:fldCharType="end"/>
      </w:r>
      <w:r w:rsidR="00CC0D8D">
        <w:t xml:space="preserve">. </w:t>
      </w:r>
      <w:r w:rsidRPr="00194419">
        <w:t xml:space="preserve">Typical values of </w:t>
      </w:r>
      <w:r w:rsidRPr="00194419">
        <w:rPr>
          <w:vertAlign w:val="superscript"/>
        </w:rPr>
        <w:t>4</w:t>
      </w:r>
      <w:r w:rsidRPr="00194419">
        <w:t xml:space="preserve">He and Ne at several temperatures, representing different recharge conditions, are displayed in figure 4. Only the samples with higher </w:t>
      </w:r>
      <w:r w:rsidRPr="00194419">
        <w:rPr>
          <w:lang w:val="es-ES"/>
        </w:rPr>
        <w:t>Δ</w:t>
      </w:r>
      <w:r w:rsidRPr="00194419">
        <w:t xml:space="preserve">Ne (T4 and H3) are close to the equilibrium conditions with the atmosphere. The rest of </w:t>
      </w:r>
      <w:r w:rsidR="00C25FB4" w:rsidRPr="00194419">
        <w:t xml:space="preserve">the </w:t>
      </w:r>
      <w:r w:rsidRPr="00194419">
        <w:rPr>
          <w:noProof/>
        </w:rPr>
        <w:t>samples</w:t>
      </w:r>
      <w:r w:rsidRPr="00194419">
        <w:t xml:space="preserve">, which are degassed, </w:t>
      </w:r>
      <w:r w:rsidR="00CC01D6" w:rsidRPr="00194419">
        <w:t>had</w:t>
      </w:r>
      <w:r w:rsidRPr="00194419">
        <w:t xml:space="preserve"> lower Ne values but </w:t>
      </w:r>
      <w:r w:rsidR="00CA09D1" w:rsidRPr="00194419">
        <w:t xml:space="preserve">greater </w:t>
      </w:r>
      <w:r w:rsidRPr="00194419">
        <w:rPr>
          <w:vertAlign w:val="superscript"/>
        </w:rPr>
        <w:t>4</w:t>
      </w:r>
      <w:r w:rsidRPr="00194419">
        <w:t xml:space="preserve">He concentrations than the </w:t>
      </w:r>
      <w:r w:rsidR="00CA09D1">
        <w:t>atmospheric equilibrium.</w:t>
      </w:r>
    </w:p>
    <w:p w14:paraId="023990E1" w14:textId="74D7773E" w:rsidR="001C0FA6" w:rsidRPr="00194419" w:rsidRDefault="001C0FA6" w:rsidP="008A3630">
      <w:pPr>
        <w:spacing w:line="480" w:lineRule="auto"/>
      </w:pPr>
      <w:r w:rsidRPr="00194419">
        <w:t xml:space="preserve">Ne and He equilibrium values of the samples have been calculated according to their salinity, following Weiss equations </w:t>
      </w:r>
      <w:r w:rsidR="000E0212" w:rsidRPr="00194419">
        <w:fldChar w:fldCharType="begin" w:fldLock="1"/>
      </w:r>
      <w:r w:rsidR="001612E2" w:rsidRPr="00194419">
        <w:instrText>ADDIN CSL_CITATION {"citationItems":[{"id":"ITEM-1","itemData":{"author":[{"dropping-particle":"","family":"Weiss","given":"Ray F.","non-dropping-particle":"","parse-names":false,"suffix":""}],"container-title":"Journal of Chemical and Engineering Dta","id":"ITEM-1","issue":"2","issued":{"date-parts":[["1971"]]},"page":"235-241","title":"Solubility of Helium and Neon in Water and Seawater","type":"article-journal","volume":"16"},"uris":["http://www.mendeley.com/documents/?uuid=8affd076-3acd-472c-b340-80d710066586"]}],"mendeley":{"formattedCitation":"(Weiss, 1971)","manualFormatting":"(1971)","plainTextFormattedCitation":"(Weiss, 1971)","previouslyFormattedCitation":"(Weiss, 1971)"},"properties":{"noteIndex":0},"schema":"https://github.com/citation-style-language/schema/raw/master/csl-citation.json"}</w:instrText>
      </w:r>
      <w:r w:rsidR="000E0212" w:rsidRPr="00194419">
        <w:fldChar w:fldCharType="separate"/>
      </w:r>
      <w:r w:rsidR="000E0212" w:rsidRPr="00194419">
        <w:rPr>
          <w:noProof/>
        </w:rPr>
        <w:t>(1971)</w:t>
      </w:r>
      <w:r w:rsidR="000E0212" w:rsidRPr="00194419">
        <w:fldChar w:fldCharType="end"/>
      </w:r>
      <w:r w:rsidRPr="00194419">
        <w:t xml:space="preserve">. The estimated </w:t>
      </w:r>
      <w:r w:rsidR="003D5862" w:rsidRPr="00194419">
        <w:t xml:space="preserve">equilibrium </w:t>
      </w:r>
      <w:r w:rsidRPr="00194419">
        <w:t>concentrations</w:t>
      </w:r>
      <w:r w:rsidR="001D4168" w:rsidRPr="00194419">
        <w:t xml:space="preserve"> (for sal</w:t>
      </w:r>
      <w:r w:rsidR="001E29EF" w:rsidRPr="00194419">
        <w:t>ine</w:t>
      </w:r>
      <w:r w:rsidR="001D4168" w:rsidRPr="00194419">
        <w:t xml:space="preserve"> samples)</w:t>
      </w:r>
      <w:r w:rsidRPr="00194419">
        <w:t xml:space="preserve"> of Ne </w:t>
      </w:r>
      <w:r w:rsidR="008A04C7" w:rsidRPr="00194419">
        <w:t>for B3, H2</w:t>
      </w:r>
      <w:r w:rsidR="00C25FB4" w:rsidRPr="00194419">
        <w:t>,</w:t>
      </w:r>
      <w:r w:rsidR="008A04C7" w:rsidRPr="00194419">
        <w:t xml:space="preserve"> </w:t>
      </w:r>
      <w:r w:rsidR="008A04C7" w:rsidRPr="00194419">
        <w:rPr>
          <w:noProof/>
        </w:rPr>
        <w:t>and</w:t>
      </w:r>
      <w:r w:rsidR="008A04C7" w:rsidRPr="00194419">
        <w:t xml:space="preserve"> T3 </w:t>
      </w:r>
      <w:r w:rsidRPr="00194419">
        <w:t xml:space="preserve">are similar to those found in </w:t>
      </w:r>
      <w:r w:rsidR="008A04C7" w:rsidRPr="00194419">
        <w:t xml:space="preserve">the samples, although </w:t>
      </w:r>
      <w:r w:rsidR="008A04C7" w:rsidRPr="00194419">
        <w:rPr>
          <w:noProof/>
        </w:rPr>
        <w:t>their</w:t>
      </w:r>
      <w:r w:rsidR="008A04C7" w:rsidRPr="00194419">
        <w:t xml:space="preserve"> measured</w:t>
      </w:r>
      <w:r w:rsidRPr="00194419">
        <w:t xml:space="preserve"> He values are much higher (Fig. 4). The latter also occurs in the rest of the brine samples and </w:t>
      </w:r>
      <w:r w:rsidR="001D4168" w:rsidRPr="00194419">
        <w:rPr>
          <w:noProof/>
        </w:rPr>
        <w:t>is</w:t>
      </w:r>
      <w:r w:rsidRPr="00194419">
        <w:t xml:space="preserve"> due to </w:t>
      </w:r>
      <w:r w:rsidRPr="00194419">
        <w:rPr>
          <w:vertAlign w:val="superscript"/>
        </w:rPr>
        <w:t>4</w:t>
      </w:r>
      <w:r w:rsidRPr="00194419">
        <w:t>He</w:t>
      </w:r>
      <w:r w:rsidRPr="00194419">
        <w:rPr>
          <w:vertAlign w:val="subscript"/>
        </w:rPr>
        <w:t>rad</w:t>
      </w:r>
      <w:r w:rsidRPr="00194419">
        <w:t xml:space="preserve"> production that leads to the accumulation of </w:t>
      </w:r>
      <w:r w:rsidR="00CC01D6" w:rsidRPr="00194419">
        <w:t>this</w:t>
      </w:r>
      <w:r w:rsidRPr="00194419">
        <w:t xml:space="preserve"> isotope in groundwater since recharge </w:t>
      </w:r>
      <w:r w:rsidR="008A04C7" w:rsidRPr="00194419">
        <w:t xml:space="preserve">waters </w:t>
      </w:r>
      <w:r w:rsidRPr="00194419">
        <w:t xml:space="preserve">reached the saturated zone (SZ). </w:t>
      </w:r>
      <w:r w:rsidR="00CC01D6" w:rsidRPr="00194419">
        <w:t>The observed He and Ne relationships</w:t>
      </w:r>
      <w:r w:rsidRPr="00194419">
        <w:t xml:space="preserve"> in the samples could be caused </w:t>
      </w:r>
      <w:r w:rsidR="008A04C7" w:rsidRPr="00194419">
        <w:t xml:space="preserve">via </w:t>
      </w:r>
      <w:r w:rsidRPr="00194419">
        <w:t>two different routes:</w:t>
      </w:r>
    </w:p>
    <w:p w14:paraId="7577C3C1" w14:textId="3BF81603" w:rsidR="001C0FA6" w:rsidRPr="00194419" w:rsidRDefault="001C0FA6" w:rsidP="008A3630">
      <w:pPr>
        <w:pStyle w:val="Prrafodelista"/>
        <w:numPr>
          <w:ilvl w:val="0"/>
          <w:numId w:val="4"/>
        </w:numPr>
        <w:spacing w:line="480" w:lineRule="auto"/>
        <w:ind w:left="567"/>
      </w:pPr>
      <w:r w:rsidRPr="00194419">
        <w:t xml:space="preserve">(1) </w:t>
      </w:r>
      <w:r w:rsidR="00CC01D6" w:rsidRPr="00194419">
        <w:t>B</w:t>
      </w:r>
      <w:r w:rsidRPr="00194419">
        <w:t xml:space="preserve">lue arrows in figure 4. Recharge water is in equilibrium with the atmosphere. It enters the SZ and gas exchanging with </w:t>
      </w:r>
      <w:r w:rsidR="008A04C7" w:rsidRPr="00194419">
        <w:t xml:space="preserve">the </w:t>
      </w:r>
      <w:r w:rsidR="001D4168" w:rsidRPr="00194419">
        <w:rPr>
          <w:noProof/>
        </w:rPr>
        <w:t>atmosphere</w:t>
      </w:r>
      <w:r w:rsidR="001D4168" w:rsidRPr="00194419">
        <w:t xml:space="preserve"> </w:t>
      </w:r>
      <w:r w:rsidRPr="00194419">
        <w:t xml:space="preserve">stops. Groundwater accumulates </w:t>
      </w:r>
      <w:r w:rsidRPr="00194419">
        <w:rPr>
          <w:vertAlign w:val="superscript"/>
        </w:rPr>
        <w:t>4</w:t>
      </w:r>
      <w:r w:rsidRPr="00194419">
        <w:t>He</w:t>
      </w:r>
      <w:r w:rsidRPr="00194419">
        <w:rPr>
          <w:vertAlign w:val="subscript"/>
        </w:rPr>
        <w:t>rad</w:t>
      </w:r>
      <w:r w:rsidRPr="00194419">
        <w:t xml:space="preserve"> along its flowpath, while Ne concentration remains </w:t>
      </w:r>
      <w:r w:rsidR="00CA09D1">
        <w:t>constant</w:t>
      </w:r>
      <w:r w:rsidRPr="00194419">
        <w:t xml:space="preserve">. Eventually, at discharge points (or close to them), groundwater comes </w:t>
      </w:r>
      <w:r w:rsidR="008A04C7" w:rsidRPr="00194419">
        <w:t xml:space="preserve">again </w:t>
      </w:r>
      <w:r w:rsidRPr="00194419">
        <w:t>into contact with the atmosphere and is re</w:t>
      </w:r>
      <w:r w:rsidR="00C77D33" w:rsidRPr="00194419">
        <w:t>-</w:t>
      </w:r>
      <w:r w:rsidRPr="00194419">
        <w:t>equilibrated, depending on temperature, pressure</w:t>
      </w:r>
      <w:r w:rsidR="00C25FB4" w:rsidRPr="00194419">
        <w:t>,</w:t>
      </w:r>
      <w:r w:rsidRPr="00194419">
        <w:t xml:space="preserve"> </w:t>
      </w:r>
      <w:r w:rsidRPr="00194419">
        <w:rPr>
          <w:noProof/>
        </w:rPr>
        <w:t>and</w:t>
      </w:r>
      <w:r w:rsidRPr="00194419">
        <w:t xml:space="preserve"> salinity. The presence of high </w:t>
      </w:r>
      <w:r w:rsidR="001D4168" w:rsidRPr="00194419">
        <w:rPr>
          <w:noProof/>
        </w:rPr>
        <w:t>salt</w:t>
      </w:r>
      <w:r w:rsidRPr="00194419">
        <w:t xml:space="preserve"> concentration leads to the reduction of gas solubility, which </w:t>
      </w:r>
      <w:r w:rsidRPr="00194419">
        <w:rPr>
          <w:noProof/>
        </w:rPr>
        <w:t>favor</w:t>
      </w:r>
      <w:r w:rsidR="00C25FB4" w:rsidRPr="00194419">
        <w:rPr>
          <w:noProof/>
        </w:rPr>
        <w:t>s</w:t>
      </w:r>
      <w:r w:rsidRPr="00194419">
        <w:t xml:space="preserve"> degassing.</w:t>
      </w:r>
    </w:p>
    <w:p w14:paraId="0E9DAFEA" w14:textId="0F30A1A8" w:rsidR="001C0FA6" w:rsidRPr="00194419" w:rsidRDefault="001C0FA6" w:rsidP="008A3630">
      <w:pPr>
        <w:pStyle w:val="Prrafodelista"/>
        <w:numPr>
          <w:ilvl w:val="0"/>
          <w:numId w:val="4"/>
        </w:numPr>
        <w:spacing w:line="480" w:lineRule="auto"/>
        <w:ind w:left="567"/>
      </w:pPr>
      <w:r w:rsidRPr="00194419">
        <w:lastRenderedPageBreak/>
        <w:t>(2) Red arrows in figure 4. Infiltrated water dissolves minerals throughout the unsaturated zone (UZ) and reaches salinity values similar to those found in the spring samples. Thus, before groundwater reaches the SZ, gas exchang</w:t>
      </w:r>
      <w:r w:rsidR="008605A9" w:rsidRPr="00194419">
        <w:t>e</w:t>
      </w:r>
      <w:r w:rsidRPr="00194419">
        <w:t xml:space="preserve"> is also possible, which favors </w:t>
      </w:r>
      <w:r w:rsidR="00F54B69" w:rsidRPr="00194419">
        <w:t xml:space="preserve">lower </w:t>
      </w:r>
      <w:r w:rsidRPr="00194419">
        <w:t xml:space="preserve">Ne </w:t>
      </w:r>
      <w:r w:rsidR="00F54B69" w:rsidRPr="00194419">
        <w:t>equilibrium concentrations</w:t>
      </w:r>
      <w:r w:rsidRPr="00194419">
        <w:t xml:space="preserve">. Once in the SZ, </w:t>
      </w:r>
      <w:r w:rsidRPr="00194419">
        <w:rPr>
          <w:vertAlign w:val="superscript"/>
        </w:rPr>
        <w:t>4</w:t>
      </w:r>
      <w:r w:rsidRPr="00194419">
        <w:t>He</w:t>
      </w:r>
      <w:r w:rsidRPr="00194419">
        <w:rPr>
          <w:vertAlign w:val="subscript"/>
        </w:rPr>
        <w:t>rad</w:t>
      </w:r>
      <w:r w:rsidRPr="00194419">
        <w:t xml:space="preserve"> rises due to its underground production.</w:t>
      </w:r>
    </w:p>
    <w:p w14:paraId="527264AC" w14:textId="2539E448" w:rsidR="001C0FA6" w:rsidRPr="00194419" w:rsidRDefault="00EA7B5E" w:rsidP="008A3630">
      <w:pPr>
        <w:spacing w:line="480" w:lineRule="auto"/>
      </w:pPr>
      <w:r>
        <w:t>Salt rock is absent at surface and it has not been found in any speleological survey performed within the CSC (Aljama-Martínez, 2017; Calaforra and Pulido-Bosch, 1999)</w:t>
      </w:r>
      <w:r w:rsidR="00F56A12">
        <w:t>.</w:t>
      </w:r>
      <w:r>
        <w:t xml:space="preserve"> </w:t>
      </w:r>
      <w:r w:rsidR="001C0FA6" w:rsidRPr="00194419">
        <w:t xml:space="preserve">Previous works carried out in the study areas </w:t>
      </w:r>
      <w:r w:rsidR="000E0212" w:rsidRPr="00194419">
        <w:fldChar w:fldCharType="begin" w:fldLock="1"/>
      </w:r>
      <w:r w:rsidR="0037121E" w:rsidRPr="00194419">
        <w:instrText>ADDIN CSL_CITATION {"citationItems":[{"id":"ITEM-1","itemData":{"author":[{"dropping-particle":"","family":"Carrasco","given":"Francisco","non-dropping-particle":"","parse-names":false,"suffix":""}],"id":"ITEM-1","issued":{"date-parts":[["1986"]]},"publisher":"Universidad de Granada","title":"Contribucion al conocimiento de la cuenca alta del rio Guadalhorce. El medio físico. Hidrogeoquimica","type":"thesis"},"uris":["http://www.mendeley.com/documents/?uuid=f8dff126-996f-4603-a2e0-5f8f6a30e48d"]},{"id":"ITEM-2","itemData":{"abstract":"In the Triassic evaporite deposits of the Betic Cordillera, halokinesis has played a fundamental role in the morphodynamic evolution of gypsum karst, as evidenced by the morphology and distribution of dolines and poljes, by data obtained from caves, and from the types of water associated with evaporite domes. Distribution patterns of major exokarstic forms display a subcircular array with collapse sinkholes located in the centre of the domes and solution drawdown dolines on the outer limits of the diapiric forms. In addition, the least mineralized waters are situated in association with the caprock gypsum; hypersaline waters, which are also hotter, drain deeper flow systems that flow out at the edges of the halokinetic structures. The morphodynamic and hydrogeological information constitute a valuable tool for the correct interpretation of the tectonic structure of such complex areas.","author":[{"dropping-particle":"","family":"Calaforra","given":"José M.","non-dropping-particle":"","parse-names":false,"suffix":""},{"dropping-particle":"","family":"Pulido-Bosch","given":"Antonio","non-dropping-particle":"","parse-names":false,"suffix":""}],"container-title":"Geomorphology","id":"ITEM-2","issue":"3-4","issued":{"date-parts":[["1999"]]},"page":"251-264","title":"Gypsum karst features as evidence of diapiric processes in the Betic Cordillera, Southern Spain","type":"article-journal","volume":"29"},"uris":["http://www.mendeley.com/documents/?uuid=9f8dcc9e-09b0-4a5d-b902-e2100916ca77"]},{"id":"ITEM-3","itemData":{"DOI":"10.1007/s12665-016-5545-1","abstract":"© 2016, Springer-Verlag Berlin Heidelberg. The northern sector of the External Zone of the Betic Cordillera (S Spain) is formed by an olistostrome unit known as the Chaotic Subbetic Complexes (CSC). This megabreccia is basically made of clays and evaporite rocks (gypsum and salt) of Upper Triassic (Keuper) age as well as other lithologies (dolostones, limestones, marls and calcareous sandstones) belonging to different ages (Jurassic, Cretaceous and Tertiary). Despite of low permeability has been traditionally assumed for these materials, water flow and storage through them is possible due to the aquitard behavior of clays and sandstones and the presence of conduits generated by dissolution/karstification processes within the evaporite rocks. The lithological complexity of the CSC determines its hydrogeological heterogeneity, with groundwater flows of different length and various scales from recharge areas to discharge zones. Thus, wetlands and springs placed at lower altitudes are associated with large (regional) groundwater flows, of greater residence time within the aquifer, and they normally drain high salinity waters mostly connected with ascending flow. This work provides an overview of the main geological and hydrogeological aspects related to groundwater flow within the CSC on the basis of several case-studies. Conceptual models are proposed for these cases, since they are the base to carry out a genetic-functional classification of wetlands potentially useful for their management.","author":[{"dropping-particle":"","family":"Andreo","given":"Bartolomé","non-dropping-particle":"","parse-names":false,"suffix":""},{"dropping-particle":"","family":"Gil-Márquez","given":"José Manuel","non-dropping-particle":"","parse-names":false,"suffix":""},{"dropping-particle":"","family":"Mudarra","given":"Matías","non-dropping-particle":"","parse-names":false,"suffix":""},{"dropping-particle":"","family":"Linares","given":"Luis","non-dropping-particle":"","parse-names":false,"suffix":""},{"dropping-particle":"","family":"Carrasco","given":"Francisco","non-dropping-particle":"","parse-names":false,"suffix":""}],"container-title":"Environmental Earth Sciences","id":"ITEM-3","issue":"9","issued":{"date-parts":[["2016"]]},"page":"1-19","title":"Hypothesis on the hydrogeological context of wetland areas and springs related to evaporitic karst aquifers (Málaga, Córdoba and Jaén provinces, Southern Spain)","type":"article-journal","volume":"75"},"uris":["http://www.mendeley.com/documents/?uuid=de2b44fe-b64d-31c9-9255-128364900901"]},{"id":"ITEM-4","itemData":{"DOI":"10.1016/j.jhydrol.2016.11.062","ISSN":"00221694","author":[{"dropping-particle":"","family":"Gil-Márquez","given":"J.M.","non-dropping-particle":"","parse-names":false,"suffix":""},{"dropping-particle":"","family":"Barberá","given":"J.A.","non-dropping-particle":"","parse-names":false,"suffix":""},{"dropping-particle":"","family":"Andreo","given":"B.","non-dropping-particle":"","parse-names":false,"suffix":""},{"dropping-particle":"","family":"Mudarra","given":"M.","non-dropping-particle":"","parse-names":false,"suffix":""}],"container-title":"Journal of Hydrology","id":"ITEM-4","issue":"1","issued":{"date-parts":[["2017"]]},"page":"538-554","title":"Hydrological and geochemical processes constraining groundwater salinity in wetland areas related to evaporitic (karst) systems. A case study from Southern Spain","type":"article-journal","volume":"544"},"uris":["http://www.mendeley.com/documents/?uuid=8e962595-dee3-4ce0-ad26-66ab9d704bfc"]}],"mendeley":{"formattedCitation":"(Andreo et al., 2016; Calaforra and Pulido-Bosch, 1999; Carrasco, 1986; Gil-Márquez et al., 2017)","manualFormatting":"(Andreo et al., 2016; Calaforra and Pulido-Bosch, 1999; Carrasco, 1986; J.M. Gil-Márquez et al., 2017b)","plainTextFormattedCitation":"(Andreo et al., 2016; Calaforra and Pulido-Bosch, 1999; Carrasco, 1986; Gil-Márquez et al., 2017)","previouslyFormattedCitation":"(Andreo et al., 2016; Calaforra and Pulido-Bosch, 1999; Carrasco, 1986; Gil-Márquez et al., 2017)"},"properties":{"noteIndex":0},"schema":"https://github.com/citation-style-language/schema/raw/master/csl-citation.json"}</w:instrText>
      </w:r>
      <w:r w:rsidR="000E0212" w:rsidRPr="00194419">
        <w:fldChar w:fldCharType="separate"/>
      </w:r>
      <w:r w:rsidR="000E0212" w:rsidRPr="00194419">
        <w:rPr>
          <w:noProof/>
        </w:rPr>
        <w:t>(Andreo et al., 2016; Calaforra and Pulido-Bosch, 1999; Carrasco, 1986; J.M. Gil-Márquez et al., 2017b)</w:t>
      </w:r>
      <w:r w:rsidR="000E0212" w:rsidRPr="00194419">
        <w:fldChar w:fldCharType="end"/>
      </w:r>
      <w:r w:rsidR="000E0212" w:rsidRPr="00194419">
        <w:t xml:space="preserve"> </w:t>
      </w:r>
      <w:r w:rsidR="001C0FA6" w:rsidRPr="00194419">
        <w:t>reveal that spring salinity is linked to the presence of halite at depth</w:t>
      </w:r>
      <w:r w:rsidR="00F56A12">
        <w:t xml:space="preserve">, which </w:t>
      </w:r>
      <w:r w:rsidR="00ED421F">
        <w:t xml:space="preserve">is absent at the surface but </w:t>
      </w:r>
      <w:r w:rsidR="00F56A12">
        <w:t xml:space="preserve">has appeared </w:t>
      </w:r>
      <w:r w:rsidR="00ED421F">
        <w:t>in</w:t>
      </w:r>
      <w:r w:rsidR="00F56A12">
        <w:t xml:space="preserve"> deep boreholes</w:t>
      </w:r>
      <w:r w:rsidR="001C0FA6" w:rsidRPr="00194419">
        <w:t xml:space="preserve">. Therefore, the amount of NaCl needed to explain the observed ΔNe hardly could have been dissolved within the UZ. Besides, Fuente Camacho outlets samples (H1 and H2), in Los Hoyos area, are aligned </w:t>
      </w:r>
      <w:r w:rsidR="008A04C7" w:rsidRPr="00194419">
        <w:t>around</w:t>
      </w:r>
      <w:r w:rsidR="001C0FA6" w:rsidRPr="00194419">
        <w:t xml:space="preserve"> the degassing blue arrow</w:t>
      </w:r>
      <w:r w:rsidR="00C25FB4" w:rsidRPr="00194419">
        <w:t xml:space="preserve"> in figure 4</w:t>
      </w:r>
      <w:r w:rsidR="001C0FA6" w:rsidRPr="00194419">
        <w:t xml:space="preserve">. That is more evident </w:t>
      </w:r>
      <w:r w:rsidR="00CA09D1">
        <w:t xml:space="preserve">when looking at the position in the plot (Fig. 4) of a H1 sample that was discarded due to extremely high </w:t>
      </w:r>
      <w:r w:rsidR="001C0FA6" w:rsidRPr="00194419">
        <w:t>degass</w:t>
      </w:r>
      <w:r w:rsidR="00CA09D1">
        <w:t>ing</w:t>
      </w:r>
      <w:r w:rsidR="001C0FA6" w:rsidRPr="00194419">
        <w:t xml:space="preserve"> (ΔNe = -96 %). Such degassing pattern would indicate proportional loss of </w:t>
      </w:r>
      <w:r w:rsidR="001C0FA6" w:rsidRPr="00194419">
        <w:rPr>
          <w:vertAlign w:val="superscript"/>
        </w:rPr>
        <w:t>4</w:t>
      </w:r>
      <w:r w:rsidR="001C0FA6" w:rsidRPr="00194419">
        <w:t xml:space="preserve">He and Ne, assuming the same starting concentrations </w:t>
      </w:r>
      <w:r w:rsidR="000E0212" w:rsidRPr="00194419">
        <w:fldChar w:fldCharType="begin" w:fldLock="1"/>
      </w:r>
      <w:r w:rsidR="005527DE" w:rsidRPr="00194419">
        <w:instrText>ADDIN CSL_CITATION {"citationItems":[{"id":"ITEM-1","itemData":{"DOI":"10.1007/s10040-010-0663-4","author":[{"dropping-particle":"","family":"Sültenfuss","given":"Jürgen","non-dropping-particle":"","parse-names":false,"suffix":""},{"dropping-particle":"","family":"Purtschert","given":"Roland","non-dropping-particle":"","parse-names":false,"suffix":""},{"dropping-particle":"","family":"Führböter","given":"Jens F","non-dropping-particle":"","parse-names":false,"suffix":""}],"container-title":"Hydrogeology Journal","id":"ITEM-1","issued":{"date-parts":[["2011"]]},"page":"221-236","title":"Age structure and recharge conditions of a coastal aquifer ( northern Germany ) investigated with &lt;sup&gt;39&lt;/sup&gt;Ar, &lt;sup&gt;14&lt;/sup&gt;C, &lt;sup&gt;3&lt;/sup&gt;H, He isotopes and Ne","type":"article-journal","volume":"19"},"uris":["http://www.mendeley.com/documents/?uuid=ae9362a1-8110-4d26-8363-278532b866b3"]}],"mendeley":{"formattedCitation":"(Sültenfuss et al., 2011)","plainTextFormattedCitation":"(Sültenfuss et al., 2011)","previouslyFormattedCitation":"(Sültenfuss et al., 2011)"},"properties":{"noteIndex":0},"schema":"https://github.com/citation-style-language/schema/raw/master/csl-citation.json"}</w:instrText>
      </w:r>
      <w:r w:rsidR="000E0212" w:rsidRPr="00194419">
        <w:fldChar w:fldCharType="separate"/>
      </w:r>
      <w:r w:rsidR="000E0212" w:rsidRPr="00194419">
        <w:rPr>
          <w:noProof/>
        </w:rPr>
        <w:t>(Sültenfuss et al., 2011)</w:t>
      </w:r>
      <w:r w:rsidR="000E0212" w:rsidRPr="00194419">
        <w:fldChar w:fldCharType="end"/>
      </w:r>
      <w:r w:rsidR="001C0FA6" w:rsidRPr="00194419">
        <w:t xml:space="preserve">. For all these reasons, assumption 1 is considered to be closer to reality. Consequently, noble gases concentrations in table </w:t>
      </w:r>
      <w:r w:rsidR="00E85DD6">
        <w:t>3</w:t>
      </w:r>
      <w:r w:rsidR="00E85DD6" w:rsidRPr="00194419">
        <w:t xml:space="preserve"> </w:t>
      </w:r>
      <w:r w:rsidR="001C0FA6" w:rsidRPr="00194419">
        <w:t xml:space="preserve">were obtained from the values determined in the water samples and their </w:t>
      </w:r>
      <w:r w:rsidR="001C0FA6" w:rsidRPr="00194419">
        <w:rPr>
          <w:lang w:val="es-ES"/>
        </w:rPr>
        <w:t>Δ</w:t>
      </w:r>
      <w:r w:rsidR="001C0FA6" w:rsidRPr="00194419">
        <w:t>Ne, assuming that degassing is proportional to the latter and it occurs at the outlet (or nearby).</w:t>
      </w:r>
    </w:p>
    <w:p w14:paraId="24D789CB" w14:textId="38F754EE" w:rsidR="00C075C4" w:rsidRPr="00194419" w:rsidRDefault="00C075C4" w:rsidP="008A3630">
      <w:pPr>
        <w:spacing w:line="480" w:lineRule="auto"/>
      </w:pPr>
      <w:r w:rsidRPr="00194419">
        <w:t xml:space="preserve">Ne/He and </w:t>
      </w:r>
      <w:r w:rsidRPr="00194419">
        <w:rPr>
          <w:vertAlign w:val="superscript"/>
        </w:rPr>
        <w:t>3</w:t>
      </w:r>
      <w:r w:rsidRPr="00194419">
        <w:t>He/</w:t>
      </w:r>
      <w:r w:rsidRPr="00194419">
        <w:rPr>
          <w:vertAlign w:val="superscript"/>
        </w:rPr>
        <w:t>4</w:t>
      </w:r>
      <w:r w:rsidRPr="00194419">
        <w:t xml:space="preserve">He ratios have been </w:t>
      </w:r>
      <w:r w:rsidR="00F82831">
        <w:t>evaluated</w:t>
      </w:r>
      <w:r w:rsidR="00F82831" w:rsidRPr="00194419">
        <w:t xml:space="preserve"> </w:t>
      </w:r>
      <w:r w:rsidRPr="00194419">
        <w:t>(Fig</w:t>
      </w:r>
      <w:r w:rsidR="00EF2339" w:rsidRPr="00194419">
        <w:t>. 5</w:t>
      </w:r>
      <w:r w:rsidRPr="00194419">
        <w:t>)</w:t>
      </w:r>
      <w:r w:rsidR="00EF2339" w:rsidRPr="00194419">
        <w:t xml:space="preserve"> with a view of testing the different sources of He isotopes </w:t>
      </w:r>
      <w:r w:rsidR="006D6AD5" w:rsidRPr="00194419">
        <w:t xml:space="preserve">in the samples, which allows </w:t>
      </w:r>
      <w:r w:rsidRPr="00194419">
        <w:t xml:space="preserve">a preliminary differentiation between young and old groundwater </w:t>
      </w:r>
      <w:r w:rsidR="000E0212" w:rsidRPr="00194419">
        <w:fldChar w:fldCharType="begin" w:fldLock="1"/>
      </w:r>
      <w:r w:rsidR="000E0212" w:rsidRPr="00194419">
        <w:instrText>ADDIN CSL_CITATION {"citationItems":[{"id":"ITEM-1","itemData":{"DOI":"10.1016/j.apgeochem.2013.10.009","ISSN":"18729134","abstract":"Located in the northeastern region of Italy, the Venetian Plain (VP) is a sedimentary basin containing an extensively exploited groundwater system. The northern part is characterised by a large undifferentiated phreatic aquifer constituted by coarse grain alluvial deposits and recharged by local rainfalls and discharges from the rivers Brenta and Piave. The southern plain is characterised by a series of aquitards and sandy aquifers forming a well-defined artesian multi-aquifer system. In order to determine origins, transit times and mixing proportions of different components in groundwater (GW), a multi tracer study (3H, 3He/4He, 14C, CFC, SF6, 85Kr, 39Ar, 87Sr/86Sr, 18O, 2H, cations, and anions) has been carried out in VP between the rivers Brenta and Piave. The geochemical pattern of GW allows a distinction of the different water origins in the system, in particular based on HCO3-,SO42-,Ca/Mg,NO3-, 18O, 2H. A radiogenic 87Sr signature clearly marks GW originated from the Brenta and Tertiary catchments. End-member analysis and geochemical modelling highlight the existence of a mixing process involving waters recharged from the Brenta and Piave rivers, from the phreatic aquifer and from another GW reservoirs characterised by very low mineralization.Noble gas excesses in respect to atmospheric equilibrium occur in all samples, particularly in the deeper aquifers of the Piave river, but also in phreatic water of the undifferentiated aquifers. 3He-3H ages in the phreatic aquifer and in the shallower level of the multi-aquifer system indicate recharge times in the years 1970-2008. The progression of 3H-3He ages with the distance from the recharge areas together with initial tritium concentration (3H+3Hetrit) imply an infiltration rate of about 1km/y and the absence of older components in these GW. SF6 and 85Kr data corroborate these conclusions. 3H-3He ages in the deeper artesian aquifers suggest a dilution process with older, tritium free waters. 14C Fontes-Garnier model ages of the old GW components range from 1 to 12ka, yielding an apparent GW velocity of about 1-10m/y. Increase of radiogenic 4He follows the progression of 14C ages. 39Ar, radiogenic 4He and 14C tracers yield model-dependent age-ranges in overall good agreement once diffusion of 14C from aquitards, GW dispersion, lithogenic 39Ar production, and 4He production-rate heterogeneities are taken into account. The rate of radiogenic 4He increase with time, deduced by comparison with 14C model ag…","author":[{"dropping-particle":"","family":"Mayer","given":"A.","non-dropping-particle":"","parse-names":false,"suffix":""},{"dropping-particle":"","family":"Sültenfuss","given":"J.","non-dropping-particle":"","parse-names":false,"suffix":""},{"dropping-particle":"","family":"Travi","given":"Y.","non-dropping-particle":"","parse-names":false,"suffix":""},{"dropping-particle":"","family":"Rebeix","given":"R.","non-dropping-particle":"","parse-names":false,"suffix":""},{"dropping-particle":"","family":"Purtschert","given":"R.","non-dropping-particle":"","parse-names":false,"suffix":""},{"dropping-particle":"","family":"Claude","given":"C.","non-dropping-particle":"","parse-names":false,"suffix":""},{"dropping-particle":"","family":"Gal La Salle","given":"C.","non-dropping-particle":"Le","parse-names":false,"suffix":""},{"dropping-particle":"","family":"Miche","given":"H.","non-dropping-particle":"","parse-names":false,"suffix":""},{"dropping-particle":"","family":"Conchetto","given":"E.","non-dropping-particle":"","parse-names":false,"suffix":""}],"container-title":"Applied Geochemistry","id":"ITEM-1","issued":{"date-parts":[["2014"]]},"page":"177-198","publisher":"Elsevier Ltd","title":"A multi-tracer study of groundwater origin and transit-time in the aquifers of the Venice region (Italy)","type":"article-journal","volume":"50"},"uris":["http://www.mendeley.com/documents/?uuid=d6cbef93-15d8-42b2-b107-69256698da3b"]},{"id":"ITEM-2","itemData":{"DOI":"10.1016/j.jhydrol.2015.06.022","ISBN":"00221694 (ISSN)","ISSN":"00221694","abstract":"Twenty-five public supply wells throughout the hydrogeologically diverse region of Scania, southern Sweden are subjected to environmental tracer analysis (3H-3He, 4He, CFCs, SF6 and for one well only also 85Kr and 39Ar) to study well and aquifer vulnerability and evaluate possibilities of groundwater age distribution assessment. We find CFC and SF6 concentrations well above solubility equilibrium with modern atmosphere, indicating local contamination, as well as indications of CFC degradation. The tracer-specific complications considerably constrain possibilities for sound quantitative regional groundwater age distribution assessments and demonstrate the importance of initial qualitative assessment of tracer-specific reliability, as well a need for additional, complementary tracers (e.g. 85Kr, 39Ar and potentially also 14C). Lumped parameter modelling yields credible age distribution assessments for representative wells in four type aquifers. Pollution vulnerability of the aquifer types was based on the selected LPM models and qualitative age characterisation. Most vulnerable are unconfined dual porosity and fractured bedrock aquifers, due to a large component of very young groundwater. Unconfined sedimentary aquifers are vulnerable due to young groundwater and a small pre-modern component. Less vulnerable are semi-confined sedimentary or dual-porosity aquifers, due to older age of the modern component and a larger pre-modern component. Confined aquifers appear least vulnerable, due an entirely pre-modern groundwater age distribution (recharged before 1963). Tracer complications aside, environmental tracer analyses and lumped parameter modelling aid in vulnerability assessment and protection of regional groundwater resources.","author":[{"dropping-particle":"","family":"Akesson","given":"Maria","non-dropping-particle":"","parse-names":false,"suffix":""},{"dropping-particle":"","family":"Suckow","given":"Axel","non-dropping-particle":"","parse-names":false,"suffix":""},{"dropping-particle":"","family":"Visser","given":"Ate","non-dropping-particle":"","parse-names":false,"suffix":""},{"dropping-particle":"","family":"Sültenfuss","given":"Jürgen","non-dropping-particle":"","parse-names":false,"suffix":""},{"dropping-particle":"","family":"Laier","given":"Troels","non-dropping-particle":"","parse-names":false,"suffix":""},{"dropping-particle":"","family":"Purtschert","given":"Roland","non-dropping-particle":"","parse-names":false,"suffix":""},{"dropping-particle":"","family":"Sparrenbom","given":"Charlotte J.","non-dropping-particle":"","parse-names":false,"suffix":""}],"container-title":"Journal of Hydrology","id":"ITEM-2","issued":{"date-parts":[["2015"]]},"page":"217-229","title":"Constraining age distributions of groundwater from public supply wells in diverse hydrogeological settings in Scania, Sweden","type":"article-journal","volume":"528"},"uris":["http://www.mendeley.com/documents/?uuid=4b567828-885e-4748-8e47-eca1aa20883f"]}],"mendeley":{"formattedCitation":"(Akesson et al., 2015; Mayer et al., 2014)","plainTextFormattedCitation":"(Akesson et al., 2015; Mayer et al., 2014)","previouslyFormattedCitation":"(Akesson et al., 2015; Mayer et al., 2014)"},"properties":{"noteIndex":0},"schema":"https://github.com/citation-style-language/schema/raw/master/csl-citation.json"}</w:instrText>
      </w:r>
      <w:r w:rsidR="000E0212" w:rsidRPr="00194419">
        <w:fldChar w:fldCharType="separate"/>
      </w:r>
      <w:r w:rsidR="000E0212" w:rsidRPr="00194419">
        <w:rPr>
          <w:noProof/>
        </w:rPr>
        <w:t>(Akesson et al., 2015; Mayer et al., 2014)</w:t>
      </w:r>
      <w:r w:rsidR="000E0212" w:rsidRPr="00194419">
        <w:fldChar w:fldCharType="end"/>
      </w:r>
      <w:r w:rsidRPr="00194419">
        <w:t xml:space="preserve">. </w:t>
      </w:r>
      <w:r w:rsidR="006D6AD5" w:rsidRPr="00194419">
        <w:t xml:space="preserve">In samples with long </w:t>
      </w:r>
      <w:r w:rsidR="006D6AD5" w:rsidRPr="00194419">
        <w:lastRenderedPageBreak/>
        <w:t xml:space="preserve">residence time radiogenic He has been extensively accumulated, and consequently, their isotopic composition evolves from equilibrium values to </w:t>
      </w:r>
      <w:r w:rsidR="006D6AD5" w:rsidRPr="00194419">
        <w:rPr>
          <w:vertAlign w:val="superscript"/>
        </w:rPr>
        <w:t>3</w:t>
      </w:r>
      <w:r w:rsidR="006D6AD5" w:rsidRPr="00194419">
        <w:t>He/</w:t>
      </w:r>
      <w:r w:rsidR="006D6AD5" w:rsidRPr="00194419">
        <w:rPr>
          <w:vertAlign w:val="superscript"/>
        </w:rPr>
        <w:t>4</w:t>
      </w:r>
      <w:r w:rsidR="006D6AD5" w:rsidRPr="00194419">
        <w:t>He ratios between 2·10</w:t>
      </w:r>
      <w:r w:rsidR="006D6AD5" w:rsidRPr="00194419">
        <w:rPr>
          <w:vertAlign w:val="superscript"/>
        </w:rPr>
        <w:t>-8</w:t>
      </w:r>
      <w:r w:rsidR="006D6AD5" w:rsidRPr="00194419">
        <w:t xml:space="preserve"> </w:t>
      </w:r>
      <w:r w:rsidR="000E0212" w:rsidRPr="00194419">
        <w:fldChar w:fldCharType="begin" w:fldLock="1"/>
      </w:r>
      <w:r w:rsidR="000E0212" w:rsidRPr="00194419">
        <w:instrText>ADDIN CSL_CITATION {"citationItems":[{"id":"ITEM-1","itemData":{"DOI":"10.2138/rmg.2002.47.12","ISBN":"1529-6466\\r0-939950-59-6","ISSN":"1529-6466","author":[{"dropping-particle":"","family":"Ballentine","given":"C. J.","non-dropping-particle":"","parse-names":false,"suffix":""},{"dropping-particle":"","family":"Burnard","given":"P. G.","non-dropping-particle":"","parse-names":false,"suffix":""}],"container-title":"Reviews in Mineralogy and Geochemistry","id":"ITEM-1","issue":"1","issued":{"date-parts":[["2002"]]},"page":"481-538","title":"Production, Release and Transport of Noble Gases in the Continental Crust","type":"article-journal","volume":"47"},"uris":["http://www.mendeley.com/documents/?uuid=e2b0c05d-0262-4f18-b510-d842b4746df2"]}],"mendeley":{"formattedCitation":"(Ballentine and Burnard, 2002)","plainTextFormattedCitation":"(Ballentine and Burnard, 2002)","previouslyFormattedCitation":"(Ballentine and Burnard, 2002)"},"properties":{"noteIndex":0},"schema":"https://github.com/citation-style-language/schema/raw/master/csl-citation.json"}</w:instrText>
      </w:r>
      <w:r w:rsidR="000E0212" w:rsidRPr="00194419">
        <w:fldChar w:fldCharType="separate"/>
      </w:r>
      <w:r w:rsidR="000E0212" w:rsidRPr="00194419">
        <w:rPr>
          <w:noProof/>
        </w:rPr>
        <w:t>(Ballentine and Burnard, 2002)</w:t>
      </w:r>
      <w:r w:rsidR="000E0212" w:rsidRPr="00194419">
        <w:fldChar w:fldCharType="end"/>
      </w:r>
      <w:r w:rsidR="006D6AD5" w:rsidRPr="00194419">
        <w:t xml:space="preserve"> and 1·10</w:t>
      </w:r>
      <w:r w:rsidR="006D6AD5" w:rsidRPr="00194419">
        <w:rPr>
          <w:vertAlign w:val="superscript"/>
        </w:rPr>
        <w:t>-7</w:t>
      </w:r>
      <w:r w:rsidR="006D6AD5" w:rsidRPr="00194419">
        <w:t xml:space="preserve"> </w:t>
      </w:r>
      <w:r w:rsidR="000E0212" w:rsidRPr="00194419">
        <w:fldChar w:fldCharType="begin" w:fldLock="1"/>
      </w:r>
      <w:r w:rsidR="000E0212" w:rsidRPr="00194419">
        <w:instrText>ADDIN CSL_CITATION {"citationItems":[{"id":"ITEM-1","itemData":{"DOI":"10.1016/j.jhydrol.2015.06.022","ISBN":"00221694 (ISSN)","ISSN":"00221694","abstract":"Twenty-five public supply wells throughout the hydrogeologically diverse region of Scania, southern Sweden are subjected to environmental tracer analysis (3H-3He, 4He, CFCs, SF6 and for one well only also 85Kr and 39Ar) to study well and aquifer vulnerability and evaluate possibilities of groundwater age distribution assessment. We find CFC and SF6 concentrations well above solubility equilibrium with modern atmosphere, indicating local contamination, as well as indications of CFC degradation. The tracer-specific complications considerably constrain possibilities for sound quantitative regional groundwater age distribution assessments and demonstrate the importance of initial qualitative assessment of tracer-specific reliability, as well a need for additional, complementary tracers (e.g. 85Kr, 39Ar and potentially also 14C). Lumped parameter modelling yields credible age distribution assessments for representative wells in four type aquifers. Pollution vulnerability of the aquifer types was based on the selected LPM models and qualitative age characterisation. Most vulnerable are unconfined dual porosity and fractured bedrock aquifers, due to a large component of very young groundwater. Unconfined sedimentary aquifers are vulnerable due to young groundwater and a small pre-modern component. Less vulnerable are semi-confined sedimentary or dual-porosity aquifers, due to older age of the modern component and a larger pre-modern component. Confined aquifers appear least vulnerable, due an entirely pre-modern groundwater age distribution (recharged before 1963). Tracer complications aside, environmental tracer analyses and lumped parameter modelling aid in vulnerability assessment and protection of regional groundwater resources.","author":[{"dropping-particle":"","family":"Akesson","given":"Maria","non-dropping-particle":"","parse-names":false,"suffix":""},{"dropping-particle":"","family":"Suckow","given":"Axel","non-dropping-particle":"","parse-names":false,"suffix":""},{"dropping-particle":"","family":"Visser","given":"Ate","non-dropping-particle":"","parse-names":false,"suffix":""},{"dropping-particle":"","family":"Sültenfuss","given":"Jürgen","non-dropping-particle":"","parse-names":false,"suffix":""},{"dropping-particle":"","family":"Laier","given":"Troels","non-dropping-particle":"","parse-names":false,"suffix":""},{"dropping-particle":"","family":"Purtschert","given":"Roland","non-dropping-particle":"","parse-names":false,"suffix":""},{"dropping-particle":"","family":"Sparrenbom","given":"Charlotte J.","non-dropping-particle":"","parse-names":false,"suffix":""}],"container-title":"Journal of Hydrology","id":"ITEM-1","issued":{"date-parts":[["2015"]]},"page":"217-229","title":"Constraining age distributions of groundwater from public supply wells in diverse hydrogeological settings in Scania, Sweden","type":"article-journal","volume":"528"},"uris":["http://www.mendeley.com/documents/?uuid=4b567828-885e-4748-8e47-eca1aa20883f"]}],"mendeley":{"formattedCitation":"(Akesson et al., 2015)","plainTextFormattedCitation":"(Akesson et al., 2015)","previouslyFormattedCitation":"(Akesson et al., 2015)"},"properties":{"noteIndex":0},"schema":"https://github.com/citation-style-language/schema/raw/master/csl-citation.json"}</w:instrText>
      </w:r>
      <w:r w:rsidR="000E0212" w:rsidRPr="00194419">
        <w:fldChar w:fldCharType="separate"/>
      </w:r>
      <w:r w:rsidR="000E0212" w:rsidRPr="00194419">
        <w:rPr>
          <w:noProof/>
        </w:rPr>
        <w:t>(Akesson et al., 2015)</w:t>
      </w:r>
      <w:r w:rsidR="000E0212" w:rsidRPr="00194419">
        <w:fldChar w:fldCharType="end"/>
      </w:r>
      <w:r w:rsidR="006D6AD5" w:rsidRPr="00194419">
        <w:t xml:space="preserve"> when Ne/He approaches 0 (He tends to ∞).</w:t>
      </w:r>
      <w:r w:rsidRPr="00194419">
        <w:t>T</w:t>
      </w:r>
      <w:r w:rsidR="00FC658F" w:rsidRPr="00194419">
        <w:t xml:space="preserve">he radioactive decay of </w:t>
      </w:r>
      <w:r w:rsidR="00F329B1" w:rsidRPr="00194419">
        <w:rPr>
          <w:vertAlign w:val="superscript"/>
        </w:rPr>
        <w:t>3</w:t>
      </w:r>
      <w:r w:rsidR="00FC658F" w:rsidRPr="00194419">
        <w:t xml:space="preserve">H (present in </w:t>
      </w:r>
      <w:r w:rsidRPr="00194419">
        <w:t>modern groundwater</w:t>
      </w:r>
      <w:r w:rsidR="00FC658F" w:rsidRPr="00194419">
        <w:t>)</w:t>
      </w:r>
      <w:r w:rsidRPr="00194419">
        <w:t xml:space="preserve">, leads to a vertical shift of the samples in figure </w:t>
      </w:r>
      <w:r w:rsidR="00FC658F" w:rsidRPr="00194419">
        <w:t>5</w:t>
      </w:r>
      <w:r w:rsidRPr="00194419">
        <w:t xml:space="preserve">, from equilibrium values to higher </w:t>
      </w:r>
      <w:r w:rsidRPr="00194419">
        <w:rPr>
          <w:vertAlign w:val="superscript"/>
        </w:rPr>
        <w:t>3</w:t>
      </w:r>
      <w:r w:rsidRPr="00194419">
        <w:t>He/</w:t>
      </w:r>
      <w:r w:rsidRPr="00194419">
        <w:rPr>
          <w:vertAlign w:val="superscript"/>
        </w:rPr>
        <w:t>4</w:t>
      </w:r>
      <w:r w:rsidRPr="00194419">
        <w:t xml:space="preserve">He </w:t>
      </w:r>
      <w:r w:rsidR="00FC658F" w:rsidRPr="00194419">
        <w:t>ratios, without significant changes in the Ne/He relation</w:t>
      </w:r>
      <w:r w:rsidRPr="00194419">
        <w:t xml:space="preserve">. The mixing between </w:t>
      </w:r>
      <w:r w:rsidR="00BA686D" w:rsidRPr="00194419">
        <w:rPr>
          <w:vertAlign w:val="superscript"/>
        </w:rPr>
        <w:t>3</w:t>
      </w:r>
      <w:r w:rsidRPr="00194419">
        <w:t>He</w:t>
      </w:r>
      <w:r w:rsidRPr="00194419">
        <w:rPr>
          <w:vertAlign w:val="subscript"/>
        </w:rPr>
        <w:t>trit</w:t>
      </w:r>
      <w:r w:rsidRPr="00194419">
        <w:t xml:space="preserve"> </w:t>
      </w:r>
      <w:r w:rsidR="009C4CB6" w:rsidRPr="00194419">
        <w:t xml:space="preserve">and </w:t>
      </w:r>
      <w:r w:rsidR="00BA686D" w:rsidRPr="00194419">
        <w:rPr>
          <w:vertAlign w:val="superscript"/>
        </w:rPr>
        <w:t>3</w:t>
      </w:r>
      <w:r w:rsidRPr="00194419">
        <w:t>He</w:t>
      </w:r>
      <w:r w:rsidRPr="00194419">
        <w:rPr>
          <w:vertAlign w:val="subscript"/>
        </w:rPr>
        <w:t>rad</w:t>
      </w:r>
      <w:r w:rsidRPr="00194419">
        <w:t xml:space="preserve"> is detected in those samples that are deviated from the radiogenic He production line</w:t>
      </w:r>
      <w:r w:rsidR="00FC658F" w:rsidRPr="00194419">
        <w:t xml:space="preserve">, towards higher </w:t>
      </w:r>
      <w:r w:rsidR="00FC658F" w:rsidRPr="00194419">
        <w:rPr>
          <w:vertAlign w:val="superscript"/>
        </w:rPr>
        <w:t>3</w:t>
      </w:r>
      <w:r w:rsidR="00FC658F" w:rsidRPr="00194419">
        <w:t>He/</w:t>
      </w:r>
      <w:r w:rsidR="00FC658F" w:rsidRPr="00194419">
        <w:rPr>
          <w:vertAlign w:val="superscript"/>
        </w:rPr>
        <w:t>4</w:t>
      </w:r>
      <w:r w:rsidR="00FC658F" w:rsidRPr="00194419">
        <w:t>He values</w:t>
      </w:r>
      <w:r w:rsidRPr="00194419">
        <w:t>.</w:t>
      </w:r>
      <w:r w:rsidR="004B5804">
        <w:t xml:space="preserve"> Even inappropriate degassing corrections do not affect the noble gas ratios, and hence the decomposition of young and old waters. </w:t>
      </w:r>
    </w:p>
    <w:p w14:paraId="7C0DDE2B" w14:textId="0381FFD6" w:rsidR="00BC37DD" w:rsidRPr="00194419" w:rsidRDefault="00BC37DD" w:rsidP="008A3630">
      <w:pPr>
        <w:spacing w:line="480" w:lineRule="auto"/>
      </w:pPr>
      <w:r w:rsidRPr="00194419">
        <w:t xml:space="preserve">In figure 5, only T4 is displayed close to atmospheric equilibrium conditions, so it would be basically recently infiltrated groundwater. H3 </w:t>
      </w:r>
      <w:r w:rsidRPr="00194419">
        <w:rPr>
          <w:noProof/>
        </w:rPr>
        <w:t>shows</w:t>
      </w:r>
      <w:r w:rsidRPr="00194419">
        <w:t xml:space="preserve"> some tritiogenic production as well as a </w:t>
      </w:r>
      <w:r w:rsidRPr="00194419">
        <w:rPr>
          <w:noProof/>
        </w:rPr>
        <w:t>certain</w:t>
      </w:r>
      <w:r w:rsidRPr="00194419">
        <w:t xml:space="preserve"> amount of radiogenic He. The rest of the </w:t>
      </w:r>
      <w:r w:rsidRPr="00194419">
        <w:rPr>
          <w:noProof/>
        </w:rPr>
        <w:t>samples</w:t>
      </w:r>
      <w:r w:rsidRPr="00194419">
        <w:t xml:space="preserve"> are scattered close to the radiogenic production lines, and they have Ne/He values lower than 1, which shows large accumulation of He</w:t>
      </w:r>
      <w:r w:rsidRPr="00194419">
        <w:rPr>
          <w:vertAlign w:val="subscript"/>
        </w:rPr>
        <w:t>rad</w:t>
      </w:r>
      <w:r w:rsidRPr="00194419">
        <w:t xml:space="preserve"> and indicates long residence time within the media. Normally, tritiogenic </w:t>
      </w:r>
      <w:r w:rsidRPr="00194419">
        <w:rPr>
          <w:vertAlign w:val="superscript"/>
        </w:rPr>
        <w:t>3</w:t>
      </w:r>
      <w:r w:rsidRPr="00194419">
        <w:t xml:space="preserve">He is not found in samples with such low Ne/He and </w:t>
      </w:r>
      <w:r w:rsidRPr="00194419">
        <w:rPr>
          <w:vertAlign w:val="superscript"/>
        </w:rPr>
        <w:t>3</w:t>
      </w:r>
      <w:r w:rsidRPr="00194419">
        <w:t>He/</w:t>
      </w:r>
      <w:r w:rsidRPr="00194419">
        <w:rPr>
          <w:vertAlign w:val="superscript"/>
        </w:rPr>
        <w:t>4</w:t>
      </w:r>
      <w:r w:rsidRPr="00194419">
        <w:t xml:space="preserve">He ratios, as they are normally related to groundwater infiltrated previously to 1953; therefore, they could not be dated by means of the </w:t>
      </w:r>
      <w:r w:rsidRPr="00194419">
        <w:rPr>
          <w:vertAlign w:val="superscript"/>
        </w:rPr>
        <w:t>3</w:t>
      </w:r>
      <w:r w:rsidRPr="00194419">
        <w:t>H/</w:t>
      </w:r>
      <w:r w:rsidRPr="00194419">
        <w:rPr>
          <w:vertAlign w:val="superscript"/>
        </w:rPr>
        <w:t>3</w:t>
      </w:r>
      <w:r w:rsidRPr="00194419">
        <w:t xml:space="preserve">He method </w:t>
      </w:r>
      <w:r w:rsidRPr="00194419">
        <w:fldChar w:fldCharType="begin" w:fldLock="1"/>
      </w:r>
      <w:r w:rsidRPr="00194419">
        <w:instrText>ADDIN CSL_CITATION {"citationItems":[{"id":"ITEM-1","itemData":{"author":[{"dropping-particle":"","family":"Schlosser","given":"Peter","non-dropping-particle":"","parse-names":false,"suffix":""},{"dropping-particle":"","family":"Stute","given":"Martin","non-dropping-particle":"","parse-names":false,"suffix":""},{"dropping-particle":"","family":"Dörr","given":"Helmut","non-dropping-particle":"","parse-names":false,"suffix":""},{"dropping-particle":"","family":"Sonntag","given":"Christian","non-dropping-particle":"","parse-names":false,"suffix":""},{"dropping-particle":"","family":"Münnich","given":"Karl Otto","non-dropping-particle":"","parse-names":false,"suffix":""}],"container-title":"Earth and Planetary Science Letters","id":"ITEM-1","issued":{"date-parts":[["1988"]]},"page":"353-362","title":"Tritium / ³He dating of shallow groundwater","type":"article-journal","volume":"89"},"uris":["http://www.mendeley.com/documents/?uuid=66c39fd2-e167-4308-8b43-faa831bb1e27"]},{"id":"ITEM-2","itemData":{"DOI":"10.1002/hyp","ISBN":"0022-1430","ISSN":"00221430","PMID":"264460600012","abstract":"A mass-balance model based on the energy balance at the snow or ice surface is formulated, with particular attention paid to processes affecting absorption of radiation. The model is applied to a small glacier, Glacier AX010 in the Nepalese Himalaya, and tests of its mass-balance sensitivity to input and climatic parameters are carried out. Calculated and observed area-averaged mass balances of the glacier during summer 1978 June-September) show good agreement, namely -0.44 and -0.46 m w.e., respectively. Results show the mass balance is strongly sensitive to snow or ice albedo, to the effects of screening by surrounding mountain walls, to areal variations in multiple reflection between clouds and the glacier surface, and to thin snow covers which alter the surface albedo. In tests of the sensitivity of the mass balance to seasonal values of climatic parameters, the mass balance is found to be strongly sensitive to summer air temperature and precipitation but only weakly sensitive to relative humidity.","author":[{"dropping-particle":"","family":"Massmann","given":"Gudrun","non-dropping-particle":"","parse-names":false,"suffix":""},{"dropping-particle":"","family":"Sültenfuß","given":"Jürgen","non-dropping-particle":"","parse-names":false,"suffix":""},{"dropping-particle":"","family":"Dünnbier","given":"Uwe","non-dropping-particle":"","parse-names":false,"suffix":""},{"dropping-particle":"","family":"Knappe","given":"Andrea","non-dropping-particle":"","parse-names":false,"suffix":""},{"dropping-particle":"","family":"Taute","given":"Thomas","non-dropping-particle":"","parse-names":false,"suffix":""},{"dropping-particle":"","family":"Pekdeger","given":"Asaf","non-dropping-particle":"","parse-names":false,"suffix":""}],"container-title":"Hydrological Processes2","id":"ITEM-2","issued":{"date-parts":[["2008"]]},"page":"788-801","title":"Investigation of groundwater residence times during bank filtration in Berlin: a multi-tracer apporach","type":"article-journal","volume":"22"},"uris":["http://www.mendeley.com/documents/?uuid=5c299046-24b3-4fd4-820a-92f581b58997"]},{"id":"ITEM-3","itemData":{"DOI":"10.1016/j.apgeochem.2013.10.009","ISSN":"18729134","abstract":"Located in the northeastern region of Italy, the Venetian Plain (VP) is a sedimentary basin containing an extensively exploited groundwater system. The northern part is characterised by a large undifferentiated phreatic aquifer constituted by coarse grain alluvial deposits and recharged by local rainfalls and discharges from the rivers Brenta and Piave. The southern plain is characterised by a series of aquitards and sandy aquifers forming a well-defined artesian multi-aquifer system. In order to determine origins, transit times and mixing proportions of different components in groundwater (GW), a multi tracer study (3H, 3He/4He, 14C, CFC, SF6, 85Kr, 39Ar, 87Sr/86Sr, 18O, 2H, cations, and anions) has been carried out in VP between the rivers Brenta and Piave. The geochemical pattern of GW allows a distinction of the different water origins in the system, in particular based on HCO3-,SO42-,Ca/Mg,NO3-, 18O, 2H. A radiogenic 87Sr signature clearly marks GW originated from the Brenta and Tertiary catchments. End-member analysis and geochemical modelling highlight the existence of a mixing process involving waters recharged from the Brenta and Piave rivers, from the phreatic aquifer and from another GW reservoirs characterised by very low mineralization.Noble gas excesses in respect to atmospheric equilibrium occur in all samples, particularly in the deeper aquifers of the Piave river, but also in phreatic water of the undifferentiated aquifers. 3He-3H ages in the phreatic aquifer and in the shallower level of the multi-aquifer system indicate recharge times in the years 1970-2008. The progression of 3H-3He ages with the distance from the recharge areas together with initial tritium concentration (3H+3Hetrit) imply an infiltration rate of about 1km/y and the absence of older components in these GW. SF6 and 85Kr data corroborate these conclusions. 3H-3He ages in the deeper artesian aquifers suggest a dilution process with older, tritium free waters. 14C Fontes-Garnier model ages of the old GW components range from 1 to 12ka, yielding an apparent GW velocity of about 1-10m/y. Increase of radiogenic 4He follows the progression of 14C ages. 39Ar, radiogenic 4He and 14C tracers yield model-dependent age-ranges in overall good agreement once diffusion of 14C from aquitards, GW dispersion, lithogenic 39Ar production, and 4He production-rate heterogeneities are taken into account. The rate of radiogenic 4He increase with time, deduced by comparison with 14C model ag…","author":[{"dropping-particle":"","family":"Mayer","given":"A.","non-dropping-particle":"","parse-names":false,"suffix":""},{"dropping-particle":"","family":"Sültenfuss","given":"J.","non-dropping-particle":"","parse-names":false,"suffix":""},{"dropping-particle":"","family":"Travi","given":"Y.","non-dropping-particle":"","parse-names":false,"suffix":""},{"dropping-particle":"","family":"Rebeix","given":"R.","non-dropping-particle":"","parse-names":false,"suffix":""},{"dropping-particle":"","family":"Purtschert","given":"R.","non-dropping-particle":"","parse-names":false,"suffix":""},{"dropping-particle":"","family":"Claude","given":"C.","non-dropping-particle":"","parse-names":false,"suffix":""},{"dropping-particle":"","family":"Gal La Salle","given":"C.","non-dropping-particle":"Le","parse-names":false,"suffix":""},{"dropping-particle":"","family":"Miche","given":"H.","non-dropping-particle":"","parse-names":false,"suffix":""},{"dropping-particle":"","family":"Conchetto","given":"E.","non-dropping-particle":"","parse-names":false,"suffix":""}],"container-title":"Applied Geochemistry","id":"ITEM-3","issued":{"date-parts":[["2014"]]},"page":"177-198","publisher":"Elsevier Ltd","title":"A multi-tracer study of groundwater origin and transit-time in the aquifers of the Venice region (Italy)","type":"article-journal","volume":"50"},"uris":["http://www.mendeley.com/documents/?uuid=d6cbef93-15d8-42b2-b107-69256698da3b"]}],"mendeley":{"formattedCitation":"(Massmann et al., 2008; Mayer et al., 2014; Schlosser et al., 1988)","plainTextFormattedCitation":"(Massmann et al., 2008; Mayer et al., 2014; Schlosser et al., 1988)","previouslyFormattedCitation":"(Massmann et al., 2008; Mayer et al., 2014; Schlosser et al., 1988)"},"properties":{"noteIndex":0},"schema":"https://github.com/citation-style-language/schema/raw/master/csl-citation.json"}</w:instrText>
      </w:r>
      <w:r w:rsidRPr="00194419">
        <w:fldChar w:fldCharType="separate"/>
      </w:r>
      <w:r w:rsidRPr="00194419">
        <w:rPr>
          <w:noProof/>
        </w:rPr>
        <w:t>(Massmann et al., 2008; Mayer et al., 2014; Schlosser et al., 1988)</w:t>
      </w:r>
      <w:r w:rsidRPr="00194419">
        <w:fldChar w:fldCharType="end"/>
      </w:r>
      <w:r w:rsidRPr="00194419">
        <w:t xml:space="preserve">. However, the present case is rather particular, since </w:t>
      </w:r>
      <w:r w:rsidRPr="00194419">
        <w:rPr>
          <w:vertAlign w:val="superscript"/>
        </w:rPr>
        <w:t>3</w:t>
      </w:r>
      <w:r w:rsidRPr="00194419">
        <w:t xml:space="preserve">H has been detected in all the samples, even those with high </w:t>
      </w:r>
      <w:r w:rsidRPr="00194419">
        <w:rPr>
          <w:vertAlign w:val="superscript"/>
        </w:rPr>
        <w:t>4</w:t>
      </w:r>
      <w:r w:rsidRPr="00194419">
        <w:t xml:space="preserve">He concentration (Tab. </w:t>
      </w:r>
      <w:r w:rsidR="00E85DD6">
        <w:t>3</w:t>
      </w:r>
      <w:r w:rsidRPr="00194419">
        <w:t xml:space="preserve">). Nevertheless, dating this type of groundwater using the </w:t>
      </w:r>
      <w:r w:rsidRPr="00194419">
        <w:rPr>
          <w:vertAlign w:val="superscript"/>
        </w:rPr>
        <w:t>3</w:t>
      </w:r>
      <w:r w:rsidRPr="00194419">
        <w:t>H/</w:t>
      </w:r>
      <w:r w:rsidRPr="00194419">
        <w:rPr>
          <w:vertAlign w:val="superscript"/>
        </w:rPr>
        <w:t>3</w:t>
      </w:r>
      <w:r w:rsidRPr="00194419">
        <w:t xml:space="preserve">He technique comes with </w:t>
      </w:r>
      <w:r w:rsidR="00B30899" w:rsidRPr="00194419">
        <w:t xml:space="preserve">some </w:t>
      </w:r>
      <w:r w:rsidR="00F54B69" w:rsidRPr="00194419">
        <w:t>limitations</w:t>
      </w:r>
      <w:r w:rsidR="00B30899" w:rsidRPr="00194419">
        <w:t>, mainly related to</w:t>
      </w:r>
      <w:r w:rsidRPr="00194419">
        <w:t xml:space="preserve"> the </w:t>
      </w:r>
      <w:r w:rsidR="00F54B69" w:rsidRPr="00194419">
        <w:t xml:space="preserve">choice </w:t>
      </w:r>
      <w:r w:rsidRPr="00194419">
        <w:t>of the regression line defining the radiogenic production of He</w:t>
      </w:r>
      <w:r w:rsidR="00B30899" w:rsidRPr="00194419">
        <w:t>. That</w:t>
      </w:r>
      <w:r w:rsidRPr="00194419">
        <w:t xml:space="preserve"> is a source of error for </w:t>
      </w:r>
      <w:r w:rsidRPr="00194419">
        <w:rPr>
          <w:vertAlign w:val="superscript"/>
        </w:rPr>
        <w:t>3</w:t>
      </w:r>
      <w:r w:rsidRPr="00194419">
        <w:t>He</w:t>
      </w:r>
      <w:r w:rsidRPr="00194419">
        <w:rPr>
          <w:vertAlign w:val="subscript"/>
        </w:rPr>
        <w:t>rad</w:t>
      </w:r>
      <w:r w:rsidRPr="00194419">
        <w:t xml:space="preserve"> quantification</w:t>
      </w:r>
      <w:r w:rsidR="00B30899" w:rsidRPr="00194419">
        <w:t xml:space="preserve"> and, consequently, for the determination of tritiogenic </w:t>
      </w:r>
      <w:r w:rsidR="00B30899" w:rsidRPr="00194419">
        <w:rPr>
          <w:vertAlign w:val="superscript"/>
        </w:rPr>
        <w:t>3</w:t>
      </w:r>
      <w:r w:rsidR="00B30899" w:rsidRPr="00194419">
        <w:t>He</w:t>
      </w:r>
      <w:r w:rsidRPr="00194419">
        <w:t xml:space="preserve">. This issue barely affects samples with high Ne/He values, where the two drawn lines are </w:t>
      </w:r>
      <w:r w:rsidRPr="00194419">
        <w:lastRenderedPageBreak/>
        <w:t xml:space="preserve">close, but it leads to an </w:t>
      </w:r>
      <w:r w:rsidRPr="00194419">
        <w:rPr>
          <w:noProof/>
        </w:rPr>
        <w:t>important</w:t>
      </w:r>
      <w:r w:rsidRPr="00194419">
        <w:t xml:space="preserve"> bias towards lower Ne/He ratios, </w:t>
      </w:r>
      <w:r w:rsidRPr="00194419">
        <w:rPr>
          <w:noProof/>
        </w:rPr>
        <w:t>like</w:t>
      </w:r>
      <w:r w:rsidRPr="00194419">
        <w:t xml:space="preserve"> the ones observed in this cases (Fig. 5). Therefore, it has come to the conclusion </w:t>
      </w:r>
      <w:r w:rsidRPr="00194419">
        <w:rPr>
          <w:noProof/>
        </w:rPr>
        <w:t>that</w:t>
      </w:r>
      <w:r w:rsidRPr="00194419">
        <w:t xml:space="preserve"> this dating technique is not suitable for the kind of samples considered, with high </w:t>
      </w:r>
      <w:r w:rsidRPr="00194419">
        <w:rPr>
          <w:vertAlign w:val="superscript"/>
        </w:rPr>
        <w:t>4</w:t>
      </w:r>
      <w:r w:rsidRPr="00194419">
        <w:t>He concentration,</w:t>
      </w:r>
      <w:r w:rsidR="007664E7" w:rsidRPr="00194419">
        <w:t xml:space="preserve"> and</w:t>
      </w:r>
      <w:r w:rsidRPr="00194419">
        <w:t xml:space="preserve"> </w:t>
      </w:r>
      <w:r w:rsidR="001869B9" w:rsidRPr="00194419">
        <w:t>unknown</w:t>
      </w:r>
      <w:r w:rsidRPr="00194419">
        <w:t xml:space="preserve"> recharge conditions.</w:t>
      </w:r>
    </w:p>
    <w:p w14:paraId="66866671" w14:textId="1C6C2CB0" w:rsidR="00C75420" w:rsidRPr="00194419" w:rsidRDefault="003B0FC4" w:rsidP="008A3630">
      <w:pPr>
        <w:spacing w:line="480" w:lineRule="auto"/>
      </w:pPr>
      <w:r w:rsidRPr="00194419">
        <w:t>D</w:t>
      </w:r>
      <w:r w:rsidR="00C075C4" w:rsidRPr="00194419">
        <w:t xml:space="preserve">espite the </w:t>
      </w:r>
      <w:r w:rsidR="00981460" w:rsidRPr="00194419">
        <w:rPr>
          <w:noProof/>
        </w:rPr>
        <w:t>above</w:t>
      </w:r>
      <w:r w:rsidR="00ED08B2" w:rsidRPr="00194419">
        <w:rPr>
          <w:noProof/>
        </w:rPr>
        <w:t>-</w:t>
      </w:r>
      <w:r w:rsidR="00981460" w:rsidRPr="00194419">
        <w:rPr>
          <w:noProof/>
        </w:rPr>
        <w:t>m</w:t>
      </w:r>
      <w:r w:rsidR="00C075C4" w:rsidRPr="00194419">
        <w:rPr>
          <w:noProof/>
        </w:rPr>
        <w:t>entioned</w:t>
      </w:r>
      <w:r w:rsidR="00C075C4" w:rsidRPr="00194419">
        <w:t xml:space="preserve"> </w:t>
      </w:r>
      <w:r w:rsidR="001F296B" w:rsidRPr="00194419">
        <w:t xml:space="preserve">explanation, </w:t>
      </w:r>
      <w:r w:rsidR="001F296B" w:rsidRPr="00194419">
        <w:rPr>
          <w:vertAlign w:val="superscript"/>
        </w:rPr>
        <w:t>3</w:t>
      </w:r>
      <w:r w:rsidR="00C075C4" w:rsidRPr="00194419">
        <w:t>H/</w:t>
      </w:r>
      <w:r w:rsidR="001F296B" w:rsidRPr="00194419">
        <w:rPr>
          <w:vertAlign w:val="superscript"/>
        </w:rPr>
        <w:t>3</w:t>
      </w:r>
      <w:r w:rsidR="00C075C4" w:rsidRPr="00194419">
        <w:t xml:space="preserve">He ages of the samples </w:t>
      </w:r>
      <w:r w:rsidR="00981460" w:rsidRPr="00194419">
        <w:t>were</w:t>
      </w:r>
      <w:r w:rsidR="00C075C4" w:rsidRPr="00194419">
        <w:t xml:space="preserve"> calculated (Tab. </w:t>
      </w:r>
      <w:r w:rsidR="00E85DD6">
        <w:t>3</w:t>
      </w:r>
      <w:r w:rsidR="00C075C4" w:rsidRPr="00194419">
        <w:t xml:space="preserve">) for qualitative analysis. The considered </w:t>
      </w:r>
      <w:r w:rsidR="00C075C4" w:rsidRPr="00194419">
        <w:rPr>
          <w:vertAlign w:val="superscript"/>
        </w:rPr>
        <w:t>3</w:t>
      </w:r>
      <w:r w:rsidR="00C075C4" w:rsidRPr="00194419">
        <w:t>He/</w:t>
      </w:r>
      <w:r w:rsidR="00C075C4" w:rsidRPr="00194419">
        <w:rPr>
          <w:vertAlign w:val="superscript"/>
        </w:rPr>
        <w:t>4</w:t>
      </w:r>
      <w:r w:rsidR="00C075C4" w:rsidRPr="00194419">
        <w:t>He</w:t>
      </w:r>
      <w:r w:rsidR="00981460" w:rsidRPr="00194419">
        <w:t xml:space="preserve"> underground production ratio</w:t>
      </w:r>
      <w:r w:rsidR="00C075C4" w:rsidRPr="00194419">
        <w:t xml:space="preserve"> was 2·10</w:t>
      </w:r>
      <w:r w:rsidR="00C075C4" w:rsidRPr="00194419">
        <w:rPr>
          <w:vertAlign w:val="superscript"/>
        </w:rPr>
        <w:t>-8</w:t>
      </w:r>
      <w:r w:rsidR="00C075C4" w:rsidRPr="00194419">
        <w:t xml:space="preserve"> (red line in fig</w:t>
      </w:r>
      <w:r w:rsidR="001041A2" w:rsidRPr="00194419">
        <w:t>ure</w:t>
      </w:r>
      <w:r w:rsidR="00C075C4" w:rsidRPr="00194419">
        <w:t xml:space="preserve"> </w:t>
      </w:r>
      <w:r w:rsidR="001F296B" w:rsidRPr="00194419">
        <w:t>5</w:t>
      </w:r>
      <w:r w:rsidR="00C075C4" w:rsidRPr="00194419">
        <w:t xml:space="preserve">), </w:t>
      </w:r>
      <w:r w:rsidR="00BA686D" w:rsidRPr="00194419">
        <w:t>due to the fact that</w:t>
      </w:r>
      <w:r w:rsidR="00C075C4" w:rsidRPr="00194419">
        <w:t xml:space="preserve"> noble gases contents of the samples taken in Brujuelo area (</w:t>
      </w:r>
      <w:r w:rsidR="00B04CB3" w:rsidRPr="00194419">
        <w:t>B</w:t>
      </w:r>
      <w:r w:rsidR="00981460" w:rsidRPr="00194419">
        <w:t xml:space="preserve">2 and </w:t>
      </w:r>
      <w:r w:rsidR="00B04CB3" w:rsidRPr="00194419">
        <w:t>B</w:t>
      </w:r>
      <w:r w:rsidR="00981460" w:rsidRPr="00194419">
        <w:t>3</w:t>
      </w:r>
      <w:r w:rsidR="00C075C4" w:rsidRPr="00194419">
        <w:t xml:space="preserve">) cannot be explained by higher </w:t>
      </w:r>
      <w:r w:rsidR="00981460" w:rsidRPr="00194419">
        <w:t>values</w:t>
      </w:r>
      <w:r w:rsidR="00AD24C1" w:rsidRPr="00194419">
        <w:t xml:space="preserve"> (Fig. 5)</w:t>
      </w:r>
      <w:r w:rsidR="00C075C4" w:rsidRPr="00194419">
        <w:t>.</w:t>
      </w:r>
      <w:r w:rsidR="005D274B" w:rsidRPr="00194419">
        <w:t xml:space="preserve"> The</w:t>
      </w:r>
      <w:r w:rsidR="00D31BC5" w:rsidRPr="00194419">
        <w:t xml:space="preserve"> younger</w:t>
      </w:r>
      <w:r w:rsidR="005D274B" w:rsidRPr="00194419">
        <w:t xml:space="preserve"> </w:t>
      </w:r>
      <w:r w:rsidR="00BA686D" w:rsidRPr="00194419">
        <w:rPr>
          <w:vertAlign w:val="superscript"/>
        </w:rPr>
        <w:t>3</w:t>
      </w:r>
      <w:r w:rsidR="001F296B" w:rsidRPr="00194419">
        <w:t>H/</w:t>
      </w:r>
      <w:r w:rsidR="001F296B" w:rsidRPr="00194419">
        <w:rPr>
          <w:vertAlign w:val="superscript"/>
        </w:rPr>
        <w:t>3</w:t>
      </w:r>
      <w:r w:rsidR="001F296B" w:rsidRPr="00194419">
        <w:t xml:space="preserve">He </w:t>
      </w:r>
      <w:r w:rsidR="005D274B" w:rsidRPr="00194419">
        <w:t>ages</w:t>
      </w:r>
      <w:r w:rsidR="001F296B" w:rsidRPr="00194419">
        <w:t>,</w:t>
      </w:r>
      <w:r w:rsidR="00D31BC5" w:rsidRPr="00194419">
        <w:t xml:space="preserve"> </w:t>
      </w:r>
      <w:r w:rsidR="001F296B" w:rsidRPr="00194419">
        <w:t>which</w:t>
      </w:r>
      <w:r w:rsidR="005D274B" w:rsidRPr="00194419">
        <w:t xml:space="preserve"> </w:t>
      </w:r>
      <w:r w:rsidR="00D31BC5" w:rsidRPr="00194419">
        <w:t>correspond to</w:t>
      </w:r>
      <w:r w:rsidR="005D274B" w:rsidRPr="00194419">
        <w:t xml:space="preserve"> T4 (2 years) and H3 (15-21 years) are </w:t>
      </w:r>
      <w:r w:rsidR="001F296B" w:rsidRPr="00194419">
        <w:t xml:space="preserve">more </w:t>
      </w:r>
      <w:r w:rsidR="005D274B" w:rsidRPr="00194419">
        <w:t>reliable, as they have short radiogenic evolution (</w:t>
      </w:r>
      <w:r w:rsidR="00D31BC5" w:rsidRPr="00194419">
        <w:t>low Ne</w:t>
      </w:r>
      <w:r w:rsidR="005D274B" w:rsidRPr="00194419">
        <w:t>/He) a</w:t>
      </w:r>
      <w:r w:rsidR="00AD24C1" w:rsidRPr="00194419">
        <w:t>nd are not too</w:t>
      </w:r>
      <w:r w:rsidR="005D274B" w:rsidRPr="00194419">
        <w:t xml:space="preserve"> affected by degassing (ΔNe &gt; -16%; Tab. </w:t>
      </w:r>
      <w:r w:rsidR="00E85DD6">
        <w:t>3</w:t>
      </w:r>
      <w:r w:rsidR="005D274B" w:rsidRPr="00194419">
        <w:t>)</w:t>
      </w:r>
      <w:r w:rsidR="00D31BC5" w:rsidRPr="00194419">
        <w:t xml:space="preserve">. On the other hand, the oldest samples </w:t>
      </w:r>
      <w:r w:rsidR="00724256" w:rsidRPr="00194419">
        <w:t xml:space="preserve">(T3) have </w:t>
      </w:r>
      <w:r w:rsidR="001F296B" w:rsidRPr="00194419">
        <w:rPr>
          <w:vertAlign w:val="superscript"/>
        </w:rPr>
        <w:t>3</w:t>
      </w:r>
      <w:r w:rsidR="001F296B" w:rsidRPr="00194419">
        <w:t>H/</w:t>
      </w:r>
      <w:r w:rsidR="001F296B" w:rsidRPr="00194419">
        <w:rPr>
          <w:vertAlign w:val="superscript"/>
        </w:rPr>
        <w:t>3</w:t>
      </w:r>
      <w:r w:rsidR="001F296B" w:rsidRPr="00194419">
        <w:t xml:space="preserve">He </w:t>
      </w:r>
      <w:r w:rsidR="00724256" w:rsidRPr="00194419">
        <w:t>ages up to 80 years. Such result is an artifice without an actual physic</w:t>
      </w:r>
      <w:r w:rsidR="00F32AAB" w:rsidRPr="00194419">
        <w:t>al</w:t>
      </w:r>
      <w:r w:rsidR="00724256" w:rsidRPr="00194419">
        <w:t xml:space="preserve"> meaning, </w:t>
      </w:r>
      <w:r w:rsidR="00964B9D" w:rsidRPr="00194419">
        <w:t>since</w:t>
      </w:r>
      <w:r w:rsidR="009F637D" w:rsidRPr="00194419">
        <w:t xml:space="preserve"> </w:t>
      </w:r>
      <w:r w:rsidR="009F637D" w:rsidRPr="00194419">
        <w:rPr>
          <w:vertAlign w:val="superscript"/>
        </w:rPr>
        <w:t>3</w:t>
      </w:r>
      <w:r w:rsidR="009F637D" w:rsidRPr="00194419">
        <w:t xml:space="preserve">H releasing to the atmosphere started 61 years before the sample was taken, and </w:t>
      </w:r>
      <w:r w:rsidR="00AD24C1" w:rsidRPr="00194419">
        <w:t xml:space="preserve">it </w:t>
      </w:r>
      <w:r w:rsidR="00724256" w:rsidRPr="00194419">
        <w:t xml:space="preserve">is </w:t>
      </w:r>
      <w:r w:rsidR="00AD24C1" w:rsidRPr="00194419">
        <w:t xml:space="preserve">a </w:t>
      </w:r>
      <w:r w:rsidR="00724256" w:rsidRPr="00194419">
        <w:t>result of the uncertainties previously discussed</w:t>
      </w:r>
      <w:r w:rsidR="009F637D" w:rsidRPr="00194419">
        <w:t xml:space="preserve"> that make </w:t>
      </w:r>
      <w:r w:rsidR="009F637D" w:rsidRPr="00194419">
        <w:rPr>
          <w:vertAlign w:val="superscript"/>
        </w:rPr>
        <w:t>3</w:t>
      </w:r>
      <w:r w:rsidR="009F637D" w:rsidRPr="00194419">
        <w:t>He</w:t>
      </w:r>
      <w:r w:rsidR="009F637D" w:rsidRPr="00194419">
        <w:rPr>
          <w:vertAlign w:val="subscript"/>
        </w:rPr>
        <w:t>trit</w:t>
      </w:r>
      <w:r w:rsidR="009F637D" w:rsidRPr="00194419">
        <w:t xml:space="preserve"> estimation and </w:t>
      </w:r>
      <w:r w:rsidR="001F296B" w:rsidRPr="00194419">
        <w:rPr>
          <w:vertAlign w:val="superscript"/>
        </w:rPr>
        <w:t>3</w:t>
      </w:r>
      <w:r w:rsidR="001F296B" w:rsidRPr="00194419">
        <w:t>H/</w:t>
      </w:r>
      <w:r w:rsidR="001F296B" w:rsidRPr="00194419">
        <w:rPr>
          <w:vertAlign w:val="superscript"/>
        </w:rPr>
        <w:t>3</w:t>
      </w:r>
      <w:r w:rsidR="001F296B" w:rsidRPr="00194419">
        <w:t>He dating un</w:t>
      </w:r>
      <w:r w:rsidR="009F637D" w:rsidRPr="00194419">
        <w:t xml:space="preserve">reliable: degassing, high radiogenic He </w:t>
      </w:r>
      <w:r w:rsidR="00964B9D" w:rsidRPr="00194419">
        <w:t xml:space="preserve">values </w:t>
      </w:r>
      <w:r w:rsidR="009F637D" w:rsidRPr="00194419">
        <w:t>in the samples</w:t>
      </w:r>
      <w:r w:rsidR="001869B9" w:rsidRPr="00194419">
        <w:t>,</w:t>
      </w:r>
      <w:r w:rsidR="009F637D" w:rsidRPr="00194419">
        <w:t xml:space="preserve"> and </w:t>
      </w:r>
      <w:r w:rsidR="00F32AAB" w:rsidRPr="00194419">
        <w:t xml:space="preserve">an </w:t>
      </w:r>
      <w:r w:rsidR="009F637D" w:rsidRPr="00194419">
        <w:t xml:space="preserve">unknown </w:t>
      </w:r>
      <w:r w:rsidR="009F637D" w:rsidRPr="00194419">
        <w:rPr>
          <w:vertAlign w:val="superscript"/>
        </w:rPr>
        <w:t>3</w:t>
      </w:r>
      <w:r w:rsidR="009F637D" w:rsidRPr="00194419">
        <w:t>He/</w:t>
      </w:r>
      <w:r w:rsidR="009F637D" w:rsidRPr="00194419">
        <w:rPr>
          <w:vertAlign w:val="superscript"/>
        </w:rPr>
        <w:t>4</w:t>
      </w:r>
      <w:r w:rsidR="009F637D" w:rsidRPr="00194419">
        <w:t>He radiogenic production ratio</w:t>
      </w:r>
      <w:r w:rsidR="00724256" w:rsidRPr="00194419">
        <w:t>.</w:t>
      </w:r>
    </w:p>
    <w:p w14:paraId="331FCDDB" w14:textId="77281E43" w:rsidR="00B04CB3" w:rsidRPr="00194419" w:rsidRDefault="00B04CB3" w:rsidP="008A3630">
      <w:pPr>
        <w:spacing w:line="480" w:lineRule="auto"/>
      </w:pPr>
      <w:r w:rsidRPr="00194419">
        <w:t xml:space="preserve">In figure 3 </w:t>
      </w:r>
      <w:r w:rsidRPr="00194419">
        <w:rPr>
          <w:vertAlign w:val="superscript"/>
        </w:rPr>
        <w:t>3</w:t>
      </w:r>
      <w:r w:rsidRPr="00194419">
        <w:t>H/</w:t>
      </w:r>
      <w:r w:rsidRPr="00194419">
        <w:rPr>
          <w:vertAlign w:val="superscript"/>
        </w:rPr>
        <w:t>3</w:t>
      </w:r>
      <w:r w:rsidRPr="00194419">
        <w:t xml:space="preserve">He ages are represented against the </w:t>
      </w:r>
      <w:r w:rsidR="001F296B" w:rsidRPr="00194419">
        <w:rPr>
          <w:vertAlign w:val="superscript"/>
        </w:rPr>
        <w:t>3</w:t>
      </w:r>
      <w:r w:rsidRPr="00194419">
        <w:t xml:space="preserve">H concentration of samples, together with the input function. </w:t>
      </w:r>
      <w:r w:rsidR="00C075C4" w:rsidRPr="00194419">
        <w:t>In general, most recently infiltrated samples</w:t>
      </w:r>
      <w:r w:rsidR="001F296B" w:rsidRPr="00194419">
        <w:t xml:space="preserve"> (H3</w:t>
      </w:r>
      <w:r w:rsidRPr="00194419">
        <w:t>, T3, B2 and B3)</w:t>
      </w:r>
      <w:r w:rsidR="00C075C4" w:rsidRPr="00194419">
        <w:t xml:space="preserve"> </w:t>
      </w:r>
      <w:r w:rsidR="00CC01D6" w:rsidRPr="00194419">
        <w:t>had</w:t>
      </w:r>
      <w:r w:rsidR="00C075C4" w:rsidRPr="00194419">
        <w:t xml:space="preserve"> </w:t>
      </w:r>
      <w:r w:rsidR="001F296B" w:rsidRPr="00194419">
        <w:rPr>
          <w:vertAlign w:val="superscript"/>
        </w:rPr>
        <w:t>3</w:t>
      </w:r>
      <w:r w:rsidR="00C075C4" w:rsidRPr="00194419">
        <w:t>H values in accordance with their ages,</w:t>
      </w:r>
      <w:r w:rsidRPr="00194419">
        <w:t xml:space="preserve"> while samples with </w:t>
      </w:r>
      <w:r w:rsidR="001F296B" w:rsidRPr="00194419">
        <w:rPr>
          <w:vertAlign w:val="superscript"/>
        </w:rPr>
        <w:t>3</w:t>
      </w:r>
      <w:r w:rsidR="001F296B" w:rsidRPr="00194419">
        <w:t>H/</w:t>
      </w:r>
      <w:r w:rsidR="001F296B" w:rsidRPr="00194419">
        <w:rPr>
          <w:vertAlign w:val="superscript"/>
        </w:rPr>
        <w:t>3</w:t>
      </w:r>
      <w:r w:rsidR="001F296B" w:rsidRPr="00194419">
        <w:t xml:space="preserve">He </w:t>
      </w:r>
      <w:r w:rsidRPr="00194419">
        <w:t>infiltration dates older than 1980 (J1, J2, H1</w:t>
      </w:r>
      <w:r w:rsidR="00ED08B2" w:rsidRPr="00194419">
        <w:t>,</w:t>
      </w:r>
      <w:r w:rsidRPr="00194419">
        <w:t xml:space="preserve"> </w:t>
      </w:r>
      <w:r w:rsidRPr="00194419">
        <w:rPr>
          <w:noProof/>
        </w:rPr>
        <w:t>and</w:t>
      </w:r>
      <w:r w:rsidRPr="00194419">
        <w:t xml:space="preserve"> H2)</w:t>
      </w:r>
      <w:r w:rsidR="00A822BC" w:rsidRPr="00194419">
        <w:t xml:space="preserve"> </w:t>
      </w:r>
      <w:r w:rsidR="00CC01D6" w:rsidRPr="00194419">
        <w:t xml:space="preserve">are </w:t>
      </w:r>
      <w:r w:rsidR="00A822BC" w:rsidRPr="00194419">
        <w:t>clearly scat</w:t>
      </w:r>
      <w:r w:rsidR="001F296B" w:rsidRPr="00194419">
        <w:t xml:space="preserve">tered </w:t>
      </w:r>
      <w:r w:rsidR="001F296B" w:rsidRPr="00194419">
        <w:rPr>
          <w:noProof/>
        </w:rPr>
        <w:t>below</w:t>
      </w:r>
      <w:r w:rsidR="001F296B" w:rsidRPr="00194419">
        <w:t xml:space="preserve"> the input function</w:t>
      </w:r>
      <w:r w:rsidR="00A822BC" w:rsidRPr="00194419">
        <w:t xml:space="preserve">, which </w:t>
      </w:r>
      <w:r w:rsidR="00964B9D" w:rsidRPr="00194419">
        <w:t xml:space="preserve">would </w:t>
      </w:r>
      <w:r w:rsidR="00A822BC" w:rsidRPr="00194419">
        <w:t xml:space="preserve">indicate that their </w:t>
      </w:r>
      <w:r w:rsidR="00A822BC" w:rsidRPr="00194419">
        <w:rPr>
          <w:vertAlign w:val="superscript"/>
        </w:rPr>
        <w:t>3</w:t>
      </w:r>
      <w:r w:rsidR="00A822BC" w:rsidRPr="00194419">
        <w:t xml:space="preserve">H concentration </w:t>
      </w:r>
      <w:r w:rsidR="00CC01D6" w:rsidRPr="00194419">
        <w:t>was</w:t>
      </w:r>
      <w:r w:rsidR="00A822BC" w:rsidRPr="00194419">
        <w:t xml:space="preserve"> diluted by tritium-free groundwater (old component)</w:t>
      </w:r>
      <w:r w:rsidR="00281248" w:rsidRPr="00194419">
        <w:t xml:space="preserve"> or </w:t>
      </w:r>
      <w:r w:rsidR="00BA5C05" w:rsidRPr="00194419">
        <w:t xml:space="preserve">that </w:t>
      </w:r>
      <w:r w:rsidR="00281248" w:rsidRPr="00194419">
        <w:t xml:space="preserve">the estimated </w:t>
      </w:r>
      <w:r w:rsidR="00281248" w:rsidRPr="00194419">
        <w:rPr>
          <w:vertAlign w:val="superscript"/>
        </w:rPr>
        <w:t>3</w:t>
      </w:r>
      <w:r w:rsidR="00281248" w:rsidRPr="00194419">
        <w:t>He</w:t>
      </w:r>
      <w:r w:rsidR="00281248" w:rsidRPr="00194419">
        <w:rPr>
          <w:vertAlign w:val="subscript"/>
        </w:rPr>
        <w:t>trit</w:t>
      </w:r>
      <w:r w:rsidR="00281248" w:rsidRPr="00194419">
        <w:t xml:space="preserve"> is too large</w:t>
      </w:r>
      <w:r w:rsidR="00A822BC" w:rsidRPr="00194419">
        <w:t>.</w:t>
      </w:r>
    </w:p>
    <w:p w14:paraId="184C8B0F" w14:textId="1587E134" w:rsidR="00FF505A" w:rsidRPr="00194419" w:rsidRDefault="00C75420" w:rsidP="008A3630">
      <w:pPr>
        <w:spacing w:line="480" w:lineRule="auto"/>
      </w:pPr>
      <w:bookmarkStart w:id="1" w:name="bookmark0"/>
      <w:bookmarkStart w:id="2" w:name="14C_dating_method"/>
      <w:bookmarkStart w:id="3" w:name="Sampling_and_analysis"/>
      <w:bookmarkStart w:id="4" w:name="Results"/>
      <w:bookmarkStart w:id="5" w:name="3H,_3He,_4He_and_Ne"/>
      <w:bookmarkEnd w:id="1"/>
      <w:bookmarkEnd w:id="2"/>
      <w:bookmarkEnd w:id="3"/>
      <w:bookmarkEnd w:id="4"/>
      <w:bookmarkEnd w:id="5"/>
      <w:r w:rsidRPr="00194419">
        <w:rPr>
          <w:vertAlign w:val="superscript"/>
        </w:rPr>
        <w:t>4</w:t>
      </w:r>
      <w:r w:rsidRPr="00194419">
        <w:t>He</w:t>
      </w:r>
      <w:r w:rsidRPr="00194419">
        <w:rPr>
          <w:vertAlign w:val="subscript"/>
        </w:rPr>
        <w:t>rad</w:t>
      </w:r>
      <w:r w:rsidRPr="00194419">
        <w:t xml:space="preserve"> is present in </w:t>
      </w:r>
      <w:r w:rsidR="007C2354" w:rsidRPr="00194419">
        <w:t xml:space="preserve">most </w:t>
      </w:r>
      <w:r w:rsidRPr="00194419">
        <w:t xml:space="preserve">samples, within a range of </w:t>
      </w:r>
      <w:r w:rsidR="007C2354" w:rsidRPr="00194419">
        <w:t>8</w:t>
      </w:r>
      <w:r w:rsidRPr="00194419">
        <w:t>.</w:t>
      </w:r>
      <w:r w:rsidR="007C2354" w:rsidRPr="00194419">
        <w:t>0</w:t>
      </w:r>
      <w:r w:rsidRPr="00194419">
        <w:t>·10</w:t>
      </w:r>
      <w:r w:rsidRPr="00194419">
        <w:rPr>
          <w:vertAlign w:val="superscript"/>
        </w:rPr>
        <w:t>-</w:t>
      </w:r>
      <w:r w:rsidR="007C2354" w:rsidRPr="00194419">
        <w:rPr>
          <w:vertAlign w:val="superscript"/>
        </w:rPr>
        <w:t>6</w:t>
      </w:r>
      <w:r w:rsidRPr="00194419">
        <w:t xml:space="preserve"> c</w:t>
      </w:r>
      <w:r w:rsidR="007C2354" w:rsidRPr="00194419">
        <w:t>c</w:t>
      </w:r>
      <w:r w:rsidRPr="00194419">
        <w:t xml:space="preserve">STP/kg, in </w:t>
      </w:r>
      <w:r w:rsidR="007C2354" w:rsidRPr="00194419">
        <w:t>H3</w:t>
      </w:r>
      <w:r w:rsidRPr="00194419">
        <w:t xml:space="preserve">, </w:t>
      </w:r>
      <w:r w:rsidR="00C90764" w:rsidRPr="00194419">
        <w:t>to</w:t>
      </w:r>
      <w:r w:rsidRPr="00194419">
        <w:t xml:space="preserve"> </w:t>
      </w:r>
      <w:r w:rsidR="00E5617D" w:rsidRPr="00194419">
        <w:t>1.</w:t>
      </w:r>
      <w:r w:rsidR="007664E7" w:rsidRPr="00194419">
        <w:t>1</w:t>
      </w:r>
      <w:r w:rsidRPr="00194419">
        <w:t>·10</w:t>
      </w:r>
      <w:r w:rsidRPr="00194419">
        <w:rPr>
          <w:vertAlign w:val="superscript"/>
        </w:rPr>
        <w:noBreakHyphen/>
      </w:r>
      <w:r w:rsidR="00E5617D" w:rsidRPr="00194419">
        <w:rPr>
          <w:vertAlign w:val="superscript"/>
        </w:rPr>
        <w:t>3</w:t>
      </w:r>
      <w:r w:rsidR="00E5617D" w:rsidRPr="00194419">
        <w:t xml:space="preserve"> </w:t>
      </w:r>
      <w:r w:rsidRPr="00194419">
        <w:rPr>
          <w:noProof/>
        </w:rPr>
        <w:t>c</w:t>
      </w:r>
      <w:r w:rsidR="007C2354" w:rsidRPr="00194419">
        <w:rPr>
          <w:noProof/>
        </w:rPr>
        <w:t>c</w:t>
      </w:r>
      <w:r w:rsidRPr="00194419">
        <w:t xml:space="preserve"> STP/kg, in </w:t>
      </w:r>
      <w:r w:rsidR="00E5617D" w:rsidRPr="00194419">
        <w:t>J3</w:t>
      </w:r>
      <w:r w:rsidRPr="00194419">
        <w:t>.</w:t>
      </w:r>
      <w:r w:rsidR="00AD79B9">
        <w:t xml:space="preserve"> Most of the samples, has considerably large </w:t>
      </w:r>
      <w:r w:rsidR="00AD79B9" w:rsidRPr="002453F9">
        <w:rPr>
          <w:vertAlign w:val="superscript"/>
        </w:rPr>
        <w:t>4</w:t>
      </w:r>
      <w:r w:rsidR="00AD79B9">
        <w:t>He values (&gt;10</w:t>
      </w:r>
      <w:r w:rsidR="00AD79B9" w:rsidRPr="002453F9">
        <w:rPr>
          <w:vertAlign w:val="superscript"/>
        </w:rPr>
        <w:t>-4</w:t>
      </w:r>
      <w:r w:rsidR="00AD79B9">
        <w:t xml:space="preserve"> ccSTP/kg) </w:t>
      </w:r>
      <w:r w:rsidR="00AD79B9">
        <w:lastRenderedPageBreak/>
        <w:t>that are indication of a long water-rock interaction and the subsequent radiogenic accumulation. On the other hand,</w:t>
      </w:r>
      <w:r w:rsidR="007C2354" w:rsidRPr="00194419">
        <w:t xml:space="preserve"> </w:t>
      </w:r>
      <w:r w:rsidR="00AD79B9">
        <w:t>i</w:t>
      </w:r>
      <w:r w:rsidR="007C2354" w:rsidRPr="00194419">
        <w:t xml:space="preserve">n T4, the amount of </w:t>
      </w:r>
      <w:r w:rsidR="007C2354" w:rsidRPr="00194419">
        <w:rPr>
          <w:vertAlign w:val="superscript"/>
        </w:rPr>
        <w:t>4</w:t>
      </w:r>
      <w:r w:rsidR="007C2354" w:rsidRPr="00194419">
        <w:t>He</w:t>
      </w:r>
      <w:r w:rsidR="007C2354" w:rsidRPr="00194419">
        <w:rPr>
          <w:vertAlign w:val="subscript"/>
        </w:rPr>
        <w:t>rad</w:t>
      </w:r>
      <w:r w:rsidR="007C2354" w:rsidRPr="00194419">
        <w:t xml:space="preserve"> is below the detection limit (</w:t>
      </w:r>
      <w:r w:rsidR="00EF7757" w:rsidRPr="00194419">
        <w:t>10</w:t>
      </w:r>
      <w:r w:rsidR="00696AD3">
        <w:rPr>
          <w:vertAlign w:val="superscript"/>
        </w:rPr>
        <w:noBreakHyphen/>
      </w:r>
      <w:r w:rsidR="00EF7757" w:rsidRPr="00194419">
        <w:rPr>
          <w:vertAlign w:val="superscript"/>
        </w:rPr>
        <w:t>6</w:t>
      </w:r>
      <w:r w:rsidR="00EF7757" w:rsidRPr="00194419">
        <w:t xml:space="preserve"> ccSTP/kg)</w:t>
      </w:r>
      <w:r w:rsidR="00AD79B9">
        <w:t>.</w:t>
      </w:r>
      <w:r w:rsidR="00B13070">
        <w:t xml:space="preserve"> Since that sample does not present degassing (ΔNe = 0) the absent of </w:t>
      </w:r>
      <w:r w:rsidR="00B13070" w:rsidRPr="00194419">
        <w:rPr>
          <w:vertAlign w:val="superscript"/>
        </w:rPr>
        <w:t>4</w:t>
      </w:r>
      <w:r w:rsidR="00B13070" w:rsidRPr="00194419">
        <w:t>He</w:t>
      </w:r>
      <w:r w:rsidR="00B13070" w:rsidRPr="00194419">
        <w:rPr>
          <w:vertAlign w:val="subscript"/>
        </w:rPr>
        <w:t>rad</w:t>
      </w:r>
      <w:r w:rsidR="00B13070">
        <w:t xml:space="preserve"> must be due to short residence time, as the </w:t>
      </w:r>
      <w:r w:rsidR="00B13070" w:rsidRPr="00444A13">
        <w:rPr>
          <w:vertAlign w:val="superscript"/>
        </w:rPr>
        <w:t>3</w:t>
      </w:r>
      <w:r w:rsidR="00B13070">
        <w:t>H/</w:t>
      </w:r>
      <w:r w:rsidR="00B13070" w:rsidRPr="00444A13">
        <w:rPr>
          <w:vertAlign w:val="superscript"/>
        </w:rPr>
        <w:t>3</w:t>
      </w:r>
      <w:r w:rsidR="00B13070">
        <w:t>He age pointed out.</w:t>
      </w:r>
      <w:r w:rsidR="00AD79B9">
        <w:t xml:space="preserve"> In general terms, higher </w:t>
      </w:r>
      <w:r w:rsidR="00AD79B9" w:rsidRPr="00194419">
        <w:rPr>
          <w:vertAlign w:val="superscript"/>
        </w:rPr>
        <w:t>4</w:t>
      </w:r>
      <w:r w:rsidR="00AD79B9" w:rsidRPr="00194419">
        <w:t>He</w:t>
      </w:r>
      <w:r w:rsidR="00AD79B9" w:rsidRPr="00194419">
        <w:rPr>
          <w:vertAlign w:val="subscript"/>
        </w:rPr>
        <w:t>rad</w:t>
      </w:r>
      <w:r w:rsidR="00AD79B9">
        <w:t xml:space="preserve"> concentrations are measured in springs placed at lower heights</w:t>
      </w:r>
      <w:r w:rsidR="00696AD3">
        <w:t xml:space="preserve">, even considering the combined effect of salinity and temperature on the calculated concentrations of </w:t>
      </w:r>
      <w:r w:rsidR="00696AD3" w:rsidRPr="002453F9">
        <w:rPr>
          <w:vertAlign w:val="superscript"/>
        </w:rPr>
        <w:t>4</w:t>
      </w:r>
      <w:r w:rsidR="00696AD3">
        <w:t>He</w:t>
      </w:r>
      <w:r w:rsidR="00696AD3">
        <w:rPr>
          <w:vertAlign w:val="subscript"/>
        </w:rPr>
        <w:t>rad</w:t>
      </w:r>
      <w:r w:rsidR="00696AD3" w:rsidRPr="00696AD3">
        <w:t>,</w:t>
      </w:r>
      <w:r w:rsidR="00696AD3">
        <w:t xml:space="preserve"> which assuming an error of 10‰ and</w:t>
      </w:r>
      <w:r w:rsidR="00B13070">
        <w:t xml:space="preserve"> </w:t>
      </w:r>
      <w:r w:rsidR="00696AD3">
        <w:t xml:space="preserve">2K in the infiltration conditions is less than 5%. </w:t>
      </w:r>
    </w:p>
    <w:p w14:paraId="179C5251" w14:textId="1F17FD75" w:rsidR="00C75420" w:rsidRPr="00194419" w:rsidRDefault="00C75420" w:rsidP="008A3630">
      <w:pPr>
        <w:pStyle w:val="Prrafodelista"/>
        <w:numPr>
          <w:ilvl w:val="2"/>
          <w:numId w:val="1"/>
        </w:numPr>
        <w:spacing w:line="480" w:lineRule="auto"/>
        <w:rPr>
          <w:b/>
          <w:lang w:val="es-ES_tradnl"/>
        </w:rPr>
      </w:pPr>
      <w:r w:rsidRPr="00194419">
        <w:rPr>
          <w:b/>
          <w:lang w:val="es-ES_tradnl"/>
        </w:rPr>
        <w:t>CFC-12</w:t>
      </w:r>
      <w:r w:rsidR="00BE046F" w:rsidRPr="00194419">
        <w:rPr>
          <w:b/>
          <w:lang w:val="es-ES_tradnl"/>
        </w:rPr>
        <w:t xml:space="preserve"> and SF</w:t>
      </w:r>
      <w:r w:rsidR="00BE046F" w:rsidRPr="00194419">
        <w:rPr>
          <w:b/>
          <w:vertAlign w:val="subscript"/>
          <w:lang w:val="es-ES_tradnl"/>
        </w:rPr>
        <w:t>6</w:t>
      </w:r>
    </w:p>
    <w:p w14:paraId="67EE04EE" w14:textId="2ED73A3B" w:rsidR="00C75420" w:rsidRPr="00194419" w:rsidRDefault="00991C02" w:rsidP="008A3630">
      <w:pPr>
        <w:spacing w:line="480" w:lineRule="auto"/>
      </w:pPr>
      <w:r w:rsidRPr="00194419">
        <w:t xml:space="preserve">All samples </w:t>
      </w:r>
      <w:r w:rsidR="00CC01D6" w:rsidRPr="00194419">
        <w:t>had</w:t>
      </w:r>
      <w:r w:rsidR="00C75420" w:rsidRPr="00194419">
        <w:t xml:space="preserve"> CFC</w:t>
      </w:r>
      <w:r w:rsidR="00C75420" w:rsidRPr="00194419">
        <w:noBreakHyphen/>
        <w:t>12</w:t>
      </w:r>
      <w:r w:rsidRPr="00194419">
        <w:t>, with</w:t>
      </w:r>
      <w:r w:rsidR="00C75420" w:rsidRPr="00194419">
        <w:t xml:space="preserve"> concentrations </w:t>
      </w:r>
      <w:r w:rsidR="008D52F4" w:rsidRPr="00194419">
        <w:t>ranging from</w:t>
      </w:r>
      <w:r w:rsidR="00B327AB" w:rsidRPr="00194419">
        <w:t xml:space="preserve"> 0.</w:t>
      </w:r>
      <w:r w:rsidR="00C75420" w:rsidRPr="00194419">
        <w:t>1 pmol/kg</w:t>
      </w:r>
      <w:r w:rsidR="006109A9" w:rsidRPr="00194419">
        <w:t xml:space="preserve"> </w:t>
      </w:r>
      <w:r w:rsidRPr="00194419">
        <w:t>(B</w:t>
      </w:r>
      <w:r w:rsidR="006109A9" w:rsidRPr="00194419">
        <w:t xml:space="preserve">3) </w:t>
      </w:r>
      <w:r w:rsidR="008D52F4" w:rsidRPr="00194419">
        <w:t>to</w:t>
      </w:r>
      <w:r w:rsidR="006109A9" w:rsidRPr="00194419">
        <w:t xml:space="preserve"> 1.3</w:t>
      </w:r>
      <w:r w:rsidR="008D52F4" w:rsidRPr="00194419">
        <w:t xml:space="preserve"> </w:t>
      </w:r>
      <w:r w:rsidR="006109A9" w:rsidRPr="00194419">
        <w:t xml:space="preserve">pmol/kg </w:t>
      </w:r>
      <w:r w:rsidR="00C75420" w:rsidRPr="00194419">
        <w:t>(H</w:t>
      </w:r>
      <w:r w:rsidR="006109A9" w:rsidRPr="00194419">
        <w:t>3</w:t>
      </w:r>
      <w:r w:rsidR="00C75420" w:rsidRPr="00194419">
        <w:t xml:space="preserve">), </w:t>
      </w:r>
      <w:r w:rsidRPr="00194419">
        <w:t>which</w:t>
      </w:r>
      <w:r w:rsidR="00C75420" w:rsidRPr="00194419">
        <w:t xml:space="preserve"> are comparable to </w:t>
      </w:r>
      <w:r w:rsidR="006109A9" w:rsidRPr="00194419">
        <w:t xml:space="preserve">atmospheric </w:t>
      </w:r>
      <w:r w:rsidR="00C75420" w:rsidRPr="00194419">
        <w:t xml:space="preserve">mixing ratios of </w:t>
      </w:r>
      <w:r w:rsidR="007664E7" w:rsidRPr="00194419">
        <w:t>28</w:t>
      </w:r>
      <w:r w:rsidR="00C75420" w:rsidRPr="00194419">
        <w:t xml:space="preserve"> and </w:t>
      </w:r>
      <w:r w:rsidR="007664E7" w:rsidRPr="00194419">
        <w:t>314</w:t>
      </w:r>
      <w:r w:rsidR="00C75420" w:rsidRPr="00194419">
        <w:t xml:space="preserve"> ppt</w:t>
      </w:r>
      <w:r w:rsidR="006109A9" w:rsidRPr="00194419">
        <w:t>v</w:t>
      </w:r>
      <w:r w:rsidR="00C75420" w:rsidRPr="00194419">
        <w:t>, respectively</w:t>
      </w:r>
      <w:r w:rsidR="00ED421F">
        <w:t>, assuming the infiltration of freshwater</w:t>
      </w:r>
      <w:r w:rsidR="00C75420" w:rsidRPr="00194419">
        <w:t>.</w:t>
      </w:r>
      <w:r w:rsidRPr="00194419">
        <w:t xml:space="preserve"> </w:t>
      </w:r>
      <w:r w:rsidR="009C4AD4" w:rsidRPr="00194419">
        <w:t>SF</w:t>
      </w:r>
      <w:r w:rsidR="009C4AD4" w:rsidRPr="00194419">
        <w:rPr>
          <w:vertAlign w:val="subscript"/>
        </w:rPr>
        <w:t>6</w:t>
      </w:r>
      <w:r w:rsidR="009C4AD4" w:rsidRPr="00194419">
        <w:t xml:space="preserve"> values </w:t>
      </w:r>
      <w:r w:rsidR="008D52F4" w:rsidRPr="00194419">
        <w:t>vary</w:t>
      </w:r>
      <w:r w:rsidR="006109A9" w:rsidRPr="00194419">
        <w:t xml:space="preserve"> between 0.</w:t>
      </w:r>
      <w:r w:rsidR="007664E7" w:rsidRPr="00194419">
        <w:t xml:space="preserve">3 </w:t>
      </w:r>
      <w:r w:rsidR="006109A9" w:rsidRPr="00194419">
        <w:t xml:space="preserve">fmol/kg </w:t>
      </w:r>
      <w:r w:rsidR="009C4AD4" w:rsidRPr="00194419">
        <w:t>(B2)</w:t>
      </w:r>
      <w:r w:rsidR="006109A9" w:rsidRPr="00194419">
        <w:t xml:space="preserve"> and 14 fmol/kg (J1), </w:t>
      </w:r>
      <w:r w:rsidR="009C4AD4" w:rsidRPr="00194419">
        <w:t xml:space="preserve">whose respective atmospheric </w:t>
      </w:r>
      <w:r w:rsidR="006109A9" w:rsidRPr="00194419">
        <w:t>concentrations</w:t>
      </w:r>
      <w:r w:rsidR="009C4AD4" w:rsidRPr="00194419">
        <w:t xml:space="preserve"> are equal to 0.9 and 4</w:t>
      </w:r>
      <w:r w:rsidR="00C33D1B" w:rsidRPr="00194419">
        <w:t>5</w:t>
      </w:r>
      <w:r w:rsidR="009C4AD4" w:rsidRPr="00194419">
        <w:t xml:space="preserve"> pptv. </w:t>
      </w:r>
      <w:r w:rsidR="00C75420" w:rsidRPr="00194419">
        <w:t>The</w:t>
      </w:r>
      <w:r w:rsidRPr="00194419">
        <w:t xml:space="preserve"> degassing c</w:t>
      </w:r>
      <w:r w:rsidR="00C75420" w:rsidRPr="00194419">
        <w:t>orrection performed</w:t>
      </w:r>
      <w:r w:rsidR="0027516F" w:rsidRPr="00194419">
        <w:t xml:space="preserve"> is</w:t>
      </w:r>
      <w:r w:rsidR="00C75420" w:rsidRPr="00194419">
        <w:t xml:space="preserve"> based on the ΔNe</w:t>
      </w:r>
      <w:r w:rsidRPr="00194419">
        <w:t xml:space="preserve"> values</w:t>
      </w:r>
      <w:r w:rsidR="0027516F" w:rsidRPr="00194419">
        <w:t xml:space="preserve"> </w:t>
      </w:r>
      <w:r w:rsidR="00ED421F">
        <w:fldChar w:fldCharType="begin" w:fldLock="1"/>
      </w:r>
      <w:r w:rsidR="00ED421F">
        <w:instrText>ADDIN CSL_CITATION {"citationItems":[{"id":"ITEM-1","itemData":{"author":[{"dropping-particle":"","family":"Aeschbach-Hertig","given":"","non-dropping-particle":"","parse-names":false,"suffix":""},{"dropping-particle":"","family":"Peeters","given":"F","non-dropping-particle":"","parse-names":false,"suffix":""},{"dropping-particle":"","family":"Beyerle","given":"U","non-dropping-particle":"","parse-names":false,"suffix":""},{"dropping-particle":"","family":"Kipfer","given":"R","non-dropping-particle":"","parse-names":false,"suffix":""}],"container-title":"Water Resources Research","id":"ITEM-1","issue":"9","issued":{"date-parts":[["1999"]]},"page":"2779-2792","title":"Interpretation of dissolved atmospheric noble gases in natural waters","type":"article-journal","volume":"35"},"uris":["http://www.mendeley.com/documents/?uuid=8dd974f4-8561-4056-b726-c83940380d43"]}],"mendeley":{"formattedCitation":"(Aeschbach-Hertig et al., 1999)","plainTextFormattedCitation":"(Aeschbach-Hertig et al., 1999)"},"properties":{"noteIndex":0},"schema":"https://github.com/citation-style-language/schema/raw/master/csl-citation.json"}</w:instrText>
      </w:r>
      <w:r w:rsidR="00ED421F">
        <w:fldChar w:fldCharType="separate"/>
      </w:r>
      <w:r w:rsidR="00ED421F" w:rsidRPr="00ED421F">
        <w:rPr>
          <w:noProof/>
        </w:rPr>
        <w:t>(Aeschbach-Hertig et al., 1999)</w:t>
      </w:r>
      <w:r w:rsidR="00ED421F">
        <w:fldChar w:fldCharType="end"/>
      </w:r>
      <w:r w:rsidR="0027516F" w:rsidRPr="00194419">
        <w:t xml:space="preserve"> and it</w:t>
      </w:r>
      <w:r w:rsidR="00C75420" w:rsidRPr="00194419">
        <w:t xml:space="preserve"> considerably modif</w:t>
      </w:r>
      <w:r w:rsidR="00167C53" w:rsidRPr="00194419">
        <w:t>ies</w:t>
      </w:r>
      <w:r w:rsidR="00C75420" w:rsidRPr="00194419">
        <w:t xml:space="preserve"> the original CFC</w:t>
      </w:r>
      <w:r w:rsidR="00C75420" w:rsidRPr="00194419">
        <w:noBreakHyphen/>
        <w:t xml:space="preserve">12 </w:t>
      </w:r>
      <w:r w:rsidR="009C4AD4" w:rsidRPr="00194419">
        <w:t>and SF</w:t>
      </w:r>
      <w:r w:rsidR="009C4AD4" w:rsidRPr="00194419">
        <w:rPr>
          <w:vertAlign w:val="subscript"/>
        </w:rPr>
        <w:t>6</w:t>
      </w:r>
      <w:r w:rsidR="009C4AD4" w:rsidRPr="00194419">
        <w:t xml:space="preserve"> </w:t>
      </w:r>
      <w:r w:rsidRPr="00194419">
        <w:t>contents (Fig. 6)</w:t>
      </w:r>
      <w:r w:rsidR="00C75420" w:rsidRPr="00194419">
        <w:t>, exce</w:t>
      </w:r>
      <w:r w:rsidRPr="00194419">
        <w:t>pt for Aguileras spring</w:t>
      </w:r>
      <w:r w:rsidR="00C75420" w:rsidRPr="00194419">
        <w:t xml:space="preserve"> </w:t>
      </w:r>
      <w:r w:rsidR="009C4AD4" w:rsidRPr="00194419">
        <w:t>(H</w:t>
      </w:r>
      <w:r w:rsidR="006109A9" w:rsidRPr="00194419">
        <w:t>3</w:t>
      </w:r>
      <w:r w:rsidR="009C4AD4" w:rsidRPr="00194419">
        <w:t xml:space="preserve">) </w:t>
      </w:r>
      <w:r w:rsidR="00C75420" w:rsidRPr="00194419">
        <w:t>that does not show significant degassing. CFC-12</w:t>
      </w:r>
      <w:r w:rsidR="006109A9" w:rsidRPr="00194419">
        <w:t xml:space="preserve"> corrected</w:t>
      </w:r>
      <w:r w:rsidR="00C75420" w:rsidRPr="00194419">
        <w:t xml:space="preserve"> concentrations rise to </w:t>
      </w:r>
      <w:r w:rsidR="006109A9" w:rsidRPr="00194419">
        <w:t>values</w:t>
      </w:r>
      <w:r w:rsidRPr="00194419">
        <w:t xml:space="preserve"> between 0.2 and 1.6 pmol/kg that </w:t>
      </w:r>
      <w:r w:rsidR="006109A9" w:rsidRPr="00194419">
        <w:t>are</w:t>
      </w:r>
      <w:r w:rsidRPr="00194419">
        <w:t xml:space="preserve"> </w:t>
      </w:r>
      <w:r w:rsidR="00C75420" w:rsidRPr="00194419">
        <w:t>equivalent to atmospheric mixi</w:t>
      </w:r>
      <w:r w:rsidRPr="00194419">
        <w:t xml:space="preserve">ng </w:t>
      </w:r>
      <w:r w:rsidRPr="00194419">
        <w:rPr>
          <w:noProof/>
        </w:rPr>
        <w:t>ratios</w:t>
      </w:r>
      <w:r w:rsidRPr="00194419">
        <w:t xml:space="preserve"> of 55 and 401 pptv</w:t>
      </w:r>
      <w:r w:rsidR="00C75420" w:rsidRPr="00194419">
        <w:t xml:space="preserve"> (Tab. </w:t>
      </w:r>
      <w:r w:rsidR="00E85DD6">
        <w:t>3</w:t>
      </w:r>
      <w:r w:rsidR="00C75420" w:rsidRPr="00194419">
        <w:t>)</w:t>
      </w:r>
      <w:r w:rsidR="005E3297" w:rsidRPr="00194419">
        <w:t>. Corrected SF</w:t>
      </w:r>
      <w:r w:rsidR="005E3297" w:rsidRPr="00194419">
        <w:rPr>
          <w:vertAlign w:val="subscript"/>
        </w:rPr>
        <w:t>6</w:t>
      </w:r>
      <w:r w:rsidR="006109A9" w:rsidRPr="00194419">
        <w:t xml:space="preserve"> concentration</w:t>
      </w:r>
      <w:r w:rsidR="005E3297" w:rsidRPr="00194419">
        <w:t>s are comprised between 0.</w:t>
      </w:r>
      <w:r w:rsidR="0027516F" w:rsidRPr="00194419">
        <w:t>7</w:t>
      </w:r>
      <w:r w:rsidR="005E3297" w:rsidRPr="00194419">
        <w:t xml:space="preserve"> and </w:t>
      </w:r>
      <w:r w:rsidR="0027516F" w:rsidRPr="00194419">
        <w:t>24 fmol/kg</w:t>
      </w:r>
      <w:r w:rsidR="005E3297" w:rsidRPr="00194419">
        <w:t xml:space="preserve">, equal to 2.4 and </w:t>
      </w:r>
      <w:r w:rsidR="00C33D1B" w:rsidRPr="00194419">
        <w:t>79</w:t>
      </w:r>
      <w:r w:rsidR="00EF5A07">
        <w:t xml:space="preserve"> pptv.</w:t>
      </w:r>
      <w:r w:rsidR="00B74A2B">
        <w:t xml:space="preserve"> The effect of a change in the infiltration conditions of 2K of temperature and 10‰ of salinity can substantially modify the calculated mixing ratio, up to 20% (Tab. 3).</w:t>
      </w:r>
    </w:p>
    <w:p w14:paraId="33F1498F" w14:textId="7D46183D" w:rsidR="00BC37DD" w:rsidRPr="00194419" w:rsidRDefault="00FE1E73" w:rsidP="008A3630">
      <w:pPr>
        <w:spacing w:line="480" w:lineRule="auto"/>
      </w:pPr>
      <w:r>
        <w:t>Assuming piston flow conditions, i</w:t>
      </w:r>
      <w:r w:rsidR="00BC37DD" w:rsidRPr="00194419">
        <w:t xml:space="preserve">nfiltration dates of the original CFC-12 values vary from 1957 (B3) to 1980 (H4). Dating values using ΔNe corrections result in more modern ages (Fig. 6), with recharge dates ranging from 1963, in B3 sample, to 1986, in the sample </w:t>
      </w:r>
      <w:r w:rsidR="00BC37DD" w:rsidRPr="00194419">
        <w:lastRenderedPageBreak/>
        <w:t xml:space="preserve">taken in Lower Anzur spring (J1), during the </w:t>
      </w:r>
      <w:r w:rsidR="008D52F4" w:rsidRPr="00194419">
        <w:t>flood</w:t>
      </w:r>
      <w:r w:rsidR="00BC37DD" w:rsidRPr="00194419">
        <w:t xml:space="preserve"> of April 2016. Thus, corrected CFC-12 ages range between 30 and 53 years (Tab. </w:t>
      </w:r>
      <w:r w:rsidR="00E85DD6">
        <w:t>3</w:t>
      </w:r>
      <w:r w:rsidR="00BC37DD" w:rsidRPr="00194419">
        <w:t>). SF</w:t>
      </w:r>
      <w:r w:rsidR="00BC37DD" w:rsidRPr="00194419">
        <w:rPr>
          <w:vertAlign w:val="subscript"/>
        </w:rPr>
        <w:t>6</w:t>
      </w:r>
      <w:r w:rsidR="00BC37DD" w:rsidRPr="00194419">
        <w:t xml:space="preserve"> dating only provides coherent recharge dates for B2, J1, </w:t>
      </w:r>
      <w:r w:rsidR="00BC37DD" w:rsidRPr="00194419">
        <w:rPr>
          <w:noProof/>
        </w:rPr>
        <w:t>and</w:t>
      </w:r>
      <w:r w:rsidR="00BC37DD" w:rsidRPr="00194419">
        <w:t xml:space="preserve"> T3 springs, as well as for H2 without degassing corrections (Fig. 6). </w:t>
      </w:r>
      <w:r w:rsidR="00EA6139" w:rsidRPr="00194419">
        <w:t>T</w:t>
      </w:r>
      <w:r w:rsidR="00BC37DD" w:rsidRPr="00194419">
        <w:t xml:space="preserve">he rest of the </w:t>
      </w:r>
      <w:r w:rsidR="00BC37DD" w:rsidRPr="00194419">
        <w:rPr>
          <w:noProof/>
        </w:rPr>
        <w:t>sample</w:t>
      </w:r>
      <w:r w:rsidR="00EA6139" w:rsidRPr="00194419">
        <w:rPr>
          <w:noProof/>
        </w:rPr>
        <w:t>s</w:t>
      </w:r>
      <w:r w:rsidR="00BC37DD" w:rsidRPr="00194419">
        <w:t xml:space="preserve"> ha</w:t>
      </w:r>
      <w:r w:rsidR="008D52F4" w:rsidRPr="00194419">
        <w:t>d</w:t>
      </w:r>
      <w:r w:rsidR="00BC37DD" w:rsidRPr="00194419">
        <w:t xml:space="preserve"> tracer concentrations much higher than the atmospheric input function. Infiltration dates obtained from SF</w:t>
      </w:r>
      <w:r w:rsidR="00BC37DD" w:rsidRPr="00194419">
        <w:rPr>
          <w:vertAlign w:val="subscript"/>
        </w:rPr>
        <w:t>6</w:t>
      </w:r>
      <w:r w:rsidR="00BC37DD" w:rsidRPr="00194419">
        <w:t xml:space="preserve"> values (1980-2000) are more modern than CFC-12 ones (Fig. 6). Dating derived from excess air corrected SF</w:t>
      </w:r>
      <w:r w:rsidR="00BC37DD" w:rsidRPr="00194419">
        <w:rPr>
          <w:vertAlign w:val="subscript"/>
        </w:rPr>
        <w:t>6</w:t>
      </w:r>
      <w:r w:rsidR="00BC37DD" w:rsidRPr="00194419">
        <w:t xml:space="preserve"> contents (from </w:t>
      </w:r>
      <w:r w:rsidR="00BC37DD" w:rsidRPr="00194419">
        <w:rPr>
          <w:lang w:val="es-ES_tradnl"/>
        </w:rPr>
        <w:t>Δ</w:t>
      </w:r>
      <w:r w:rsidR="00BC37DD" w:rsidRPr="00194419">
        <w:t xml:space="preserve">Ne) provide even younger ages, as young as </w:t>
      </w:r>
      <w:r w:rsidR="00FE1A5D">
        <w:t>8</w:t>
      </w:r>
      <w:r w:rsidR="00FE1A5D" w:rsidRPr="00194419">
        <w:t xml:space="preserve"> </w:t>
      </w:r>
      <w:r w:rsidR="00BC37DD" w:rsidRPr="00194419">
        <w:t xml:space="preserve">years (Tab. </w:t>
      </w:r>
      <w:r w:rsidR="00E85DD6">
        <w:t>3</w:t>
      </w:r>
      <w:r w:rsidR="00BC37DD" w:rsidRPr="00194419">
        <w:t>).</w:t>
      </w:r>
      <w:r w:rsidR="00FE1A5D">
        <w:t xml:space="preserve"> Despite the large variations of the </w:t>
      </w:r>
      <w:r w:rsidR="00A9660A">
        <w:t>calculated CFC-12 and SF</w:t>
      </w:r>
      <w:r w:rsidR="00A9660A" w:rsidRPr="003E2C48">
        <w:rPr>
          <w:vertAlign w:val="subscript"/>
        </w:rPr>
        <w:t>6</w:t>
      </w:r>
      <w:r w:rsidR="00A9660A">
        <w:t xml:space="preserve"> </w:t>
      </w:r>
      <w:r w:rsidR="00FE1A5D">
        <w:t xml:space="preserve">mixing ratios due to the combine effect of the considered salinity and temperature, the </w:t>
      </w:r>
      <w:r w:rsidR="00A9660A">
        <w:t xml:space="preserve">largest </w:t>
      </w:r>
      <w:r w:rsidR="00FE1A5D">
        <w:t>variation</w:t>
      </w:r>
      <w:r w:rsidR="00A9660A">
        <w:t>s</w:t>
      </w:r>
      <w:r w:rsidR="00FE1A5D">
        <w:t xml:space="preserve"> on the </w:t>
      </w:r>
      <w:r w:rsidR="00A9660A">
        <w:t xml:space="preserve">respective </w:t>
      </w:r>
      <w:r w:rsidR="00FE1A5D">
        <w:t xml:space="preserve">ages </w:t>
      </w:r>
      <w:r w:rsidR="00A9660A">
        <w:t xml:space="preserve">are of </w:t>
      </w:r>
      <w:r w:rsidR="00FE1A5D">
        <w:t>4 years. That is due to the steep rise of the atmospheric concentrations of CFC-12, from 1970 to 1990, and SF</w:t>
      </w:r>
      <w:r w:rsidR="00FE1A5D" w:rsidRPr="00444A13">
        <w:rPr>
          <w:vertAlign w:val="subscript"/>
        </w:rPr>
        <w:t>6</w:t>
      </w:r>
      <w:r w:rsidR="00A9660A" w:rsidRPr="00444A13">
        <w:t>, from 1980</w:t>
      </w:r>
      <w:r w:rsidR="00A9660A">
        <w:rPr>
          <w:vertAlign w:val="subscript"/>
        </w:rPr>
        <w:t xml:space="preserve"> </w:t>
      </w:r>
      <w:r w:rsidR="00A9660A">
        <w:t>to the present</w:t>
      </w:r>
      <w:r w:rsidR="00FE1A5D" w:rsidRPr="00444A13">
        <w:t>.</w:t>
      </w:r>
    </w:p>
    <w:p w14:paraId="4A9FD10F" w14:textId="770C8C7C" w:rsidR="00BC37DD" w:rsidRPr="00194419" w:rsidRDefault="00BC37DD" w:rsidP="008A3630">
      <w:pPr>
        <w:spacing w:line="480" w:lineRule="auto"/>
      </w:pPr>
      <w:r w:rsidRPr="00194419">
        <w:t xml:space="preserve">The divergence between both tracer ages could be due to mixing between </w:t>
      </w:r>
      <w:r w:rsidRPr="00194419">
        <w:rPr>
          <w:noProof/>
        </w:rPr>
        <w:t>several groundwater</w:t>
      </w:r>
      <w:r w:rsidRPr="00194419">
        <w:t xml:space="preserve"> flow components of different residence time </w:t>
      </w:r>
      <w:r w:rsidRPr="00194419">
        <w:fldChar w:fldCharType="begin" w:fldLock="1"/>
      </w:r>
      <w:r w:rsidRPr="00194419">
        <w:instrText>ADDIN CSL_CITATION {"citationItems":[{"id":"ITEM-1","itemData":{"author":[{"dropping-particle":"","family":"Plummer","given":"L.N.","non-dropping-particle":"","parse-names":false,"suffix":""},{"dropping-particle":"","family":"Busenberg","given":"E.","non-dropping-particle":"","parse-names":false,"suffix":""},{"dropping-particle":"","family":"Han","given":"L.F.","non-dropping-particle":"","parse-names":false,"suffix":""}],"container-title":"Use of Chlorofluorocarbons in Hydrology: a guidebook.","id":"ITEM-1","issued":{"date-parts":[["2006"]]},"page":"72-59","publisher":"International Atomic Energy Agency","title":"CFCs in binary mixture of young and old groundwater.","type":"chapter"},"uris":["http://www.mendeley.com/documents/?uuid=fcb74124-8918-4c51-8dbb-65b56dcedb3a"]}],"mendeley":{"formattedCitation":"(Plummer et al., 2006)","plainTextFormattedCitation":"(Plummer et al., 2006)","previouslyFormattedCitation":"(Plummer et al., 2006)"},"properties":{"noteIndex":0},"schema":"https://github.com/citation-style-language/schema/raw/master/csl-citation.json"}</w:instrText>
      </w:r>
      <w:r w:rsidRPr="00194419">
        <w:fldChar w:fldCharType="separate"/>
      </w:r>
      <w:r w:rsidRPr="00194419">
        <w:rPr>
          <w:noProof/>
        </w:rPr>
        <w:t>(Plummer et al., 2006)</w:t>
      </w:r>
      <w:r w:rsidRPr="00194419">
        <w:fldChar w:fldCharType="end"/>
      </w:r>
      <w:r w:rsidRPr="00194419">
        <w:t xml:space="preserve">, to tracer degradation or retention within the media, or to the existence of additional tracer sources apart from the atmosphere </w:t>
      </w:r>
      <w:r w:rsidRPr="00194419">
        <w:fldChar w:fldCharType="begin" w:fldLock="1"/>
      </w:r>
      <w:r w:rsidRPr="00194419">
        <w:instrText>ADDIN CSL_CITATION {"citationItems":[{"id":"ITEM-1","itemData":{"author":[{"dropping-particle":"","family":"Cook","given":"P.G.","non-dropping-particle":"","parse-names":false,"suffix":""},{"dropping-particle":"","family":"Plummer","given":"L.N.","non-dropping-particle":"","parse-names":false,"suffix":""},{"dropping-particle":"","family":"Solomon","given":"D. K.","non-dropping-particle":"","parse-names":false,"suffix":""},{"dropping-particle":"","family":"Busenberg","given":"E.","non-dropping-particle":"","parse-names":false,"suffix":""},{"dropping-particle":"","family":"Han","given":"L.F.","non-dropping-particle":"","parse-names":false,"suffix":""}],"container-title":"Use of Chlorofluorocarbons in Hydrology: a guidebook.","id":"ITEM-1","issued":{"date-parts":[["2006"]]},"page":"31-58","publisher":"International Atomic Energy Agency","title":"Effects and processes that can modify apparent CFC age","type":"chapter"},"uris":["http://www.mendeley.com/documents/?uuid=9183a8e9-316b-4187-b1e2-c8cdcd4f5405"]}],"mendeley":{"formattedCitation":"(Cook et al., 2006)","plainTextFormattedCitation":"(Cook et al., 2006)","previouslyFormattedCitation":"(Cook et al., 2006)"},"properties":{"noteIndex":0},"schema":"https://github.com/citation-style-language/schema/raw/master/csl-citation.json"}</w:instrText>
      </w:r>
      <w:r w:rsidRPr="00194419">
        <w:fldChar w:fldCharType="separate"/>
      </w:r>
      <w:r w:rsidRPr="00194419">
        <w:rPr>
          <w:noProof/>
        </w:rPr>
        <w:t>(Cook et al., 2006)</w:t>
      </w:r>
      <w:r w:rsidRPr="00194419">
        <w:fldChar w:fldCharType="end"/>
      </w:r>
      <w:r w:rsidRPr="00194419">
        <w:t>. The excess of SF</w:t>
      </w:r>
      <w:r w:rsidRPr="00194419">
        <w:rPr>
          <w:vertAlign w:val="subscript"/>
        </w:rPr>
        <w:t>6</w:t>
      </w:r>
      <w:r w:rsidRPr="00194419">
        <w:t xml:space="preserve"> in several samples respect to the input function (Fig. 6) suggest</w:t>
      </w:r>
      <w:r w:rsidR="008D52F4" w:rsidRPr="00194419">
        <w:t>s</w:t>
      </w:r>
      <w:r w:rsidRPr="00194419">
        <w:t xml:space="preserve"> that the latter explanation is more likely. </w:t>
      </w:r>
      <w:r w:rsidR="008D52F4" w:rsidRPr="00194419">
        <w:t>Local a</w:t>
      </w:r>
      <w:r w:rsidRPr="00194419">
        <w:t>nthropogenic sources can modify the SF</w:t>
      </w:r>
      <w:r w:rsidRPr="00194419">
        <w:rPr>
          <w:vertAlign w:val="subscript"/>
        </w:rPr>
        <w:t>6</w:t>
      </w:r>
      <w:r w:rsidRPr="00194419">
        <w:t xml:space="preserve"> concentration</w:t>
      </w:r>
      <w:r w:rsidR="008D52F4" w:rsidRPr="00194419">
        <w:t xml:space="preserve"> in the nearby sectors</w:t>
      </w:r>
      <w:r w:rsidRPr="00194419">
        <w:t xml:space="preserve">, although it is not frequent </w:t>
      </w:r>
      <w:r w:rsidRPr="00194419">
        <w:fldChar w:fldCharType="begin" w:fldLock="1"/>
      </w:r>
      <w:r w:rsidR="00941999" w:rsidRPr="00194419">
        <w:instrText>ADDIN CSL_CITATION {"citationItems":[{"id":"ITEM-1","itemData":{"author":[{"dropping-particle":"","family":"Han","given":"L.F.","non-dropping-particle":"","parse-names":false,"suffix":""},{"dropping-particle":"","family":"Gröning","given":"M.","non-dropping-particle":"","parse-names":false,"suffix":""},{"dropping-particle":"","family":"Plummer","given":"L.N.","non-dropping-particle":"","parse-names":false,"suffix":""},{"dropping-particle":"","family":"Solomon","given":"D. K.","non-dropping-particle":"","parse-names":false,"suffix":""}],"container-title":"Use of Chlorofluorocarbons in Hydrology: a guidebook.","id":"ITEM-1","issued":{"date-parts":[["2006"]]},"page":"191-198","publisher":"IAEA","title":"Comparison of the CFC technique with other techniques (&lt;sup&gt;3&lt;/sup&gt;H, &lt;sup&gt;3&lt;/sup&gt;H/&lt;sup&gt;3&lt;/sup&gt;He, &lt;sup&gt;85&lt;/sup&gt;Kr)","type":"chapter"},"uris":["http://www.mendeley.com/documents/?uuid=81e51ec0-6540-4f95-82d7-d6f99de29380"]}],"mendeley":{"formattedCitation":"(Han et al., 2006)","plainTextFormattedCitation":"(Han et al., 2006)","previouslyFormattedCitation":"(Han et al., 2006)"},"properties":{"noteIndex":0},"schema":"https://github.com/citation-style-language/schema/raw/master/csl-citation.json"}</w:instrText>
      </w:r>
      <w:r w:rsidRPr="00194419">
        <w:fldChar w:fldCharType="separate"/>
      </w:r>
      <w:r w:rsidRPr="00194419">
        <w:rPr>
          <w:noProof/>
        </w:rPr>
        <w:t>(Han et al., 2006)</w:t>
      </w:r>
      <w:r w:rsidRPr="00194419">
        <w:fldChar w:fldCharType="end"/>
      </w:r>
      <w:r w:rsidR="00B74A2B">
        <w:rPr>
          <w:rStyle w:val="Refdecomentario"/>
        </w:rPr>
        <w:t xml:space="preserve">, </w:t>
      </w:r>
      <w:r w:rsidR="00B74A2B" w:rsidRPr="00B74A2B">
        <w:rPr>
          <w:rStyle w:val="Refdecomentario"/>
          <w:sz w:val="24"/>
        </w:rPr>
        <w:t>parti</w:t>
      </w:r>
      <w:r w:rsidR="00B74A2B">
        <w:rPr>
          <w:rStyle w:val="Refdecomentario"/>
          <w:sz w:val="24"/>
        </w:rPr>
        <w:t>cularly in cultivable lands such as the study areas</w:t>
      </w:r>
      <w:r w:rsidRPr="00194419">
        <w:t>. Previous works have revealed that some kind of rocks can produce SF</w:t>
      </w:r>
      <w:r w:rsidRPr="00194419">
        <w:rPr>
          <w:vertAlign w:val="subscript"/>
        </w:rPr>
        <w:t>6</w:t>
      </w:r>
      <w:r w:rsidRPr="00194419">
        <w:t xml:space="preserve"> and liberate it towards groundwater </w:t>
      </w:r>
      <w:r w:rsidRPr="00194419">
        <w:fldChar w:fldCharType="begin" w:fldLock="1"/>
      </w:r>
      <w:r w:rsidR="00C33D1B" w:rsidRPr="00194419">
        <w:instrText>ADDIN CSL_CITATION {"citationItems":[{"id":"ITEM-1","itemData":{"DOI":"10.1016/j.gca.2007.11.027","ISSN":"00167037","abstract":"Dissolved tetrafluoromethane (CF4) and sulfur hexafluoride (SF6) concentrations were measured in groundwater samples from the Eastern Morongo Basin (EMB) and Mojave River Basin (MRB) located in the southern Mojave Desert, California. Both CF4and SF6are supersaturated with respect to equilibrium with the preindustrial atmosphere at the recharge temperatures and elevations of the Mojave Desert. These observations provide the first in situ evidence for a flux of CF4from the lithosphere. A gradual basin-wide enhancement in dissolved CF4and SF6concentrations with groundwater age is consistent with release of these gases during weathering of the surrounding granitic alluvium. Dissolved CF4and SF6concentrations in these groundwaters also contain a deeper crustal component associated with a lithospheric flux entering the EMB and MRB through the underlying basement. The crustal flux of CF4, but not of SF6, is enhanced in the vicinity of local active fault systems due to release of crustal fluids during episodic fracture events driven by local tectonic activity. When fluxes of CF4and SF6into Mojave Desert groundwaters are extrapolated to the global scale they are consistent, within large uncertainties, with the fluxes required to sustain the preindustrial atmospheric abundances of CF4and SF6. © 2007 Elsevier Ltd. All rights reserved.","author":[{"dropping-particle":"","family":"Deeds","given":"Daniel A.","non-dropping-particle":"","parse-names":false,"suffix":""},{"dropping-particle":"","family":"Vollmer","given":"Martin K.","non-dropping-particle":"","parse-names":false,"suffix":""},{"dropping-particle":"","family":"Kulongoski","given":"Justin T.","non-dropping-particle":"","parse-names":false,"suffix":""},{"dropping-particle":"","family":"Miller","given":"Benjamin R.","non-dropping-particle":"","parse-names":false,"suffix":""},{"dropping-particle":"","family":"Mühle","given":"Jens","non-dropping-particle":"","parse-names":false,"suffix":""},{"dropping-particle":"","family":"Harth","given":"Christina M.","non-dropping-particle":"","parse-names":false,"suffix":""},{"dropping-particle":"","family":"Izbicki","given":"John A.","non-dropping-particle":"","parse-names":false,"suffix":""},{"dropping-particle":"","family":"Hilton","given":"David R.","non-dropping-particle":"","parse-names":false,"suffix":""},{"dropping-particle":"","family":"Weiss","given":"Ray F.","non-dropping-particle":"","parse-names":false,"suffix":""}],"container-title":"Geochimica et Cosmochimica Acta","id":"ITEM-1","issue":"4","issued":{"date-parts":[["2008"]]},"page":"999-1013","title":"Evidence for crustal degassing of CF&lt;sub&gt;4&lt;/sub&gt;and SF&lt;sub&gt;6&lt;/sub&gt; in Mojave Desert groundwaters","type":"article-journal","volume":"72"},"uris":["http://www.mendeley.com/documents/?uuid=18a551fb-2af6-4224-882e-aa3144b5beba"]},{"id":"ITEM-2","itemData":{"DOI":"10.1016/j.jhydrol.2007.03.011","ISBN":"0022-1694","ISSN":"00221694","abstract":"Measurements of the concentrations of dichlorodifluoromethane (CFC-12), tritium (3H), and sulfur hexafluoride (SF6) in groundwater from basaltic aquifers in Jeju Island, Korea, demonstrate a terrigenic source of SF6. Using a lumped-parameter dispersion model, groundwater was identified as young water (&lt;15 years), old water with negligible CFC-12 and3H, and binary mixtures of the two. Model calculations using dispersion models and binary mixing based on3H and CFC-12 concentrations demonstrate a non-atmospheric excess of SF6relative to CFC-12 and3H concentrations for more than half of the samples. The non-atmospheric excess SF6may have originated from terrigenic sources in relict volcanic fluids, which could have acquired SF6from granites and basement rocks of the island during volcanic activity. Local excess anthropogenic sources of SF6are unlikely. The SF6age is biased young relative to the CFC-12 age, typically up to 20 years and as high as 30 years. This age bias is more pronounced in samples of groundwater older than 15 years. The presence of terrigenic SF6can affect the entire dating range for groundwater in mixtures that contain a fraction of old water. © 2007 Elsevier B.V. All rights reserved.","author":[{"dropping-particle":"","family":"Koh","given":"Dong Chan","non-dropping-particle":"","parse-names":false,"suffix":""},{"dropping-particle":"","family":"Plummer","given":"L. Niel","non-dropping-particle":"","parse-names":false,"suffix":""},{"dropping-particle":"","family":"Busenberg","given":"Eurybiades","non-dropping-particle":"","parse-names":false,"suffix":""},{"dropping-particle":"","family":"Kim","given":"Yongje","non-dropping-particle":"","parse-names":false,"suffix":""}],"container-title":"Journal of Hydrology","id":"ITEM-2","issue":"1-2","issued":{"date-parts":[["2007"]]},"page":"93-104","title":"Evidence for terrigenic SF6in groundwater from basaltic aquifers, Jeju Island, Korea: Implications for groundwater dating","type":"article-journal","volume":"339"},"uris":["http://www.mendeley.com/documents/?uuid=51d478ae-9a6d-4034-a4ae-c1f3ec053914"]},{"id":"ITEM-3","itemData":{"DOI":"10.1080/10256016.2010.494771","ISBN":"1477-2639 (Electronic)\\r1025-6016 (Linking)","ISSN":"10256016","PMID":"20603738","abstract":"We employed environmental tracers ((3)H-(3)He, SF(6)) in a study investigating the groundwater recharge in the North China Plain (NCP), a sedimentary aquifer system consisting of fluvial and alluvial river deposits near the city of Shijiazhuang. The (3)H-(3)He dating method revealed reasonable results for the young groundwater with ages covering the range of recent to ~40 a. SF(6) samples were taken in parallel for independent dating and to compare the applicability of both methods. However, the SF(6)-results are influenced and, in part, dominated by a systematic non-atmospheric component, revealing that the dating with SF(6) is unreliable in this region. A correlation of non-atmospheric SF(6) and (3)H-(3)He ages suggests a continuous accumulation of natural SF(6) in the groundwater of the NCP aquifers. Although terrigenic SF(6) has previously been associated with crystalline or igneous rocks, our results indicate that it can also be accumulated in sandy aquifers on the timescale relevant for SF(6) dating.","author":[{"dropping-particle":"","family":"Rohden","given":"Christoph","non-dropping-particle":"von","parse-names":false,"suffix":""},{"dropping-particle":"","family":"Kreuzer","given":"Andreas","non-dropping-particle":"","parse-names":false,"suffix":""},{"dropping-particle":"","family":"Chen Zongyu","given":"Z.","non-dropping-particle":"","parse-names":false,"suffix":""},{"dropping-particle":"","family":"Aeschbach-Hertig","given":"Werner","non-dropping-particle":"","parse-names":false,"suffix":""}],"container-title":"Isotopes in Environmental and Health Studies","id":"ITEM-3","issue":"3","issued":{"date-parts":[["2010"]]},"page":"279-290","title":"Accumulation of natural SF6in the sedimentary aquifers of the North China Plain as a restriction on groundwater dating","type":"article-journal","volume":"46"},"uris":["http://www.mendeley.com/documents/?uuid=8b0bbe08-0d71-4ef9-bc49-b3dfe6adaa7d"]},{"id":"ITEM-4","itemData":{"DOI":"10.1016/j.apgeochem.2013.03.002","ISBN":"0883-2927","ISSN":"08832927","abstract":"SF6and3H-3He dating were used to investigate groundwater of the Odenwald/Germany. The application of SF6dating is not possible in certain areas due to high SF6excess. High SF6is clearly linked to the lithology of the sampled area. The SF6excess is of terrigenic origin, radio-chemically produced in the subsurface. The mountainous Odenwald region in the federal state of Hesse/Germany is one of the main recharge areas for groundwater of the surrounding depressions, where substantial extraction for public water supply takes place. We investigated the groundwater to study residence times and mixing ratios of groundwater of different ages, define regions of groundwater recharge and understand the groundwater inflow from the Odenwald to the surrounding areas. This multi-tracer study included stable and radioactive gas and isotope tracers such as2H,18O,3H, noble gases (He, Ne, Ar, Kr, Xe),222Rn and SF6. Noble gases were used to calculate recharge temperatures of the groundwater and to correct all gas tracers for so called \"excess air\". Comparing the results of the two independent dating methods - SF6and3H-3He - reveals that dating with SF6is not possible in the crystalline region of the Odenwald, while the3H-3He method gives robust groundwater ages. The results indicate that SF6is influenced by a terrigenic source in the subsurface that varies with lithology.222Rn data from part of the wells seem to be related to the terrigenic SF6, consistent with the idea of radiochemical SF6production in rocks and release from the aquifer matrix. © 2013 Elsevier Ltd.","author":[{"dropping-particle":"","family":"Friedrich","given":"R.","non-dropping-particle":"","parse-names":false,"suffix":""},{"dropping-particle":"","family":"Vero","given":"G.","non-dropping-particle":"","parse-names":false,"suffix":""},{"dropping-particle":"","family":"Rohden","given":"C.","non-dropping-particle":"von","parse-names":false,"suffix":""},{"dropping-particle":"","family":"Lessmann","given":"B.","non-dropping-particle":"","parse-names":false,"suffix":""},{"dropping-particle":"","family":"Kipfer","given":"R.","non-dropping-particle":"","parse-names":false,"suffix":""},{"dropping-particle":"","family":"Aeschbach-Hertig","given":"W.","non-dropping-particle":"","parse-names":false,"suffix":""}],"container-title":"Applied Geochemistry","id":"ITEM-4","issued":{"date-parts":[["2013"]]},"page":"318-329","publisher":"Elsevier Ltd","title":"Factors controlling terrigenic SF&lt;sub&gt;6&lt;/sub&gt; in young groundwater of the Odenwald region (Germany)","type":"article-journal","volume":"33"},"uris":["http://www.mendeley.com/documents/?uuid=69828c0f-e869-425b-96cf-ca2b849a5765"]},{"id":"ITEM-5","itemData":{"DOI":"10.1016/j.jhydrol.2015.06.022","ISBN":"00221694 (ISSN)","ISSN":"00221694","abstract":"Twenty-five public supply wells throughout the hydrogeologically diverse region of Scania, southern Sweden are subjected to environmental tracer analysis (3H-3He, 4He, CFCs, SF6 and for one well only also 85Kr and 39Ar) to study well and aquifer vulnerability and evaluate possibilities of groundwater age distribution assessment. We find CFC and SF6 concentrations well above solubility equilibrium with modern atmosphere, indicating local contamination, as well as indications of CFC degradation. The tracer-specific complications considerably constrain possibilities for sound quantitative regional groundwater age distribution assessments and demonstrate the importance of initial qualitative assessment of tracer-specific reliability, as well a need for additional, complementary tracers (e.g. 85Kr, 39Ar and potentially also 14C). Lumped parameter modelling yields credible age distribution assessments for representative wells in four type aquifers. Pollution vulnerability of the aquifer types was based on the selected LPM models and qualitative age characterisation. Most vulnerable are unconfined dual porosity and fractured bedrock aquifers, due to a large component of very young groundwater. Unconfined sedimentary aquifers are vulnerable due to young groundwater and a small pre-modern component. Less vulnerable are semi-confined sedimentary or dual-porosity aquifers, due to older age of the modern component and a larger pre-modern component. Confined aquifers appear least vulnerable, due an entirely pre-modern groundwater age distribution (recharged before 1963). Tracer complications aside, environmental tracer analyses and lumped parameter modelling aid in vulnerability assessment and protection of regional groundwater resources.","author":[{"dropping-particle":"","family":"Akesson","given":"Maria","non-dropping-particle":"","parse-names":false,"suffix":""},{"dropping-particle":"","family":"Suckow","given":"Axel","non-dropping-particle":"","parse-names":false,"suffix":""},{"dropping-particle":"","family</w:instrText>
      </w:r>
      <w:r w:rsidR="00C33D1B" w:rsidRPr="00444A13">
        <w:rPr>
          <w:lang w:val="de-DE"/>
        </w:rPr>
        <w:instrText>":"Visser","given":"Ate","non-dropping-particle":"","parse-names":false,"suffix":""},{"dropping-particle":"","family":"Sültenfuss","given":"Jürgen","non-dropping-particle":"","parse-names":false,"suffix":""},{"dropping-particle":"","family":"Laier","given":"Troels","non-dropping-particle":"","parse-names":false,"suffix":""},{"dropping-particle":"","family":"Purtschert","given":"Roland","non-dropping-particle":"","parse-names":false,"suffix":""},{"dropping-particle":"","family":"Sparrenbom","given":"Charlotte J.","non-dropping-particle":"","parse-names":false,"suffix":""}],"container-title":"Journal of Hydrology","id":"ITEM-5","issued":{"date-parts":[["2015"]]},"page":"217-229","title":"Constraining age distributions of groundwater from public supply wells in diverse hydrogeological settings in Scania, Sweden","type":"article-journal","volume":"528"},"uris":["http://www.mendeley.com/documents/?uuid=4b567828-885e-4748-8e47-eca1aa20883f"]}],"mendeley":{"formattedCitation":"(Akesson et al., 2015; Deeds et al., 2008; Friedrich et al., 2013; Koh et al., 2007; von Rohden et al., 2010)","plainTextFormattedCitation":"(Akesson et al., 2015; Deeds et al., 2008; Friedrich et al., 2013; Koh et al., 2007; von Rohden et al., 2010)","previouslyFormattedCitation":"(Akesson et al., 2015; Deeds et al., 2008; Friedrich et al., 2013; Koh et al., 2007; von Rohden et al., 2010)"},"properties":{"noteIndex":0},"schema":"https://github.com/citation-style-language/schema/raw/master/csl-citation.json"}</w:instrText>
      </w:r>
      <w:r w:rsidRPr="00194419">
        <w:fldChar w:fldCharType="separate"/>
      </w:r>
      <w:r w:rsidRPr="00194419">
        <w:rPr>
          <w:noProof/>
          <w:lang w:val="de-DE"/>
        </w:rPr>
        <w:t>(Akesson et al., 2015; Deeds et al., 2008; Friedrich et al., 2013; Koh et al., 2007; von Rohden et al., 2010)</w:t>
      </w:r>
      <w:r w:rsidRPr="00194419">
        <w:fldChar w:fldCharType="end"/>
      </w:r>
      <w:r w:rsidRPr="00194419">
        <w:rPr>
          <w:lang w:val="de-DE"/>
        </w:rPr>
        <w:t xml:space="preserve">. </w:t>
      </w:r>
      <w:r w:rsidRPr="00194419">
        <w:t xml:space="preserve">Halite and dolomite are included among those rocks </w:t>
      </w:r>
      <w:r w:rsidRPr="00194419">
        <w:fldChar w:fldCharType="begin" w:fldLock="1"/>
      </w:r>
      <w:r w:rsidRPr="00194419">
        <w:instrText>ADDIN CSL_CITATION {"citationItems":[{"id":"ITEM-1","itemData":{"author":[{"dropping-particle":"","family":"Busenberg","given":"Eurybiades","non-dropping-particle":"","parse-names":false,"suffix":""},{"dropping-particle":"","family":"Plummer","given":"L Niel","non-dropping-particle":"","parse-names":false,"suffix":""}],"container-title":"Water Resources Research","id":"ITEM-1","issue":"10","issued":{"date-parts":[["2000"]]},"page":"3011-3030","title":"Dating young groundwater with sulfur hexafluoride: Natural and anthropogenic sources of sulfur hexafluoride","type":"article-journal","volume":"36"},"uris":["http://www.mendeley.com/documents/?uuid=e29b4a23-0e43-4b8a-a02e-626792d5514c"]}],"mendeley":{"formattedCitation":"(Busenberg and Plummer, 2000)","plainTextFormattedCitation":"(Busenberg and Plummer, 2000)","previouslyFormattedCitation":"(Busenberg and Plummer, 2000)"},"properties":{"noteIndex":0},"schema":"https://github.com/citation-style-language/schema/raw/master/csl-citation.json"}</w:instrText>
      </w:r>
      <w:r w:rsidRPr="00194419">
        <w:fldChar w:fldCharType="separate"/>
      </w:r>
      <w:r w:rsidRPr="00194419">
        <w:rPr>
          <w:noProof/>
        </w:rPr>
        <w:t>(Busenberg and Plummer, 2000)</w:t>
      </w:r>
      <w:r w:rsidRPr="00194419">
        <w:fldChar w:fldCharType="end"/>
      </w:r>
      <w:r w:rsidRPr="00194419">
        <w:t xml:space="preserve">, which are present in the studied formations. Bratton </w:t>
      </w:r>
      <w:r w:rsidRPr="00194419">
        <w:rPr>
          <w:i/>
        </w:rPr>
        <w:t>et al</w:t>
      </w:r>
      <w:r w:rsidRPr="00194419">
        <w:t xml:space="preserve">., </w:t>
      </w:r>
      <w:r w:rsidRPr="00194419">
        <w:fldChar w:fldCharType="begin" w:fldLock="1"/>
      </w:r>
      <w:r w:rsidRPr="00194419">
        <w:instrText>ADDIN CSL_CITATION {"citationItems":[{"id":"ITEM-1","itemData":{"DOI":"10.1111/j.1745-6584.2004.tb02641.x","ISBN":"0017-467X","ISSN":"0017467X","abstract":"To complement a large-scale geophysical investigation of occurrence and discharge of fresh water beneath Delaware, Maryland, and Virginia (Delmarva) coastal bays, we measured (1) salinity and nutrient concentrations in ground water samples from several offshore coring sites and (2) a suite of chemical and isotopic parameters, including age tracers, in ground water samples from a Delaware site. Samples were collected in a variety of Holocene and Plio-Pleistocene sediments in nearshore and offshore areas of the bays. Ground waters that were significantly fresher than overlying waters were found in plumes up to at least 15 m thick extending to more than 500 m offshore in some areas. Steep salinity and nutrient gradients occur within a few meters of the sediment surface in most locations studied. The zone of transition from deeper fresher waters to shallower brackish waters is generally thin near shore, but thickens and becomes more gradual offshore. Ground water ages at the Delaware site were mostly &lt; 50 yr in both fresh waters and brackish waters up to 22 m below the bay bottom. Water chemistry and age data indicate that fresh water plumes beneath the estuary are active extensions of the surficial aquifer carrying nitrate from recharge areas on land, whereas brackish ground water surrounding the fresh water plumes is recharged beneath the estuary and contains ammonium and phosphate released by diagenesis of shallow estuarine sediments. Denitrification affects some of the fresh water nitrate before it mixes with brackish ground water or discharges to surface water.","author":[{"dropping-particle":"","family":"Bratton","given":"John F.","non-dropping-particle":"","parse-names":false,"suffix":""},{"dropping-particle":"","family":"Böhlke","given":"John Karl","non-dropping-particle":"","parse-names":false,"suffix":""},{"dropping-particle":"","family":"Manheim","given":"Frank T.","non-dropping-particle":"","parse-names":false,"suffix":""},{"dropping-particle":"","family":"Krantz","given":"David E.","non-dropping-particle":"","parse-names":false,"suffix":""}],"container-title":"Ground Water","id":"ITEM-1","issue":"7","issued":{"date-parts":[["2004"]]},"page":"1021-1034","title":"Ground water beneath coastal bays of the Delmarva Peninsula: Ages and nutrients","type":"article-journal","volume":"42"},"uris":["http://www.mendeley.com/documents/?uuid=5431c50b-94f6-45f5-abbe-84f2f1e7453f"]}],"mendeley":{"formattedCitation":"(Bratton et al., 2004)","manualFormatting":"(2004)","plainTextFormattedCitation":"(Bratton et al., 2004)","previouslyFormattedCitation":"(Bratton et al., 2004)"},"properties":{"noteIndex":0},"schema":"https://github.com/citation-style-language/schema/raw/master/csl-citation.json"}</w:instrText>
      </w:r>
      <w:r w:rsidRPr="00194419">
        <w:fldChar w:fldCharType="separate"/>
      </w:r>
      <w:r w:rsidRPr="00194419">
        <w:rPr>
          <w:noProof/>
        </w:rPr>
        <w:t>(2004)</w:t>
      </w:r>
      <w:r w:rsidRPr="00194419">
        <w:fldChar w:fldCharType="end"/>
      </w:r>
      <w:r w:rsidRPr="00194419">
        <w:t xml:space="preserve"> also </w:t>
      </w:r>
      <w:r w:rsidRPr="00194419">
        <w:lastRenderedPageBreak/>
        <w:t>found SF</w:t>
      </w:r>
      <w:r w:rsidRPr="00194419">
        <w:rPr>
          <w:vertAlign w:val="subscript"/>
        </w:rPr>
        <w:t>6</w:t>
      </w:r>
      <w:r w:rsidRPr="00194419">
        <w:t xml:space="preserve"> natural levels in saline groundwater. Therefore, SF</w:t>
      </w:r>
      <w:r w:rsidRPr="00194419">
        <w:rPr>
          <w:vertAlign w:val="subscript"/>
        </w:rPr>
        <w:t>6</w:t>
      </w:r>
      <w:r w:rsidRPr="00194419">
        <w:t xml:space="preserve"> cannot be used for groundwater dating in </w:t>
      </w:r>
      <w:r w:rsidR="00EA6139" w:rsidRPr="00194419">
        <w:t xml:space="preserve">this </w:t>
      </w:r>
      <w:r w:rsidRPr="00194419">
        <w:t>study.</w:t>
      </w:r>
    </w:p>
    <w:p w14:paraId="0E8A5B42" w14:textId="41382340" w:rsidR="00766D3A" w:rsidRPr="00194419" w:rsidRDefault="00766D3A" w:rsidP="008A3630">
      <w:pPr>
        <w:spacing w:line="480" w:lineRule="auto"/>
      </w:pPr>
      <w:r w:rsidRPr="00194419">
        <w:t xml:space="preserve">CFC-12 ages are in most cases older than </w:t>
      </w:r>
      <w:r w:rsidR="0082050B" w:rsidRPr="00194419">
        <w:rPr>
          <w:vertAlign w:val="superscript"/>
        </w:rPr>
        <w:t>3</w:t>
      </w:r>
      <w:r w:rsidRPr="00194419">
        <w:t>H/</w:t>
      </w:r>
      <w:r w:rsidRPr="00194419">
        <w:rPr>
          <w:vertAlign w:val="superscript"/>
        </w:rPr>
        <w:t>3</w:t>
      </w:r>
      <w:r w:rsidRPr="00194419">
        <w:t xml:space="preserve">He </w:t>
      </w:r>
      <w:r w:rsidR="0082050B" w:rsidRPr="00194419">
        <w:t>ones</w:t>
      </w:r>
      <w:r w:rsidRPr="00194419">
        <w:t xml:space="preserve"> (Tab. </w:t>
      </w:r>
      <w:r w:rsidR="00E85DD6">
        <w:t>3</w:t>
      </w:r>
      <w:r w:rsidR="0082050B" w:rsidRPr="00194419">
        <w:t xml:space="preserve">), which </w:t>
      </w:r>
      <w:r w:rsidR="00EA6139" w:rsidRPr="00194419">
        <w:t>can be</w:t>
      </w:r>
      <w:r w:rsidR="0082050B" w:rsidRPr="00194419">
        <w:t xml:space="preserve"> attributable to </w:t>
      </w:r>
      <w:r w:rsidR="00EA6139" w:rsidRPr="00194419">
        <w:t xml:space="preserve">a </w:t>
      </w:r>
      <w:r w:rsidR="00522DDF" w:rsidRPr="00194419">
        <w:t>CFC</w:t>
      </w:r>
      <w:r w:rsidRPr="00194419">
        <w:t xml:space="preserve"> concentration </w:t>
      </w:r>
      <w:r w:rsidR="008162C7" w:rsidRPr="00194419">
        <w:t>decrease</w:t>
      </w:r>
      <w:r w:rsidR="0082050B" w:rsidRPr="00194419">
        <w:t xml:space="preserve"> in groundwater</w:t>
      </w:r>
      <w:r w:rsidRPr="00194419">
        <w:t xml:space="preserve">, at least in the cases where </w:t>
      </w:r>
      <w:r w:rsidRPr="00194419">
        <w:rPr>
          <w:vertAlign w:val="superscript"/>
        </w:rPr>
        <w:t>3</w:t>
      </w:r>
      <w:r w:rsidRPr="00194419">
        <w:t>H/</w:t>
      </w:r>
      <w:r w:rsidRPr="00194419">
        <w:rPr>
          <w:vertAlign w:val="superscript"/>
        </w:rPr>
        <w:t>3</w:t>
      </w:r>
      <w:r w:rsidRPr="00194419">
        <w:t>He</w:t>
      </w:r>
      <w:r w:rsidR="00C96763" w:rsidRPr="00194419">
        <w:t xml:space="preserve"> dating was more reliable</w:t>
      </w:r>
      <w:r w:rsidR="00EA6139" w:rsidRPr="00194419">
        <w:t>, or to unknown processes in the degassing</w:t>
      </w:r>
      <w:r w:rsidR="00C96763" w:rsidRPr="00194419">
        <w:t>.</w:t>
      </w:r>
      <w:r w:rsidRPr="00194419">
        <w:t xml:space="preserve"> As CFC-12 concentration is not likely to be affected </w:t>
      </w:r>
      <w:r w:rsidR="00C96763" w:rsidRPr="00194419">
        <w:t>by</w:t>
      </w:r>
      <w:r w:rsidR="002C5C45" w:rsidRPr="00194419">
        <w:t xml:space="preserve"> sorption</w:t>
      </w:r>
      <w:r w:rsidR="00C96763" w:rsidRPr="00194419">
        <w:t xml:space="preserve"> and is reduced by microbial d</w:t>
      </w:r>
      <w:r w:rsidR="002C5C45" w:rsidRPr="00194419">
        <w:t>egradation</w:t>
      </w:r>
      <w:r w:rsidR="00EA6139" w:rsidRPr="00194419">
        <w:t xml:space="preserve"> only in anoxic conditions</w:t>
      </w:r>
      <w:r w:rsidR="002C5C45" w:rsidRPr="00194419">
        <w:t xml:space="preserve"> </w:t>
      </w:r>
      <w:r w:rsidR="003A60B5" w:rsidRPr="00194419">
        <w:fldChar w:fldCharType="begin" w:fldLock="1"/>
      </w:r>
      <w:r w:rsidR="003A60B5" w:rsidRPr="00194419">
        <w:instrText>ADDIN CSL_CITATION {"citationItems":[{"id":"ITEM-1","itemData":{"DOI":"10.1016/S0022-1694(96)03051-X","ISBN":"0022-1694","ISSN":"00221694","abstract":"Chlorofluorocarbons, 3H/3He and 85Kr are tracers of atmospheric origin that can be used to date groundwater over periods from 0 to 40 years. In suitable aquifers, measured groundwater ages can he used to estimate groundwater flow paths, and vertical and horizontal flow velocities. In simple, piston flow systems they can be used to estimate groundwater recharge rates with an accuracy of 20% or less, better than can be achieved with traditional hydraulic-based methods. Groundwater dating methods have also been used to reconstruct past releases of contaminants to aquifers.","author":[{"dropping-particle":"","family":"Cook","given":"P. G.","non-dropping-particle":"","parse-names":false,"suffix":""},{"dropping-particle":"","family":"Solomon","given":"D. K.","non-dropping-particle":"","parse-names":false,"suffix":""}],"container-title":"Journal of Hydrology","id":"ITEM-1","issue":"1-4","issued":{"date-parts":[["1997"]]},"page":"245-265","title":"Recent advances in dating young groundwater: Chlorofluorocarbons, 3H/3He and 85Kr","type":"article-journal","volume":"191"},"uris":["http://www.mendeley.com/documents/?uuid=7651275d-259f-4e02-816d-cb8db84e50a0"]}],"mendeley":{"formattedCitation":"(Cook and Solomon, 1997)","plainTextFormattedCitation":"(Cook and Solomon, 1997)","previouslyFormattedCitation":"(Cook and Solomon, 1997)"},"properties":{"noteIndex":0},"schema":"https://github.com/citation-style-language/schema/raw/master/csl-citation.json"}</w:instrText>
      </w:r>
      <w:r w:rsidR="003A60B5" w:rsidRPr="00194419">
        <w:fldChar w:fldCharType="separate"/>
      </w:r>
      <w:r w:rsidR="003A60B5" w:rsidRPr="00194419">
        <w:rPr>
          <w:noProof/>
        </w:rPr>
        <w:t>(Cook and Solomon, 1997)</w:t>
      </w:r>
      <w:r w:rsidR="003A60B5" w:rsidRPr="00194419">
        <w:fldChar w:fldCharType="end"/>
      </w:r>
      <w:r w:rsidR="00C96763" w:rsidRPr="00194419">
        <w:t xml:space="preserve">, the differences between both dating techniques results could be due to </w:t>
      </w:r>
      <w:r w:rsidR="00EE40F5" w:rsidRPr="00194419">
        <w:t xml:space="preserve">the </w:t>
      </w:r>
      <w:r w:rsidR="00C96763" w:rsidRPr="00194419">
        <w:rPr>
          <w:noProof/>
        </w:rPr>
        <w:t>mixing</w:t>
      </w:r>
      <w:r w:rsidR="00C96763" w:rsidRPr="00194419">
        <w:t xml:space="preserve"> of </w:t>
      </w:r>
      <w:r w:rsidR="00E778BF" w:rsidRPr="00194419">
        <w:t>diverse</w:t>
      </w:r>
      <w:r w:rsidR="00C96763" w:rsidRPr="00194419">
        <w:t xml:space="preserve"> groundwater fractions</w:t>
      </w:r>
      <w:r w:rsidR="00E778BF" w:rsidRPr="00194419">
        <w:t xml:space="preserve"> with different ages</w:t>
      </w:r>
      <w:r w:rsidR="00C96763" w:rsidRPr="00194419">
        <w:t>.</w:t>
      </w:r>
      <w:r w:rsidRPr="00194419">
        <w:t xml:space="preserve"> </w:t>
      </w:r>
      <w:r w:rsidR="00C96763" w:rsidRPr="00194419">
        <w:t>I</w:t>
      </w:r>
      <w:r w:rsidRPr="00194419">
        <w:t>t must be t</w:t>
      </w:r>
      <w:r w:rsidR="00C96763" w:rsidRPr="00194419">
        <w:t xml:space="preserve">aken into account </w:t>
      </w:r>
      <w:r w:rsidR="00E778BF" w:rsidRPr="00194419">
        <w:t xml:space="preserve">that </w:t>
      </w:r>
      <w:r w:rsidRPr="00194419">
        <w:t xml:space="preserve">halocarbons are only present in modern </w:t>
      </w:r>
      <w:r w:rsidR="00C96763" w:rsidRPr="00194419">
        <w:t>ground</w:t>
      </w:r>
      <w:r w:rsidRPr="00194419">
        <w:t>water</w:t>
      </w:r>
      <w:r w:rsidR="00C96763" w:rsidRPr="00194419">
        <w:t xml:space="preserve"> so the contribution of older </w:t>
      </w:r>
      <w:r w:rsidR="005057C0">
        <w:t xml:space="preserve">CFC-free </w:t>
      </w:r>
      <w:r w:rsidR="00E778BF" w:rsidRPr="00194419">
        <w:t>water</w:t>
      </w:r>
      <w:r w:rsidR="008D52F4" w:rsidRPr="00194419">
        <w:t xml:space="preserve"> would</w:t>
      </w:r>
      <w:r w:rsidR="00E778BF" w:rsidRPr="00194419">
        <w:t xml:space="preserve"> </w:t>
      </w:r>
      <w:r w:rsidR="00C96763" w:rsidRPr="00194419">
        <w:t xml:space="preserve">reduce the tracer concentration </w:t>
      </w:r>
      <w:r w:rsidR="006A619E" w:rsidRPr="00194419">
        <w:t>at</w:t>
      </w:r>
      <w:r w:rsidR="00C96763" w:rsidRPr="00194419">
        <w:t xml:space="preserve"> the sample</w:t>
      </w:r>
      <w:r w:rsidR="00B152F2" w:rsidRPr="00194419">
        <w:t xml:space="preserve">. </w:t>
      </w:r>
      <w:r w:rsidR="008605A9" w:rsidRPr="00194419">
        <w:t xml:space="preserve">The </w:t>
      </w:r>
      <w:r w:rsidR="00B152F2" w:rsidRPr="00194419">
        <w:rPr>
          <w:vertAlign w:val="superscript"/>
        </w:rPr>
        <w:t>3</w:t>
      </w:r>
      <w:r w:rsidR="00B152F2" w:rsidRPr="00194419">
        <w:t xml:space="preserve">H analysis revealed </w:t>
      </w:r>
      <w:r w:rsidRPr="00194419">
        <w:t>that</w:t>
      </w:r>
      <w:r w:rsidR="00E778BF" w:rsidRPr="00194419">
        <w:t xml:space="preserve"> </w:t>
      </w:r>
      <w:r w:rsidRPr="00194419">
        <w:t>groundwater flow</w:t>
      </w:r>
      <w:r w:rsidR="00E778BF" w:rsidRPr="00194419">
        <w:t>s of different residence times converge</w:t>
      </w:r>
      <w:r w:rsidR="00EE40F5" w:rsidRPr="00194419">
        <w:t xml:space="preserve"> at the </w:t>
      </w:r>
      <w:r w:rsidR="00EE40F5" w:rsidRPr="00194419">
        <w:rPr>
          <w:noProof/>
        </w:rPr>
        <w:t>outlets</w:t>
      </w:r>
      <w:r w:rsidRPr="00194419">
        <w:t xml:space="preserve">. Therefore, CFC-12 </w:t>
      </w:r>
      <w:r w:rsidR="00B152F2" w:rsidRPr="00194419">
        <w:t>dating results must</w:t>
      </w:r>
      <w:r w:rsidRPr="00194419">
        <w:t xml:space="preserve"> be considered</w:t>
      </w:r>
      <w:r w:rsidR="00E778BF" w:rsidRPr="00194419">
        <w:t xml:space="preserve"> here</w:t>
      </w:r>
      <w:r w:rsidRPr="00194419">
        <w:t xml:space="preserve"> in an illustrative way, and the comparison among the CFC-12 ages of all the </w:t>
      </w:r>
      <w:r w:rsidR="00B5270F" w:rsidRPr="00194419">
        <w:t xml:space="preserve">samples </w:t>
      </w:r>
      <w:r w:rsidRPr="00194419">
        <w:t>is</w:t>
      </w:r>
      <w:r w:rsidR="00B152F2" w:rsidRPr="00194419">
        <w:t xml:space="preserve"> only</w:t>
      </w:r>
      <w:r w:rsidRPr="00194419">
        <w:t xml:space="preserve"> possible if the different mixing fractions </w:t>
      </w:r>
      <w:r w:rsidR="00B152F2" w:rsidRPr="00194419">
        <w:t xml:space="preserve">(young + old) </w:t>
      </w:r>
      <w:r w:rsidRPr="00194419">
        <w:t>are assumed to be equal in every case.</w:t>
      </w:r>
    </w:p>
    <w:p w14:paraId="1313FEFD" w14:textId="597BF13B" w:rsidR="003C3F1F" w:rsidRPr="00194419" w:rsidRDefault="007C533C" w:rsidP="008A3630">
      <w:pPr>
        <w:pStyle w:val="Prrafodelista"/>
        <w:numPr>
          <w:ilvl w:val="1"/>
          <w:numId w:val="1"/>
        </w:numPr>
        <w:spacing w:line="480" w:lineRule="auto"/>
        <w:rPr>
          <w:b/>
        </w:rPr>
      </w:pPr>
      <w:r w:rsidRPr="00194419">
        <w:rPr>
          <w:b/>
        </w:rPr>
        <w:t>M</w:t>
      </w:r>
      <w:r w:rsidR="00204E56" w:rsidRPr="00194419">
        <w:rPr>
          <w:b/>
        </w:rPr>
        <w:t xml:space="preserve">ixing </w:t>
      </w:r>
      <w:r w:rsidR="00EF08CC" w:rsidRPr="00194419">
        <w:rPr>
          <w:b/>
        </w:rPr>
        <w:t xml:space="preserve">and distribution </w:t>
      </w:r>
      <w:r w:rsidR="006F2E9E" w:rsidRPr="00194419">
        <w:rPr>
          <w:b/>
        </w:rPr>
        <w:t>model</w:t>
      </w:r>
      <w:r w:rsidR="00204E56" w:rsidRPr="00194419">
        <w:rPr>
          <w:b/>
        </w:rPr>
        <w:t>s</w:t>
      </w:r>
    </w:p>
    <w:p w14:paraId="28D6AFAE" w14:textId="5B7A8483" w:rsidR="00060390" w:rsidRDefault="00034361" w:rsidP="008A3630">
      <w:pPr>
        <w:spacing w:line="480" w:lineRule="auto"/>
      </w:pPr>
      <w:r w:rsidRPr="00194419">
        <w:t xml:space="preserve">In figure 7, </w:t>
      </w:r>
      <w:r w:rsidR="00B5270F" w:rsidRPr="00194419">
        <w:rPr>
          <w:noProof/>
        </w:rPr>
        <w:t>degassing</w:t>
      </w:r>
      <w:r w:rsidR="00B5270F" w:rsidRPr="00194419">
        <w:t xml:space="preserve"> </w:t>
      </w:r>
      <w:r w:rsidRPr="00194419">
        <w:t xml:space="preserve">corrected </w:t>
      </w:r>
      <w:r w:rsidR="001454A2" w:rsidRPr="00194419">
        <w:t xml:space="preserve">CFC-12 </w:t>
      </w:r>
      <w:r w:rsidR="001454A2" w:rsidRPr="00194419">
        <w:rPr>
          <w:i/>
        </w:rPr>
        <w:t>vs</w:t>
      </w:r>
      <w:r w:rsidR="001454A2" w:rsidRPr="00194419">
        <w:t xml:space="preserve"> </w:t>
      </w:r>
      <w:r w:rsidR="001454A2" w:rsidRPr="00194419">
        <w:rPr>
          <w:vertAlign w:val="superscript"/>
        </w:rPr>
        <w:t>3</w:t>
      </w:r>
      <w:r w:rsidR="001454A2" w:rsidRPr="00194419">
        <w:t xml:space="preserve">H </w:t>
      </w:r>
      <w:r w:rsidRPr="00194419">
        <w:t xml:space="preserve">concentrations </w:t>
      </w:r>
      <w:r w:rsidR="001454A2" w:rsidRPr="00194419">
        <w:t>are presented</w:t>
      </w:r>
      <w:r w:rsidR="00D90C44">
        <w:t xml:space="preserve">, </w:t>
      </w:r>
      <w:r w:rsidR="00D90C44" w:rsidRPr="00194419">
        <w:t>both salt-corrected</w:t>
      </w:r>
      <w:r w:rsidR="00D90C44">
        <w:t xml:space="preserve"> (i.e., expressed as concentration in freshwater)</w:t>
      </w:r>
      <w:r w:rsidRPr="00194419">
        <w:t>.</w:t>
      </w:r>
      <w:r w:rsidR="001454A2" w:rsidRPr="00194419">
        <w:t xml:space="preserve"> </w:t>
      </w:r>
      <w:r w:rsidRPr="00194419">
        <w:t xml:space="preserve">In order to explain the concentrations found in the samples, </w:t>
      </w:r>
      <w:r w:rsidRPr="00194419">
        <w:rPr>
          <w:noProof/>
        </w:rPr>
        <w:t>a</w:t>
      </w:r>
      <w:r w:rsidR="001454A2" w:rsidRPr="00194419">
        <w:t xml:space="preserve"> combine</w:t>
      </w:r>
      <w:r w:rsidR="005057C0">
        <w:t>d</w:t>
      </w:r>
      <w:r w:rsidR="001454A2" w:rsidRPr="00194419">
        <w:t xml:space="preserve"> input fu</w:t>
      </w:r>
      <w:r w:rsidR="00D304DF" w:rsidRPr="00194419">
        <w:t>n</w:t>
      </w:r>
      <w:r w:rsidR="001454A2" w:rsidRPr="00194419">
        <w:t>ction</w:t>
      </w:r>
      <w:r w:rsidRPr="00194419">
        <w:t xml:space="preserve"> of CFC-12 and </w:t>
      </w:r>
      <w:r w:rsidRPr="00194419">
        <w:rPr>
          <w:vertAlign w:val="superscript"/>
        </w:rPr>
        <w:t>3</w:t>
      </w:r>
      <w:r w:rsidRPr="00194419">
        <w:t>H</w:t>
      </w:r>
      <w:r w:rsidR="00D304DF" w:rsidRPr="00194419">
        <w:t xml:space="preserve"> </w:t>
      </w:r>
      <w:r w:rsidR="00F56D2A" w:rsidRPr="00194419">
        <w:t>(scaled</w:t>
      </w:r>
      <w:r w:rsidR="00403A95" w:rsidRPr="00194419">
        <w:t xml:space="preserve"> </w:t>
      </w:r>
      <w:r w:rsidR="00D304DF" w:rsidRPr="00194419">
        <w:t>to 2016</w:t>
      </w:r>
      <w:r w:rsidR="00F56D2A" w:rsidRPr="00194419">
        <w:t>)</w:t>
      </w:r>
      <w:r w:rsidR="00D304DF" w:rsidRPr="00194419">
        <w:t xml:space="preserve"> </w:t>
      </w:r>
      <w:r w:rsidR="00865D8C" w:rsidRPr="00194419">
        <w:t>is shown</w:t>
      </w:r>
      <w:r w:rsidRPr="00194419">
        <w:t xml:space="preserve">, </w:t>
      </w:r>
      <w:r w:rsidR="00D304DF" w:rsidRPr="00194419">
        <w:t>which is equivalent to the temporal evolution of both tracers in unmixed young groundwater (F</w:t>
      </w:r>
      <w:r w:rsidR="00D304DF" w:rsidRPr="00194419">
        <w:rPr>
          <w:vertAlign w:val="subscript"/>
        </w:rPr>
        <w:t>young</w:t>
      </w:r>
      <w:r w:rsidR="00D304DF" w:rsidRPr="00194419">
        <w:t xml:space="preserve"> = 100%)</w:t>
      </w:r>
      <w:r w:rsidR="00403A95" w:rsidRPr="00194419">
        <w:t>. All samples are bel</w:t>
      </w:r>
      <w:r w:rsidR="00D304DF" w:rsidRPr="00194419">
        <w:t>ow the 100% F</w:t>
      </w:r>
      <w:r w:rsidR="00D304DF" w:rsidRPr="00194419">
        <w:rPr>
          <w:vertAlign w:val="subscript"/>
        </w:rPr>
        <w:t>young</w:t>
      </w:r>
      <w:r w:rsidR="00D304DF" w:rsidRPr="00194419">
        <w:t xml:space="preserve"> </w:t>
      </w:r>
      <w:r w:rsidR="00A642AA" w:rsidRPr="00194419">
        <w:t xml:space="preserve">input </w:t>
      </w:r>
      <w:r w:rsidR="00D304DF" w:rsidRPr="00194419">
        <w:t xml:space="preserve">function, revealing that </w:t>
      </w:r>
      <w:r w:rsidR="00C1022D" w:rsidRPr="00194419">
        <w:t xml:space="preserve">they also contain </w:t>
      </w:r>
      <w:r w:rsidR="00A81499" w:rsidRPr="00194419">
        <w:t xml:space="preserve">a </w:t>
      </w:r>
      <w:r w:rsidR="00C1022D" w:rsidRPr="00194419">
        <w:rPr>
          <w:noProof/>
        </w:rPr>
        <w:t>certain</w:t>
      </w:r>
      <w:r w:rsidR="00C1022D" w:rsidRPr="00194419">
        <w:t xml:space="preserve"> amount of F</w:t>
      </w:r>
      <w:r w:rsidR="00C1022D" w:rsidRPr="00194419">
        <w:rPr>
          <w:vertAlign w:val="subscript"/>
        </w:rPr>
        <w:t>old</w:t>
      </w:r>
      <w:r w:rsidR="00865D8C" w:rsidRPr="00194419">
        <w:t xml:space="preserve"> (i.e.: infiltrated before the 1940’s decade)</w:t>
      </w:r>
      <w:r w:rsidR="00C1022D" w:rsidRPr="00194419">
        <w:t xml:space="preserve">. </w:t>
      </w:r>
      <w:r w:rsidR="00A642AA" w:rsidRPr="00194419">
        <w:t>J3, B2,</w:t>
      </w:r>
      <w:r w:rsidR="006A6E98" w:rsidRPr="00194419">
        <w:t xml:space="preserve"> and</w:t>
      </w:r>
      <w:r w:rsidR="00A642AA" w:rsidRPr="00194419">
        <w:t xml:space="preserve"> H3 samples</w:t>
      </w:r>
      <w:r w:rsidR="00E06650" w:rsidRPr="00194419">
        <w:t>, as well as J1 during discharge rise,</w:t>
      </w:r>
      <w:r w:rsidR="00A642AA" w:rsidRPr="00194419">
        <w:t xml:space="preserve"> </w:t>
      </w:r>
      <w:r w:rsidR="00060390" w:rsidRPr="00194419">
        <w:t xml:space="preserve">show </w:t>
      </w:r>
      <w:r w:rsidR="00A81499" w:rsidRPr="00194419">
        <w:t xml:space="preserve">a </w:t>
      </w:r>
      <w:r w:rsidR="00060390" w:rsidRPr="00194419">
        <w:rPr>
          <w:noProof/>
        </w:rPr>
        <w:t>greater</w:t>
      </w:r>
      <w:r w:rsidR="00060390" w:rsidRPr="00194419">
        <w:t xml:space="preserve"> proportion of F</w:t>
      </w:r>
      <w:r w:rsidR="00060390" w:rsidRPr="00194419">
        <w:rPr>
          <w:vertAlign w:val="subscript"/>
        </w:rPr>
        <w:t>young</w:t>
      </w:r>
      <w:r w:rsidR="006A6E98" w:rsidRPr="00194419">
        <w:t xml:space="preserve"> (≥ 65%)</w:t>
      </w:r>
      <w:r w:rsidR="00060390" w:rsidRPr="00194419">
        <w:t>, while B</w:t>
      </w:r>
      <w:r w:rsidR="00E06650" w:rsidRPr="00194419">
        <w:t>3</w:t>
      </w:r>
      <w:r w:rsidR="00060390" w:rsidRPr="00194419">
        <w:t>, H2, T3</w:t>
      </w:r>
      <w:r w:rsidR="00E06650" w:rsidRPr="00194419">
        <w:t>, and J1 in depletion conditions</w:t>
      </w:r>
      <w:r w:rsidR="00060390" w:rsidRPr="00194419">
        <w:t xml:space="preserve"> would have </w:t>
      </w:r>
      <w:r w:rsidR="00060390" w:rsidRPr="00194419">
        <w:lastRenderedPageBreak/>
        <w:t>F</w:t>
      </w:r>
      <w:r w:rsidR="00060390" w:rsidRPr="00194419">
        <w:rPr>
          <w:vertAlign w:val="subscript"/>
        </w:rPr>
        <w:t>old</w:t>
      </w:r>
      <w:r w:rsidR="00344C10" w:rsidRPr="00194419">
        <w:t xml:space="preserve"> &gt; </w:t>
      </w:r>
      <w:r w:rsidR="006A6E98" w:rsidRPr="00194419">
        <w:t>4</w:t>
      </w:r>
      <w:r w:rsidR="00344C10" w:rsidRPr="00194419">
        <w:t>0%</w:t>
      </w:r>
      <w:r w:rsidR="006A6E98" w:rsidRPr="00194419">
        <w:t xml:space="preserve"> (Tab. </w:t>
      </w:r>
      <w:r w:rsidR="00E85DD6">
        <w:t>4</w:t>
      </w:r>
      <w:r w:rsidR="006A6E98" w:rsidRPr="00194419">
        <w:t>)</w:t>
      </w:r>
      <w:r w:rsidR="00344C10" w:rsidRPr="00194419">
        <w:t>.</w:t>
      </w:r>
      <w:r w:rsidR="00060390" w:rsidRPr="00194419">
        <w:t xml:space="preserve"> </w:t>
      </w:r>
      <w:r w:rsidR="00E06650" w:rsidRPr="00194419">
        <w:t>Thus</w:t>
      </w:r>
      <w:r w:rsidR="006A6E98" w:rsidRPr="00194419">
        <w:t>, J1 shows a reduction of its F</w:t>
      </w:r>
      <w:r w:rsidR="006A6E98" w:rsidRPr="00194419">
        <w:rPr>
          <w:vertAlign w:val="subscript"/>
        </w:rPr>
        <w:t>young</w:t>
      </w:r>
      <w:r w:rsidR="006A6E98" w:rsidRPr="00194419">
        <w:t xml:space="preserve"> during depletion conditions. </w:t>
      </w:r>
      <w:r w:rsidR="00060390" w:rsidRPr="00194419">
        <w:t xml:space="preserve">In order to estimate the </w:t>
      </w:r>
      <w:r w:rsidR="00D44A9E" w:rsidRPr="00194419">
        <w:t>amount</w:t>
      </w:r>
      <w:r w:rsidR="00060390" w:rsidRPr="00194419">
        <w:t xml:space="preserve"> of F</w:t>
      </w:r>
      <w:r w:rsidR="00060390" w:rsidRPr="00194419">
        <w:rPr>
          <w:vertAlign w:val="subscript"/>
        </w:rPr>
        <w:t>young</w:t>
      </w:r>
      <w:r w:rsidR="00060390" w:rsidRPr="00194419">
        <w:t xml:space="preserve"> and F</w:t>
      </w:r>
      <w:r w:rsidR="00060390" w:rsidRPr="00194419">
        <w:rPr>
          <w:vertAlign w:val="subscript"/>
        </w:rPr>
        <w:t>old</w:t>
      </w:r>
      <w:r w:rsidR="00060390" w:rsidRPr="00194419">
        <w:t xml:space="preserve"> </w:t>
      </w:r>
      <w:r w:rsidR="00D44A9E" w:rsidRPr="00194419">
        <w:t>in each sample, binary mixing lines were drawn, from the origin, representing F</w:t>
      </w:r>
      <w:r w:rsidR="00F82773" w:rsidRPr="00194419">
        <w:rPr>
          <w:vertAlign w:val="subscript"/>
        </w:rPr>
        <w:t>old</w:t>
      </w:r>
      <w:r w:rsidR="00D44A9E" w:rsidRPr="00194419">
        <w:t>, to different points in the 100% F</w:t>
      </w:r>
      <w:r w:rsidR="00D44A9E" w:rsidRPr="00194419">
        <w:rPr>
          <w:vertAlign w:val="subscript"/>
        </w:rPr>
        <w:t>young</w:t>
      </w:r>
      <w:r w:rsidR="00D44A9E" w:rsidRPr="00194419">
        <w:t xml:space="preserve"> f</w:t>
      </w:r>
      <w:r w:rsidR="00F82773" w:rsidRPr="00194419">
        <w:t>unction that are associated to specific</w:t>
      </w:r>
      <w:r w:rsidR="00D44A9E" w:rsidRPr="00194419">
        <w:t xml:space="preserve"> recharge date</w:t>
      </w:r>
      <w:r w:rsidR="00F82773" w:rsidRPr="00194419">
        <w:t>s</w:t>
      </w:r>
      <w:r w:rsidR="00D44A9E" w:rsidRPr="00194419">
        <w:t xml:space="preserve"> (figure 7), as well as to </w:t>
      </w:r>
      <w:r w:rsidR="00F82773" w:rsidRPr="00194419">
        <w:t>distinct</w:t>
      </w:r>
      <w:r w:rsidR="00D44A9E" w:rsidRPr="00194419">
        <w:t xml:space="preserve"> CFC-12 and </w:t>
      </w:r>
      <w:r w:rsidR="00D44A9E" w:rsidRPr="00194419">
        <w:rPr>
          <w:vertAlign w:val="superscript"/>
        </w:rPr>
        <w:t>3</w:t>
      </w:r>
      <w:r w:rsidR="00D44A9E" w:rsidRPr="00194419">
        <w:t xml:space="preserve">H concentrations. </w:t>
      </w:r>
      <w:r w:rsidR="005B5D60" w:rsidRPr="00194419">
        <w:t xml:space="preserve">However, </w:t>
      </w:r>
      <w:r w:rsidR="003E0A03" w:rsidRPr="00194419">
        <w:t xml:space="preserve">the </w:t>
      </w:r>
      <w:r w:rsidR="005B5D60" w:rsidRPr="00194419">
        <w:t xml:space="preserve">decay corrected concentration </w:t>
      </w:r>
      <w:r w:rsidR="003E0A03" w:rsidRPr="00194419">
        <w:t xml:space="preserve">of </w:t>
      </w:r>
      <w:r w:rsidR="003E0A03" w:rsidRPr="00194419">
        <w:rPr>
          <w:vertAlign w:val="superscript"/>
        </w:rPr>
        <w:t>3</w:t>
      </w:r>
      <w:r w:rsidR="003E0A03" w:rsidRPr="00194419">
        <w:t>H in</w:t>
      </w:r>
      <w:r w:rsidR="005B5D60" w:rsidRPr="00194419">
        <w:t xml:space="preserve"> precipitation and the atmospheric </w:t>
      </w:r>
      <w:r w:rsidR="00112949" w:rsidRPr="00194419">
        <w:t>mixing ratio</w:t>
      </w:r>
      <w:r w:rsidR="00D1364B" w:rsidRPr="00194419">
        <w:t xml:space="preserve"> of CFC-12</w:t>
      </w:r>
      <w:r w:rsidR="00113B7E" w:rsidRPr="00194419">
        <w:t xml:space="preserve"> </w:t>
      </w:r>
      <w:r w:rsidR="00865D8C" w:rsidRPr="00194419">
        <w:t>show only</w:t>
      </w:r>
      <w:r w:rsidR="00113B7E" w:rsidRPr="00194419">
        <w:t xml:space="preserve"> slight variations since the </w:t>
      </w:r>
      <w:r w:rsidR="00D609C0" w:rsidRPr="00194419">
        <w:t xml:space="preserve">middle of the </w:t>
      </w:r>
      <w:r w:rsidR="00A81499" w:rsidRPr="00194419">
        <w:rPr>
          <w:noProof/>
        </w:rPr>
        <w:t>’80</w:t>
      </w:r>
      <w:r w:rsidR="00113B7E" w:rsidRPr="00194419">
        <w:rPr>
          <w:noProof/>
        </w:rPr>
        <w:t>s</w:t>
      </w:r>
      <w:r w:rsidR="00A867AA">
        <w:rPr>
          <w:noProof/>
        </w:rPr>
        <w:t xml:space="preserve"> and the early ‘90s</w:t>
      </w:r>
      <w:r w:rsidR="003E0A03" w:rsidRPr="00194419">
        <w:t>,</w:t>
      </w:r>
      <w:r w:rsidR="00A867AA">
        <w:t xml:space="preserve"> respectively.</w:t>
      </w:r>
      <w:r w:rsidR="00113B7E" w:rsidRPr="00194419">
        <w:t xml:space="preserve"> </w:t>
      </w:r>
      <w:r w:rsidR="00A867AA">
        <w:t>Thus,</w:t>
      </w:r>
      <w:r w:rsidR="00113B7E" w:rsidRPr="00194419">
        <w:t xml:space="preserve"> </w:t>
      </w:r>
      <w:r w:rsidR="00F57571" w:rsidRPr="00194419">
        <w:t xml:space="preserve">the different fractions of </w:t>
      </w:r>
      <w:r w:rsidR="00113B7E" w:rsidRPr="00194419">
        <w:t>water recharge</w:t>
      </w:r>
      <w:r w:rsidR="00F57571" w:rsidRPr="00194419">
        <w:t>d</w:t>
      </w:r>
      <w:r w:rsidR="00113B7E" w:rsidRPr="00194419">
        <w:t xml:space="preserve"> after that </w:t>
      </w:r>
      <w:r w:rsidR="00A867AA">
        <w:t>period</w:t>
      </w:r>
      <w:r w:rsidR="00A867AA" w:rsidRPr="00194419">
        <w:t xml:space="preserve"> </w:t>
      </w:r>
      <w:r w:rsidR="00F57571" w:rsidRPr="00194419">
        <w:t xml:space="preserve">are </w:t>
      </w:r>
      <w:r w:rsidR="00113B7E" w:rsidRPr="00194419">
        <w:t>hard</w:t>
      </w:r>
      <w:r w:rsidR="00F57571" w:rsidRPr="00194419">
        <w:t xml:space="preserve"> to estimate</w:t>
      </w:r>
      <w:r w:rsidR="00113B7E" w:rsidRPr="00194419">
        <w:t xml:space="preserve"> using B</w:t>
      </w:r>
      <w:r w:rsidR="00E06650" w:rsidRPr="00194419">
        <w:t xml:space="preserve">inary </w:t>
      </w:r>
      <w:r w:rsidR="00113B7E" w:rsidRPr="00194419">
        <w:t>M</w:t>
      </w:r>
      <w:r w:rsidR="00E06650" w:rsidRPr="00194419">
        <w:t xml:space="preserve">ixing </w:t>
      </w:r>
      <w:r w:rsidR="00113B7E" w:rsidRPr="00194419">
        <w:t>M</w:t>
      </w:r>
      <w:r w:rsidR="00E06650" w:rsidRPr="00194419">
        <w:t>odels (BMM)</w:t>
      </w:r>
      <w:r w:rsidR="00113B7E" w:rsidRPr="00194419">
        <w:t xml:space="preserve"> based on </w:t>
      </w:r>
      <w:r w:rsidR="00113B7E" w:rsidRPr="00194419">
        <w:rPr>
          <w:vertAlign w:val="superscript"/>
        </w:rPr>
        <w:t>3</w:t>
      </w:r>
      <w:r w:rsidR="00113B7E" w:rsidRPr="00194419">
        <w:t>H and CFC</w:t>
      </w:r>
      <w:r w:rsidR="00E06650" w:rsidRPr="00194419">
        <w:noBreakHyphen/>
      </w:r>
      <w:r w:rsidR="00113B7E" w:rsidRPr="00194419">
        <w:t>12.</w:t>
      </w:r>
      <w:r w:rsidR="003E0A03" w:rsidRPr="00194419">
        <w:t xml:space="preserve"> </w:t>
      </w:r>
      <w:r w:rsidR="00113B7E" w:rsidRPr="00194419">
        <w:t>Therefore</w:t>
      </w:r>
      <w:r w:rsidR="00BD0B0D" w:rsidRPr="00194419">
        <w:t>,</w:t>
      </w:r>
      <w:r w:rsidR="00113B7E" w:rsidRPr="00194419">
        <w:t xml:space="preserve"> multiple</w:t>
      </w:r>
      <w:r w:rsidR="003E0A03" w:rsidRPr="00194419">
        <w:t xml:space="preserve"> mixing lines were possible </w:t>
      </w:r>
      <w:r w:rsidR="00113B7E" w:rsidRPr="00194419">
        <w:t>when F</w:t>
      </w:r>
      <w:r w:rsidR="00113B7E" w:rsidRPr="00194419">
        <w:rPr>
          <w:vertAlign w:val="subscript"/>
        </w:rPr>
        <w:t>young</w:t>
      </w:r>
      <w:r w:rsidR="00113B7E" w:rsidRPr="00194419">
        <w:t xml:space="preserve"> was recharged after 19</w:t>
      </w:r>
      <w:r w:rsidR="00D609C0" w:rsidRPr="00194419">
        <w:t>85</w:t>
      </w:r>
      <w:r w:rsidR="003E0A03" w:rsidRPr="00194419">
        <w:t xml:space="preserve">. </w:t>
      </w:r>
      <w:r w:rsidR="00113B7E" w:rsidRPr="00194419">
        <w:t>Nonetheless, t</w:t>
      </w:r>
      <w:r w:rsidR="003E0A03" w:rsidRPr="00194419">
        <w:t>he explained analysis</w:t>
      </w:r>
      <w:r w:rsidR="00D44A9E" w:rsidRPr="00194419">
        <w:t xml:space="preserve"> </w:t>
      </w:r>
      <w:r w:rsidR="00F57571" w:rsidRPr="00194419">
        <w:t xml:space="preserve">permits </w:t>
      </w:r>
      <w:r w:rsidR="00D44A9E" w:rsidRPr="00194419">
        <w:t xml:space="preserve">to quantify the percentage of </w:t>
      </w:r>
      <w:r w:rsidR="003E0A03" w:rsidRPr="00194419">
        <w:t>both</w:t>
      </w:r>
      <w:r w:rsidR="00D44A9E" w:rsidRPr="00194419">
        <w:t xml:space="preserve"> fraction</w:t>
      </w:r>
      <w:r w:rsidR="003E0A03" w:rsidRPr="00194419">
        <w:t>s</w:t>
      </w:r>
      <w:r w:rsidR="00D44A9E" w:rsidRPr="00194419">
        <w:t xml:space="preserve"> </w:t>
      </w:r>
      <w:r w:rsidR="00F82773" w:rsidRPr="00194419">
        <w:t>in</w:t>
      </w:r>
      <w:r w:rsidR="00D44A9E" w:rsidRPr="00194419">
        <w:t xml:space="preserve"> the BMM</w:t>
      </w:r>
      <w:r w:rsidR="00F82773" w:rsidRPr="00194419">
        <w:t>s</w:t>
      </w:r>
      <w:r w:rsidR="00D44A9E" w:rsidRPr="00194419">
        <w:t xml:space="preserve"> and to approximate </w:t>
      </w:r>
      <w:r w:rsidR="003E0A03" w:rsidRPr="00194419">
        <w:t xml:space="preserve">apparent dates for </w:t>
      </w:r>
      <w:r w:rsidR="00F82773" w:rsidRPr="00194419">
        <w:t>the</w:t>
      </w:r>
      <w:r w:rsidR="003E0A03" w:rsidRPr="00194419">
        <w:t xml:space="preserve"> F</w:t>
      </w:r>
      <w:r w:rsidR="003E0A03" w:rsidRPr="00194419">
        <w:rPr>
          <w:vertAlign w:val="subscript"/>
        </w:rPr>
        <w:t>young</w:t>
      </w:r>
      <w:r w:rsidR="003E0A03" w:rsidRPr="00194419">
        <w:t xml:space="preserve"> </w:t>
      </w:r>
      <w:r w:rsidR="00F82773" w:rsidRPr="00194419">
        <w:t xml:space="preserve">of each sample </w:t>
      </w:r>
      <w:r w:rsidR="003E0A03" w:rsidRPr="00194419">
        <w:t xml:space="preserve">(Tab. </w:t>
      </w:r>
      <w:r w:rsidR="00E85DD6">
        <w:t>4</w:t>
      </w:r>
      <w:r w:rsidR="003E0A03" w:rsidRPr="00194419">
        <w:t>).</w:t>
      </w:r>
    </w:p>
    <w:p w14:paraId="724F7675" w14:textId="0ED0F299" w:rsidR="00BB4B30" w:rsidRDefault="008162C7" w:rsidP="008A3630">
      <w:pPr>
        <w:spacing w:line="480" w:lineRule="auto"/>
      </w:pPr>
      <w:r w:rsidRPr="00194419">
        <w:t xml:space="preserve">According to the BMM results (Tab. </w:t>
      </w:r>
      <w:r w:rsidR="00E85DD6">
        <w:t>4</w:t>
      </w:r>
      <w:r w:rsidRPr="00194419">
        <w:t xml:space="preserve">), the spring that drains a </w:t>
      </w:r>
      <w:r w:rsidRPr="00194419">
        <w:rPr>
          <w:noProof/>
        </w:rPr>
        <w:t>greater</w:t>
      </w:r>
      <w:r w:rsidRPr="00194419">
        <w:t xml:space="preserve"> amount of tracer-free groundwater is J1 in depletion conditions (65% of F</w:t>
      </w:r>
      <w:r w:rsidRPr="00194419">
        <w:rPr>
          <w:vertAlign w:val="subscript"/>
        </w:rPr>
        <w:t>old</w:t>
      </w:r>
      <w:r w:rsidRPr="00194419">
        <w:t xml:space="preserve">). The outlets that have water with </w:t>
      </w:r>
      <w:r w:rsidRPr="00194419">
        <w:rPr>
          <w:noProof/>
        </w:rPr>
        <w:t>older</w:t>
      </w:r>
      <w:r w:rsidRPr="00194419">
        <w:t xml:space="preserve"> F</w:t>
      </w:r>
      <w:r w:rsidRPr="00194419">
        <w:rPr>
          <w:vertAlign w:val="subscript"/>
        </w:rPr>
        <w:t>young</w:t>
      </w:r>
      <w:r w:rsidRPr="00194419">
        <w:t xml:space="preserve"> are B3 (1970) and T3 (1972). The results of T3, B3 H2, and one J1 (depletion) samples are in the same order. On the contrary, most of the water (85%) in the </w:t>
      </w:r>
      <w:r w:rsidRPr="00194419">
        <w:rPr>
          <w:noProof/>
        </w:rPr>
        <w:t>B2</w:t>
      </w:r>
      <w:r w:rsidRPr="00194419">
        <w:t xml:space="preserve"> sample is modern, although its recharge date is one of the oldest (1976). Similar results are found in J3 and H3 samples. In general terms, those springs located in the lowest positions of each study area drain greater F</w:t>
      </w:r>
      <w:r w:rsidRPr="00194419">
        <w:rPr>
          <w:vertAlign w:val="subscript"/>
        </w:rPr>
        <w:t>old</w:t>
      </w:r>
      <w:r w:rsidRPr="00194419">
        <w:t xml:space="preserve"> and older F</w:t>
      </w:r>
      <w:r w:rsidRPr="00194419">
        <w:rPr>
          <w:vertAlign w:val="subscript"/>
        </w:rPr>
        <w:t>young</w:t>
      </w:r>
      <w:r w:rsidRPr="00194419">
        <w:t xml:space="preserve"> (Tab. </w:t>
      </w:r>
      <w:r w:rsidR="00E85DD6">
        <w:t>4</w:t>
      </w:r>
      <w:r w:rsidRPr="00194419">
        <w:t xml:space="preserve">), excepting Brujuelo area. The latter would be related to the fact that Don Benito spring (B3) is positioned in a different groundwater flowpath than the rest of the sampling points in the area </w:t>
      </w:r>
      <w:r w:rsidRPr="00194419">
        <w:fldChar w:fldCharType="begin" w:fldLock="1"/>
      </w:r>
      <w:r w:rsidRPr="00194419">
        <w:instrText>ADDIN CSL_CITATION {"citationItems":[{"id":"ITEM-1","itemData":{"DOI":"10.1016/j.jhydrol.2016.11.062","ISSN":"00221694","author":[{"dropping-particle":"","family":"Gil-Márquez","given":"J.M.","non-dropping-particle":"","parse-names":false,"suffix":""},{"dropping-particle":"","family":"Barberá","given":"J.A.","non-dropping-particle":"","parse-names":false,"suffix":""},{"dropping-particle":"","family":"Andreo","given":"B.","non-dropping-particle":"","parse-names":false,"suffix":""},{"dropping-particle":"","family":"Mudarra","given":"M.","non-dropping-particle":"","parse-names":false,"suffix":""}],"container-title":"Journal of Hydrology","id":"ITEM-1","issue":"1","issued":{"date-parts":[["2017"]]},"page":"538-554","title":"Hydrological and geochemical processes constraining groundwater salinity in wetland areas related to evaporitic (karst) systems. A case study from Southern Spain","type":"article-journal","volume":"544"},"uris":["http://www.mendeley.com/documents/?uuid=8e962595-dee3-4ce0-ad26-66ab9d704bfc"]}],"mendeley":{"formattedCitation":"(Gil-Márquez et al., 2017)","manualFormatting":"(Gil-Márquez et al., 2017b","plainTextFormattedCitation":"(Gil-Márquez et al., 2017)","previouslyFormattedCitation":"(Gil-Márquez et al., 2017)"},"properties":{"noteIndex":0},"schema":"https://github.com/citation-style-language/schema/raw/master/csl-citation.json"}</w:instrText>
      </w:r>
      <w:r w:rsidRPr="00194419">
        <w:fldChar w:fldCharType="separate"/>
      </w:r>
      <w:r w:rsidRPr="00194419">
        <w:rPr>
          <w:noProof/>
        </w:rPr>
        <w:t>(Gil-Márquez et al., 2017b</w:t>
      </w:r>
      <w:r w:rsidRPr="00194419">
        <w:fldChar w:fldCharType="end"/>
      </w:r>
      <w:r w:rsidRPr="00194419">
        <w:t xml:space="preserve"> &amp; Fig. 1D)</w:t>
      </w:r>
      <w:r w:rsidR="00FE1E73">
        <w:t>.</w:t>
      </w:r>
    </w:p>
    <w:p w14:paraId="5166BEA7" w14:textId="1731B744" w:rsidR="00BB4B30" w:rsidRPr="00194419" w:rsidRDefault="00BB4B30" w:rsidP="00BB4B30">
      <w:pPr>
        <w:spacing w:line="480" w:lineRule="auto"/>
      </w:pPr>
      <w:r>
        <w:t xml:space="preserve">The effect of salinity and temperature on the estimation of the CFC-12 mixing ratios is shown in figure 7 as error bars. The higher the concentration of CFC-12 is the greater error </w:t>
      </w:r>
      <w:r>
        <w:lastRenderedPageBreak/>
        <w:t xml:space="preserve">exists. However, the larger CFC-12 concentrations are found in samples close to the input function. On the one hand, the error for those samples that plot within mixing lines before 1985 </w:t>
      </w:r>
      <w:r w:rsidR="009423F7">
        <w:t xml:space="preserve">(J3 and B2) </w:t>
      </w:r>
      <w:r>
        <w:t xml:space="preserve">does not affect the estimated </w:t>
      </w:r>
      <w:r w:rsidR="009423F7">
        <w:t xml:space="preserve">age more than two years, as the registered changes of CFC-12 and </w:t>
      </w:r>
      <w:r w:rsidR="009423F7" w:rsidRPr="00444A13">
        <w:rPr>
          <w:vertAlign w:val="superscript"/>
        </w:rPr>
        <w:t>3</w:t>
      </w:r>
      <w:r w:rsidR="009423F7">
        <w:t xml:space="preserve">H concentrations in the atmosphere back in that time were significant. On the other hand, the error of the samples plotting over mixing lines from 1985 to the present (J1 and H3) can nearly reach 30 years. However, </w:t>
      </w:r>
      <w:r w:rsidR="00DD7254">
        <w:t>as it was explained before, that is approximately the error that is caused by</w:t>
      </w:r>
      <w:r w:rsidR="009423F7">
        <w:t xml:space="preserve"> the slight variations of the input functions in the last few decades </w:t>
      </w:r>
      <w:r w:rsidR="00DD7254">
        <w:t>give rise to a similar error in the possible mixing results.</w:t>
      </w:r>
      <w:r w:rsidR="009423F7">
        <w:t xml:space="preserve"> </w:t>
      </w:r>
      <w:r w:rsidR="00DD7254">
        <w:t>Thus, the salinity effect would not change the conclusion obtained from the binary mixing model.</w:t>
      </w:r>
    </w:p>
    <w:p w14:paraId="397282CD" w14:textId="3228E0EF" w:rsidR="00605455" w:rsidRDefault="00605455" w:rsidP="008A3630">
      <w:pPr>
        <w:spacing w:line="480" w:lineRule="auto"/>
      </w:pPr>
      <w:r w:rsidRPr="00194419">
        <w:t>The groundwater age distribution of all the considered samples could be calculated by applying S</w:t>
      </w:r>
      <w:r w:rsidR="00A261A7" w:rsidRPr="00194419">
        <w:t>hape-</w:t>
      </w:r>
      <w:r w:rsidR="00F57571" w:rsidRPr="00194419">
        <w:t xml:space="preserve">Free Models </w:t>
      </w:r>
      <w:r w:rsidR="00A261A7" w:rsidRPr="00194419">
        <w:t xml:space="preserve">–SFM- </w:t>
      </w:r>
      <w:r w:rsidRPr="00194419">
        <w:t xml:space="preserve">(Tab. </w:t>
      </w:r>
      <w:r w:rsidR="00E85DD6">
        <w:t>4</w:t>
      </w:r>
      <w:r w:rsidR="00E85DD6" w:rsidRPr="00194419">
        <w:t xml:space="preserve"> </w:t>
      </w:r>
      <w:r w:rsidRPr="00194419">
        <w:t xml:space="preserve">&amp; Fig. 8). The distribution of ages </w:t>
      </w:r>
      <w:r w:rsidRPr="00194419">
        <w:rPr>
          <w:noProof/>
        </w:rPr>
        <w:t>var</w:t>
      </w:r>
      <w:r w:rsidR="00A81499" w:rsidRPr="00194419">
        <w:rPr>
          <w:noProof/>
        </w:rPr>
        <w:t>ies</w:t>
      </w:r>
      <w:r w:rsidRPr="00194419">
        <w:t xml:space="preserve"> notably depending on the case, from those samples with </w:t>
      </w:r>
      <w:r w:rsidR="00A81499" w:rsidRPr="00194419">
        <w:t xml:space="preserve">a </w:t>
      </w:r>
      <w:r w:rsidRPr="00194419">
        <w:rPr>
          <w:noProof/>
        </w:rPr>
        <w:t>greater</w:t>
      </w:r>
      <w:r w:rsidRPr="00194419">
        <w:t xml:space="preserve"> proportion of </w:t>
      </w:r>
      <w:r w:rsidR="008E51DC" w:rsidRPr="00194419">
        <w:t>15</w:t>
      </w:r>
      <w:r w:rsidR="00461C64" w:rsidRPr="00194419">
        <w:t>-</w:t>
      </w:r>
      <w:r w:rsidRPr="00194419">
        <w:t xml:space="preserve">year-old groundwater (H3 and J1 during </w:t>
      </w:r>
      <w:r w:rsidR="008E51DC" w:rsidRPr="00194419">
        <w:t>flooding</w:t>
      </w:r>
      <w:r w:rsidRPr="00194419">
        <w:t xml:space="preserve">) to those with </w:t>
      </w:r>
      <w:r w:rsidR="00461C64" w:rsidRPr="00194419">
        <w:t>a higher</w:t>
      </w:r>
      <w:r w:rsidRPr="00194419">
        <w:t xml:space="preserve"> fraction of </w:t>
      </w:r>
      <w:r w:rsidR="00461C64" w:rsidRPr="00194419">
        <w:t>75-year-old groundwater</w:t>
      </w:r>
      <w:r w:rsidRPr="00194419">
        <w:t xml:space="preserve"> (T3, B3, H2 and J1 during depletion).</w:t>
      </w:r>
      <w:r w:rsidR="00F57571" w:rsidRPr="00194419">
        <w:t xml:space="preserve"> In</w:t>
      </w:r>
      <w:r w:rsidRPr="00194419">
        <w:t xml:space="preserve"> </w:t>
      </w:r>
      <w:r w:rsidR="00461C64" w:rsidRPr="00194419">
        <w:t xml:space="preserve">J3 </w:t>
      </w:r>
      <w:r w:rsidR="00F57571" w:rsidRPr="00194419">
        <w:t>the three bins have similar values</w:t>
      </w:r>
      <w:r w:rsidRPr="00194419">
        <w:t xml:space="preserve">, while </w:t>
      </w:r>
      <w:r w:rsidR="00461C64" w:rsidRPr="00194419">
        <w:t xml:space="preserve">B2 </w:t>
      </w:r>
      <w:r w:rsidRPr="00194419">
        <w:t>accumulate</w:t>
      </w:r>
      <w:r w:rsidR="00461C64" w:rsidRPr="00194419">
        <w:t>s</w:t>
      </w:r>
      <w:r w:rsidRPr="00194419">
        <w:t xml:space="preserve"> </w:t>
      </w:r>
      <w:r w:rsidR="00A81499" w:rsidRPr="00194419">
        <w:t xml:space="preserve">a </w:t>
      </w:r>
      <w:r w:rsidRPr="00194419">
        <w:rPr>
          <w:noProof/>
        </w:rPr>
        <w:t>high</w:t>
      </w:r>
      <w:r w:rsidRPr="00194419">
        <w:t xml:space="preserve"> proportion of intermediate age water, </w:t>
      </w:r>
      <w:r w:rsidR="00461C64" w:rsidRPr="00194419">
        <w:t xml:space="preserve">of </w:t>
      </w:r>
      <w:r w:rsidRPr="00194419">
        <w:t>4</w:t>
      </w:r>
      <w:r w:rsidR="00461C64" w:rsidRPr="00194419">
        <w:t>5</w:t>
      </w:r>
      <w:r w:rsidRPr="00194419">
        <w:t xml:space="preserve"> year</w:t>
      </w:r>
      <w:r w:rsidR="00461C64" w:rsidRPr="00194419">
        <w:t>s</w:t>
      </w:r>
      <w:r w:rsidRPr="00194419">
        <w:t xml:space="preserve"> (Fig. 8).</w:t>
      </w:r>
    </w:p>
    <w:p w14:paraId="424036A7" w14:textId="29867381" w:rsidR="00A867AA" w:rsidRPr="00194419" w:rsidRDefault="00A867AA" w:rsidP="008A3630">
      <w:pPr>
        <w:spacing w:line="480" w:lineRule="auto"/>
      </w:pPr>
      <w:r>
        <w:t xml:space="preserve">The </w:t>
      </w:r>
      <w:r w:rsidR="000C1773">
        <w:t xml:space="preserve">mean ages obtained from the </w:t>
      </w:r>
      <w:r>
        <w:t>Exponential Mixing Model -EPM-</w:t>
      </w:r>
      <w:r w:rsidR="000C1773">
        <w:t xml:space="preserve"> and the Dispersion Model -DM- (Tab. 4 &amp; Fig. 8) range from 27 years (J1 during flooding, EPM) to 100 years (J1 during depletion, DPM). </w:t>
      </w:r>
      <w:r w:rsidR="00BB4B30">
        <w:t>Meanwhile</w:t>
      </w:r>
      <w:r w:rsidR="000C1773">
        <w:t xml:space="preserve">, the amount of </w:t>
      </w:r>
      <w:r w:rsidR="009653FB">
        <w:t xml:space="preserve">CFC-12 and </w:t>
      </w:r>
      <w:r w:rsidR="009653FB" w:rsidRPr="00444A13">
        <w:rPr>
          <w:vertAlign w:val="superscript"/>
        </w:rPr>
        <w:t>3</w:t>
      </w:r>
      <w:r w:rsidR="009653FB">
        <w:t xml:space="preserve">H free </w:t>
      </w:r>
      <w:r w:rsidR="000C1773">
        <w:t xml:space="preserve">groundwater </w:t>
      </w:r>
      <w:r w:rsidR="009653FB">
        <w:t>(&gt;</w:t>
      </w:r>
      <w:r w:rsidR="000C1773">
        <w:t>75 years</w:t>
      </w:r>
      <w:r w:rsidR="009653FB">
        <w:t xml:space="preserve">), which is equivalent to </w:t>
      </w:r>
      <w:r w:rsidR="009653FB" w:rsidRPr="00194419">
        <w:t>F</w:t>
      </w:r>
      <w:r w:rsidR="009653FB" w:rsidRPr="00194419">
        <w:rPr>
          <w:vertAlign w:val="subscript"/>
        </w:rPr>
        <w:t>old</w:t>
      </w:r>
      <w:r w:rsidR="009653FB">
        <w:t xml:space="preserve"> in the BM and to the oldest bin in the SFM, </w:t>
      </w:r>
      <w:r w:rsidR="000C1773">
        <w:t>vary from 0</w:t>
      </w:r>
      <w:r w:rsidR="00BB4B30">
        <w:t>%</w:t>
      </w:r>
      <w:r w:rsidR="000C1773">
        <w:t xml:space="preserve"> (J3, B2, and H3)</w:t>
      </w:r>
      <w:r w:rsidR="00BB4B30">
        <w:t xml:space="preserve"> to 30-44% (J1 during depletion, B3, H2 and T3). </w:t>
      </w:r>
      <w:r w:rsidR="000C1773">
        <w:t>In general terms, the DM and the EPM mean ages calculated for each sample are similar (within 1 -9 years margin), excepting in J1 during flooding.</w:t>
      </w:r>
    </w:p>
    <w:p w14:paraId="7D774192" w14:textId="3546779C" w:rsidR="00605455" w:rsidRPr="00194419" w:rsidRDefault="00B3037C" w:rsidP="00AC7A30">
      <w:pPr>
        <w:spacing w:line="480" w:lineRule="auto"/>
      </w:pPr>
      <w:r w:rsidRPr="00194419">
        <w:lastRenderedPageBreak/>
        <w:t xml:space="preserve">As </w:t>
      </w:r>
      <w:r w:rsidR="0042150B" w:rsidRPr="00194419">
        <w:t xml:space="preserve">the </w:t>
      </w:r>
      <w:r w:rsidRPr="00194419">
        <w:t>older bin</w:t>
      </w:r>
      <w:r w:rsidR="009653FB">
        <w:t xml:space="preserve"> of the SFM </w:t>
      </w:r>
      <w:r w:rsidRPr="00194419">
        <w:t>contains tritium and CFC-12 free groundwater, the mean age of the samples cannot be calculate</w:t>
      </w:r>
      <w:r w:rsidR="0042150B" w:rsidRPr="00194419">
        <w:t>d</w:t>
      </w:r>
      <w:r w:rsidRPr="00194419">
        <w:t>.</w:t>
      </w:r>
      <w:r w:rsidR="00CE1772">
        <w:t xml:space="preserve"> Besides mean age is not useful when interpreting mixed groundwater age dat</w:t>
      </w:r>
      <w:r w:rsidR="00C27C27">
        <w:t>a</w:t>
      </w:r>
      <w:r w:rsidR="009538FC">
        <w:t>, as it does not give any information about the groundwater age distribution by itself</w:t>
      </w:r>
      <w:r w:rsidR="00CE1772">
        <w:t>.</w:t>
      </w:r>
      <w:r w:rsidRPr="00194419">
        <w:t xml:space="preserve"> However,</w:t>
      </w:r>
      <w:r w:rsidR="00CE1772">
        <w:t xml:space="preserve"> the median of the </w:t>
      </w:r>
      <w:r w:rsidR="00A867AA">
        <w:t>G</w:t>
      </w:r>
      <w:r w:rsidR="00CE1772">
        <w:t xml:space="preserve">roundwater </w:t>
      </w:r>
      <w:r w:rsidR="00A867AA">
        <w:t>A</w:t>
      </w:r>
      <w:r w:rsidR="00CE1772">
        <w:t>ge</w:t>
      </w:r>
      <w:r w:rsidR="00A867AA">
        <w:t xml:space="preserve"> </w:t>
      </w:r>
      <w:r w:rsidR="00CE1772">
        <w:t xml:space="preserve">distribution </w:t>
      </w:r>
      <w:r w:rsidR="00CE1772" w:rsidRPr="00194419">
        <w:t>(hereby GA</w:t>
      </w:r>
      <w:r w:rsidR="00CE1772" w:rsidRPr="00194419">
        <w:rPr>
          <w:vertAlign w:val="subscript"/>
        </w:rPr>
        <w:t>50</w:t>
      </w:r>
      <w:r w:rsidR="00CE1772" w:rsidRPr="00194419">
        <w:t>) can be easily identified</w:t>
      </w:r>
      <w:r w:rsidRPr="00194419">
        <w:t xml:space="preserve"> </w:t>
      </w:r>
      <w:r w:rsidR="00CE1772">
        <w:t>in that</w:t>
      </w:r>
      <w:r w:rsidR="00CE1772" w:rsidRPr="00194419">
        <w:t xml:space="preserve"> </w:t>
      </w:r>
      <w:r w:rsidR="0042150B" w:rsidRPr="00194419">
        <w:t>bin</w:t>
      </w:r>
      <w:r w:rsidR="009538FC">
        <w:t xml:space="preserve"> (or age for LPMs)</w:t>
      </w:r>
      <w:r w:rsidR="0042150B" w:rsidRPr="00194419">
        <w:t xml:space="preserve"> </w:t>
      </w:r>
      <w:r w:rsidR="00605455" w:rsidRPr="00194419">
        <w:t>in which the</w:t>
      </w:r>
      <w:r w:rsidR="0042150B" w:rsidRPr="00194419">
        <w:t xml:space="preserve"> cumulative fraction reaches or exceeds the</w:t>
      </w:r>
      <w:r w:rsidR="00605455" w:rsidRPr="00194419">
        <w:t xml:space="preserve"> 50%</w:t>
      </w:r>
      <w:r w:rsidRPr="00194419">
        <w:t>, which</w:t>
      </w:r>
      <w:r w:rsidR="00605455" w:rsidRPr="00194419">
        <w:t xml:space="preserve"> permits to rapidly asse</w:t>
      </w:r>
      <w:r w:rsidR="00C32AA9" w:rsidRPr="00194419">
        <w:t>s</w:t>
      </w:r>
      <w:r w:rsidR="00605455" w:rsidRPr="00194419">
        <w:t xml:space="preserve">s </w:t>
      </w:r>
      <w:r w:rsidR="00605455" w:rsidRPr="00194419">
        <w:rPr>
          <w:noProof/>
        </w:rPr>
        <w:t>w</w:t>
      </w:r>
      <w:r w:rsidR="00A81499" w:rsidRPr="00194419">
        <w:rPr>
          <w:noProof/>
        </w:rPr>
        <w:t>h</w:t>
      </w:r>
      <w:r w:rsidR="00605455" w:rsidRPr="00194419">
        <w:rPr>
          <w:noProof/>
        </w:rPr>
        <w:t>ether</w:t>
      </w:r>
      <w:r w:rsidR="00605455" w:rsidRPr="00194419">
        <w:t xml:space="preserve"> the sample is mainly formed by recent or older groundwater (Fig. 8 &amp; Tab. </w:t>
      </w:r>
      <w:r w:rsidR="00E85DD6">
        <w:t>4</w:t>
      </w:r>
      <w:r w:rsidR="00605455" w:rsidRPr="00194419">
        <w:t>). GA</w:t>
      </w:r>
      <w:r w:rsidR="00605455" w:rsidRPr="00194419">
        <w:rPr>
          <w:vertAlign w:val="subscript"/>
        </w:rPr>
        <w:t>50</w:t>
      </w:r>
      <w:r w:rsidR="00605455" w:rsidRPr="00194419">
        <w:t xml:space="preserve"> range from </w:t>
      </w:r>
      <w:r w:rsidR="009538FC">
        <w:t>10</w:t>
      </w:r>
      <w:r w:rsidR="00605455" w:rsidRPr="00194419">
        <w:t xml:space="preserve">years J1 </w:t>
      </w:r>
      <w:r w:rsidR="009538FC">
        <w:t>during flooding (DM)</w:t>
      </w:r>
      <w:r w:rsidR="00605455" w:rsidRPr="00194419">
        <w:t xml:space="preserve"> to </w:t>
      </w:r>
      <w:r w:rsidR="00461C64" w:rsidRPr="00194419">
        <w:t xml:space="preserve">75 </w:t>
      </w:r>
      <w:r w:rsidR="00605455" w:rsidRPr="00194419">
        <w:t>years or more (i.e., tracer free water) in B3, H</w:t>
      </w:r>
      <w:r w:rsidR="00461C64" w:rsidRPr="00194419">
        <w:t>2, T3,</w:t>
      </w:r>
      <w:r w:rsidR="00605455" w:rsidRPr="00194419">
        <w:t xml:space="preserve"> </w:t>
      </w:r>
      <w:r w:rsidR="00605455" w:rsidRPr="00194419">
        <w:rPr>
          <w:noProof/>
        </w:rPr>
        <w:t>and</w:t>
      </w:r>
      <w:r w:rsidR="00605455" w:rsidRPr="00194419">
        <w:t xml:space="preserve"> J1</w:t>
      </w:r>
      <w:r w:rsidR="009538FC">
        <w:t xml:space="preserve"> during depletion </w:t>
      </w:r>
      <w:r w:rsidR="00605455" w:rsidRPr="00194419">
        <w:t>(</w:t>
      </w:r>
      <w:r w:rsidR="009538FC">
        <w:t>3-bin SFM</w:t>
      </w:r>
      <w:r w:rsidR="00605455" w:rsidRPr="00194419">
        <w:t xml:space="preserve">). Thus, such parameter shows great differences in the groundwater age distribution of J1 depending on its hydrodynamic state, indicating a complex </w:t>
      </w:r>
      <w:r w:rsidR="008D52F4" w:rsidRPr="00194419">
        <w:t xml:space="preserve">hydrogeological </w:t>
      </w:r>
      <w:r w:rsidR="00605455" w:rsidRPr="00194419">
        <w:t xml:space="preserve">functioning of the system that it drains. </w:t>
      </w:r>
      <w:r w:rsidR="007C255E">
        <w:t xml:space="preserve">The </w:t>
      </w:r>
      <w:r w:rsidR="007C255E" w:rsidRPr="00194419">
        <w:t>GA</w:t>
      </w:r>
      <w:r w:rsidR="007C255E" w:rsidRPr="00194419">
        <w:rPr>
          <w:vertAlign w:val="subscript"/>
        </w:rPr>
        <w:t>50</w:t>
      </w:r>
      <w:r w:rsidR="007C255E">
        <w:t xml:space="preserve"> of the samples obtained from the SFM and the LPMs differ because SFM discretized the groundwater age distribution, while the LPMs provide continuous functions. Nonetheless, the samples with the higher and the smaller values of </w:t>
      </w:r>
      <w:r w:rsidR="007C255E" w:rsidRPr="00194419">
        <w:t>GA</w:t>
      </w:r>
      <w:r w:rsidR="007C255E" w:rsidRPr="00194419">
        <w:rPr>
          <w:vertAlign w:val="subscript"/>
        </w:rPr>
        <w:t>50</w:t>
      </w:r>
      <w:r w:rsidR="007C255E">
        <w:rPr>
          <w:vertAlign w:val="subscript"/>
        </w:rPr>
        <w:t xml:space="preserve"> </w:t>
      </w:r>
      <w:r w:rsidR="007C255E">
        <w:t>are the same regardless the model, excepting J1.</w:t>
      </w:r>
      <w:r w:rsidR="00755A5C">
        <w:t xml:space="preserve"> </w:t>
      </w:r>
      <w:r w:rsidR="00605455" w:rsidRPr="00194419">
        <w:t xml:space="preserve">Finally, the percentage of </w:t>
      </w:r>
      <w:r w:rsidR="00A81499" w:rsidRPr="00194419">
        <w:t xml:space="preserve">the </w:t>
      </w:r>
      <w:r w:rsidR="00605455" w:rsidRPr="00194419">
        <w:rPr>
          <w:noProof/>
        </w:rPr>
        <w:t>sample</w:t>
      </w:r>
      <w:r w:rsidR="00605455" w:rsidRPr="00194419">
        <w:t xml:space="preserve"> that is </w:t>
      </w:r>
      <w:r w:rsidR="00C32AA9" w:rsidRPr="00194419">
        <w:rPr>
          <w:vertAlign w:val="superscript"/>
        </w:rPr>
        <w:t>3</w:t>
      </w:r>
      <w:r w:rsidR="00C32AA9" w:rsidRPr="00194419">
        <w:t>H and CFC-12</w:t>
      </w:r>
      <w:r w:rsidR="00605455" w:rsidRPr="00194419">
        <w:t xml:space="preserve"> free (&gt; </w:t>
      </w:r>
      <w:r w:rsidR="00461C64" w:rsidRPr="00194419">
        <w:t xml:space="preserve">75 </w:t>
      </w:r>
      <w:r w:rsidR="00605455" w:rsidRPr="00194419">
        <w:t xml:space="preserve">years) vary between </w:t>
      </w:r>
      <w:r w:rsidR="007C255E">
        <w:t>0</w:t>
      </w:r>
      <w:r w:rsidR="007C255E" w:rsidRPr="00194419">
        <w:t xml:space="preserve"> </w:t>
      </w:r>
      <w:r w:rsidR="00605455" w:rsidRPr="00194419">
        <w:t xml:space="preserve">and </w:t>
      </w:r>
      <w:r w:rsidR="00461C64" w:rsidRPr="00194419">
        <w:t>70</w:t>
      </w:r>
      <w:r w:rsidR="00605455" w:rsidRPr="00194419">
        <w:t xml:space="preserve"> %. Normally, the outlets located at higher positions in their respective study area present </w:t>
      </w:r>
      <w:r w:rsidRPr="00194419">
        <w:t xml:space="preserve">smaller </w:t>
      </w:r>
      <w:r w:rsidR="00605455" w:rsidRPr="00194419">
        <w:t>GA</w:t>
      </w:r>
      <w:r w:rsidR="00605455" w:rsidRPr="00194419">
        <w:rPr>
          <w:vertAlign w:val="subscript"/>
        </w:rPr>
        <w:t>50</w:t>
      </w:r>
      <w:r w:rsidR="00605455" w:rsidRPr="00194419">
        <w:t xml:space="preserve"> and smaller fractions of groundwater older than </w:t>
      </w:r>
      <w:r w:rsidR="00461C64" w:rsidRPr="00194419">
        <w:t xml:space="preserve">75 </w:t>
      </w:r>
      <w:r w:rsidR="00605455" w:rsidRPr="00194419">
        <w:t>years, suggesting that their drainage is less influenced by regional groundwater flows.</w:t>
      </w:r>
    </w:p>
    <w:p w14:paraId="3AA76ADC" w14:textId="77777777" w:rsidR="006F2E9E" w:rsidRPr="00194419" w:rsidRDefault="003C3F1F" w:rsidP="008A3630">
      <w:pPr>
        <w:pStyle w:val="Prrafodelista"/>
        <w:keepNext/>
        <w:numPr>
          <w:ilvl w:val="0"/>
          <w:numId w:val="1"/>
        </w:numPr>
        <w:spacing w:line="480" w:lineRule="auto"/>
        <w:ind w:left="357" w:hanging="357"/>
        <w:rPr>
          <w:b/>
        </w:rPr>
      </w:pPr>
      <w:r w:rsidRPr="00194419">
        <w:rPr>
          <w:b/>
        </w:rPr>
        <w:t>DISCUS</w:t>
      </w:r>
      <w:r w:rsidR="006F2E9E" w:rsidRPr="00194419">
        <w:rPr>
          <w:b/>
        </w:rPr>
        <w:t>SION</w:t>
      </w:r>
    </w:p>
    <w:p w14:paraId="43BB40BB" w14:textId="3595AF64" w:rsidR="006F2E9E" w:rsidRPr="00194419" w:rsidRDefault="006F2E9E" w:rsidP="008A3630">
      <w:pPr>
        <w:pStyle w:val="Prrafodelista"/>
        <w:numPr>
          <w:ilvl w:val="1"/>
          <w:numId w:val="1"/>
        </w:numPr>
        <w:spacing w:line="480" w:lineRule="auto"/>
        <w:rPr>
          <w:b/>
        </w:rPr>
      </w:pPr>
      <w:r w:rsidRPr="00194419">
        <w:rPr>
          <w:b/>
        </w:rPr>
        <w:t>Joint interpretation of age tracers</w:t>
      </w:r>
      <w:r w:rsidR="008B2CB5" w:rsidRPr="00194419">
        <w:rPr>
          <w:b/>
        </w:rPr>
        <w:t xml:space="preserve"> and </w:t>
      </w:r>
      <w:r w:rsidR="007A24A4" w:rsidRPr="00194419">
        <w:rPr>
          <w:b/>
        </w:rPr>
        <w:t xml:space="preserve">water </w:t>
      </w:r>
      <w:r w:rsidR="008B2CB5" w:rsidRPr="00194419">
        <w:rPr>
          <w:b/>
        </w:rPr>
        <w:t>mineralization</w:t>
      </w:r>
    </w:p>
    <w:p w14:paraId="03FDD847" w14:textId="6B675AAF" w:rsidR="000540A0" w:rsidRDefault="006E6E2B" w:rsidP="008A3630">
      <w:pPr>
        <w:spacing w:line="480" w:lineRule="auto"/>
      </w:pPr>
      <w:r w:rsidRPr="00194419">
        <w:t xml:space="preserve">The comparison between </w:t>
      </w:r>
      <w:r w:rsidR="00FF01FD" w:rsidRPr="00194419">
        <w:rPr>
          <w:vertAlign w:val="superscript"/>
        </w:rPr>
        <w:t>3</w:t>
      </w:r>
      <w:r w:rsidRPr="00194419">
        <w:t>H content</w:t>
      </w:r>
      <w:r w:rsidR="00FF01FD" w:rsidRPr="00194419">
        <w:t>s</w:t>
      </w:r>
      <w:r w:rsidRPr="00194419">
        <w:t xml:space="preserve"> and EC </w:t>
      </w:r>
      <w:r w:rsidR="00852E44" w:rsidRPr="00194419">
        <w:t xml:space="preserve">values </w:t>
      </w:r>
      <w:r w:rsidRPr="00194419">
        <w:t xml:space="preserve">of </w:t>
      </w:r>
      <w:r w:rsidR="00633B23" w:rsidRPr="00194419">
        <w:t xml:space="preserve">spring water </w:t>
      </w:r>
      <w:r w:rsidRPr="00194419">
        <w:t>sample</w:t>
      </w:r>
      <w:r w:rsidR="00FF01FD" w:rsidRPr="00194419">
        <w:t>s (Fig. 9</w:t>
      </w:r>
      <w:r w:rsidR="00702CA7" w:rsidRPr="00194419">
        <w:t>A</w:t>
      </w:r>
      <w:r w:rsidR="00FF01FD" w:rsidRPr="00194419">
        <w:t>)</w:t>
      </w:r>
      <w:r w:rsidRPr="00194419">
        <w:t xml:space="preserve"> show</w:t>
      </w:r>
      <w:r w:rsidR="00F573F8" w:rsidRPr="00194419">
        <w:t>s</w:t>
      </w:r>
      <w:r w:rsidRPr="00194419">
        <w:t xml:space="preserve"> that</w:t>
      </w:r>
      <w:r w:rsidR="00FF01FD" w:rsidRPr="00194419">
        <w:t>, in general terms, the more mineralized the water of</w:t>
      </w:r>
      <w:r w:rsidRPr="00194419">
        <w:t xml:space="preserve"> brine </w:t>
      </w:r>
      <w:r w:rsidR="00852E44" w:rsidRPr="00194419">
        <w:t xml:space="preserve">(i.e., EC &gt;40 mS/cm) </w:t>
      </w:r>
      <w:r w:rsidRPr="00194419">
        <w:t>springs is</w:t>
      </w:r>
      <w:r w:rsidR="00FF01FD" w:rsidRPr="00194419">
        <w:t>,</w:t>
      </w:r>
      <w:r w:rsidRPr="00194419">
        <w:t xml:space="preserve"> the </w:t>
      </w:r>
      <w:r w:rsidR="00C13EF0" w:rsidRPr="00194419">
        <w:t>lower</w:t>
      </w:r>
      <w:r w:rsidRPr="00194419">
        <w:t xml:space="preserve"> </w:t>
      </w:r>
      <w:r w:rsidR="00FF01FD" w:rsidRPr="00194419">
        <w:rPr>
          <w:vertAlign w:val="superscript"/>
        </w:rPr>
        <w:t>3</w:t>
      </w:r>
      <w:r w:rsidRPr="00194419">
        <w:t>H values</w:t>
      </w:r>
      <w:r w:rsidR="00FF01FD" w:rsidRPr="00194419">
        <w:t xml:space="preserve"> </w:t>
      </w:r>
      <w:r w:rsidR="00633B23" w:rsidRPr="00194419">
        <w:t>it</w:t>
      </w:r>
      <w:r w:rsidR="00FF01FD" w:rsidRPr="00194419">
        <w:t xml:space="preserve"> contain</w:t>
      </w:r>
      <w:r w:rsidR="00633B23" w:rsidRPr="00194419">
        <w:t>s</w:t>
      </w:r>
      <w:r w:rsidRPr="00194419">
        <w:t xml:space="preserve">. The inverse relation between EC and </w:t>
      </w:r>
      <w:r w:rsidR="00FF01FD" w:rsidRPr="00194419">
        <w:rPr>
          <w:vertAlign w:val="superscript"/>
        </w:rPr>
        <w:t>3</w:t>
      </w:r>
      <w:r w:rsidR="00FF01FD" w:rsidRPr="00194419">
        <w:t>H</w:t>
      </w:r>
      <w:r w:rsidRPr="00194419">
        <w:t xml:space="preserve"> is </w:t>
      </w:r>
      <w:r w:rsidRPr="00194419">
        <w:lastRenderedPageBreak/>
        <w:t>observed in every study area</w:t>
      </w:r>
      <w:r w:rsidR="00FF01FD" w:rsidRPr="00194419">
        <w:t>,</w:t>
      </w:r>
      <w:r w:rsidRPr="00194419">
        <w:t xml:space="preserve"> when analyzed individually, as well as</w:t>
      </w:r>
      <w:r w:rsidR="00C32AA9" w:rsidRPr="00194419">
        <w:t xml:space="preserve"> </w:t>
      </w:r>
      <w:r w:rsidRPr="00194419">
        <w:t xml:space="preserve">in </w:t>
      </w:r>
      <w:r w:rsidR="00C13EF0" w:rsidRPr="00194419">
        <w:t xml:space="preserve">the samples taken in </w:t>
      </w:r>
      <w:r w:rsidRPr="00194419">
        <w:t>Anzur Bajo (J</w:t>
      </w:r>
      <w:r w:rsidR="00FF01FD" w:rsidRPr="00194419">
        <w:t>1), Don Benito (</w:t>
      </w:r>
      <w:r w:rsidRPr="00194419">
        <w:t>B</w:t>
      </w:r>
      <w:r w:rsidR="00FF01FD" w:rsidRPr="00194419">
        <w:t>3) and Cañaveralejo springs (</w:t>
      </w:r>
      <w:r w:rsidRPr="00194419">
        <w:t>T</w:t>
      </w:r>
      <w:r w:rsidR="00FF01FD" w:rsidRPr="00194419">
        <w:t>3</w:t>
      </w:r>
      <w:r w:rsidRPr="00194419">
        <w:t xml:space="preserve">), </w:t>
      </w:r>
      <w:r w:rsidR="00C13EF0" w:rsidRPr="00194419">
        <w:t xml:space="preserve">with three or more determinations of </w:t>
      </w:r>
      <w:r w:rsidR="00C13EF0" w:rsidRPr="00194419">
        <w:rPr>
          <w:vertAlign w:val="superscript"/>
        </w:rPr>
        <w:t>3</w:t>
      </w:r>
      <w:r w:rsidR="00C13EF0" w:rsidRPr="00194419">
        <w:t>H</w:t>
      </w:r>
      <w:r w:rsidRPr="00194419">
        <w:t xml:space="preserve"> (Tab. </w:t>
      </w:r>
      <w:r w:rsidR="00E85DD6">
        <w:t>3</w:t>
      </w:r>
      <w:r w:rsidRPr="00194419">
        <w:t>). The negative EC-</w:t>
      </w:r>
      <w:r w:rsidR="00FF01FD" w:rsidRPr="00194419">
        <w:rPr>
          <w:vertAlign w:val="superscript"/>
        </w:rPr>
        <w:t>3</w:t>
      </w:r>
      <w:r w:rsidRPr="00194419">
        <w:t>H rela</w:t>
      </w:r>
      <w:r w:rsidR="00852E44" w:rsidRPr="00194419">
        <w:t xml:space="preserve">tionship suggests that the </w:t>
      </w:r>
      <w:r w:rsidRPr="00194419">
        <w:t>samples</w:t>
      </w:r>
      <w:r w:rsidR="00852E44" w:rsidRPr="00194419">
        <w:t xml:space="preserve"> with greater salinity</w:t>
      </w:r>
      <w:r w:rsidRPr="00194419">
        <w:t xml:space="preserve"> could have </w:t>
      </w:r>
      <w:r w:rsidR="00A81499" w:rsidRPr="00194419">
        <w:t xml:space="preserve">a </w:t>
      </w:r>
      <w:r w:rsidR="00633B23" w:rsidRPr="00194419">
        <w:rPr>
          <w:noProof/>
        </w:rPr>
        <w:t>larger</w:t>
      </w:r>
      <w:r w:rsidRPr="00194419">
        <w:t xml:space="preserve"> contribution of tritium-free groundwater flows (infiltrated before 1953). Such groundwater would have longer </w:t>
      </w:r>
      <w:r w:rsidR="00C32AA9" w:rsidRPr="00194419">
        <w:t xml:space="preserve">residence time </w:t>
      </w:r>
      <w:r w:rsidRPr="00194419">
        <w:t xml:space="preserve">within the media and, therefore, it would have dissolved </w:t>
      </w:r>
      <w:r w:rsidR="00633B23" w:rsidRPr="00194419">
        <w:t>higher</w:t>
      </w:r>
      <w:r w:rsidRPr="00194419">
        <w:t xml:space="preserve"> amounts of solutes. On the other hand, the more recently infiltrated water (with </w:t>
      </w:r>
      <w:r w:rsidR="00FF01FD" w:rsidRPr="00194419">
        <w:rPr>
          <w:vertAlign w:val="superscript"/>
        </w:rPr>
        <w:t>3</w:t>
      </w:r>
      <w:r w:rsidRPr="00194419">
        <w:t xml:space="preserve">H) would have less dissolved minerals. The fact that the </w:t>
      </w:r>
      <w:r w:rsidR="00FF01FD" w:rsidRPr="00194419">
        <w:t xml:space="preserve">obtained </w:t>
      </w:r>
      <w:r w:rsidRPr="00194419">
        <w:t>correlation degrees are not</w:t>
      </w:r>
      <w:r w:rsidR="00FF01FD" w:rsidRPr="00194419">
        <w:t xml:space="preserve"> too high (Fig. 9</w:t>
      </w:r>
      <w:r w:rsidR="00702CA7" w:rsidRPr="00194419">
        <w:t>A</w:t>
      </w:r>
      <w:r w:rsidRPr="00194419">
        <w:t xml:space="preserve">) </w:t>
      </w:r>
      <w:r w:rsidR="00FF01FD" w:rsidRPr="00194419">
        <w:t>could be due to diverse factors:</w:t>
      </w:r>
      <w:r w:rsidRPr="00194419">
        <w:t xml:space="preserve"> the low number of observations, the complexity of the </w:t>
      </w:r>
      <w:r w:rsidR="00FF01FD" w:rsidRPr="00194419">
        <w:rPr>
          <w:vertAlign w:val="superscript"/>
        </w:rPr>
        <w:t>3</w:t>
      </w:r>
      <w:r w:rsidR="00FF01FD" w:rsidRPr="00194419">
        <w:t>H input function and its stabilization</w:t>
      </w:r>
      <w:r w:rsidR="00633B23" w:rsidRPr="00194419">
        <w:t xml:space="preserve"> since the 1980 decade</w:t>
      </w:r>
      <w:r w:rsidRPr="00194419">
        <w:t>, and the lithological and hydrogeological heterogeneity of the studied systems.</w:t>
      </w:r>
    </w:p>
    <w:p w14:paraId="1776A5D1" w14:textId="770EE28F" w:rsidR="00B13070" w:rsidRPr="00194419" w:rsidRDefault="00456106" w:rsidP="00B13070">
      <w:pPr>
        <w:spacing w:line="480" w:lineRule="auto"/>
      </w:pPr>
      <w:r w:rsidRPr="00444A13">
        <w:t xml:space="preserve">The </w:t>
      </w:r>
      <w:r w:rsidR="00B13070" w:rsidRPr="00194419">
        <w:rPr>
          <w:vertAlign w:val="superscript"/>
        </w:rPr>
        <w:t>3</w:t>
      </w:r>
      <w:r w:rsidR="00B13070" w:rsidRPr="00194419">
        <w:t>He/</w:t>
      </w:r>
      <w:r w:rsidR="00B13070" w:rsidRPr="00194419">
        <w:rPr>
          <w:vertAlign w:val="superscript"/>
        </w:rPr>
        <w:t>4</w:t>
      </w:r>
      <w:r w:rsidR="00B13070" w:rsidRPr="00194419">
        <w:t xml:space="preserve">He ratios </w:t>
      </w:r>
      <w:r>
        <w:t xml:space="preserve">of the sample </w:t>
      </w:r>
      <w:r w:rsidR="00B13070" w:rsidRPr="00194419">
        <w:t>vary between 4.4·10</w:t>
      </w:r>
      <w:r w:rsidR="00B13070" w:rsidRPr="00194419">
        <w:rPr>
          <w:vertAlign w:val="superscript"/>
        </w:rPr>
        <w:t>-8</w:t>
      </w:r>
      <w:r>
        <w:t xml:space="preserve"> </w:t>
      </w:r>
      <w:r w:rsidR="00B13070" w:rsidRPr="00194419">
        <w:t>and 1.4·10</w:t>
      </w:r>
      <w:r w:rsidR="00B13070" w:rsidRPr="00194419">
        <w:rPr>
          <w:vertAlign w:val="superscript"/>
        </w:rPr>
        <w:t>-6</w:t>
      </w:r>
      <w:r w:rsidR="00B13070" w:rsidRPr="00194419">
        <w:t xml:space="preserve"> (Tab. </w:t>
      </w:r>
      <w:r w:rsidR="00B13070">
        <w:t>3</w:t>
      </w:r>
      <w:r w:rsidR="00B13070" w:rsidRPr="00194419">
        <w:t xml:space="preserve">). </w:t>
      </w:r>
      <w:r w:rsidR="00B13070" w:rsidRPr="00194419">
        <w:t xml:space="preserve">Therefore, the presence of </w:t>
      </w:r>
      <w:r w:rsidR="00B13070" w:rsidRPr="00194419">
        <w:rPr>
          <w:vertAlign w:val="superscript"/>
        </w:rPr>
        <w:t>4</w:t>
      </w:r>
      <w:r w:rsidR="00B13070" w:rsidRPr="00194419">
        <w:t xml:space="preserve">He coming from the mantle is unlikely, as such source could </w:t>
      </w:r>
      <w:r w:rsidRPr="00194419">
        <w:t xml:space="preserve">considerably </w:t>
      </w:r>
      <w:r w:rsidR="00B13070" w:rsidRPr="00194419">
        <w:t xml:space="preserve">rise the </w:t>
      </w:r>
      <w:r w:rsidR="00B13070" w:rsidRPr="00194419">
        <w:rPr>
          <w:vertAlign w:val="superscript"/>
        </w:rPr>
        <w:t>3</w:t>
      </w:r>
      <w:r w:rsidR="00B13070" w:rsidRPr="00194419">
        <w:t>He/</w:t>
      </w:r>
      <w:r w:rsidR="00B13070" w:rsidRPr="00194419">
        <w:rPr>
          <w:vertAlign w:val="superscript"/>
        </w:rPr>
        <w:t>4</w:t>
      </w:r>
      <w:r w:rsidR="00B13070" w:rsidRPr="00194419">
        <w:t>He values up to 1.4·10</w:t>
      </w:r>
      <w:r w:rsidR="00B13070" w:rsidRPr="00194419">
        <w:rPr>
          <w:vertAlign w:val="superscript"/>
        </w:rPr>
        <w:t>-5</w:t>
      </w:r>
      <w:r w:rsidR="00B13070" w:rsidRPr="00194419">
        <w:t xml:space="preserve"> </w:t>
      </w:r>
      <w:r w:rsidR="00B13070" w:rsidRPr="00194419">
        <w:fldChar w:fldCharType="begin" w:fldLock="1"/>
      </w:r>
      <w:r w:rsidR="00B13070" w:rsidRPr="00194419">
        <w:instrText>ADDIN CSL_CITATION {"citationItems":[{"id":"ITEM-1","itemData":{"author":[{"dropping-particle":"","family":"Ozima","given":"M.","non-dropping-particle":"","parse-names":false,"suffix":""},{"dropping-particle":"","family":"Podosek","given":"F.A.","non-dropping-particle":"","parse-names":false,"suffix":""}],"id":"ITEM-1","issued":{"date-parts":[["1983"]]},"number-of-pages":"369","publisher":"Cambridge University Press","publisher-place":"Cambridge","title":"Noble Gas Geochemistry","type":"book"},"uris":["http://www.mendeley.com/documents/?uuid=be74eb11-0aba-4203-8b87-3cf11709317e"]}],"mendeley":{"formattedCitation":"(Ozima and Podosek, 1983)","plainTextFormattedCitation":"(Ozima and Podosek, 1983)","previouslyFormattedCitation":"(Ozima and Podosek, 1983)"},"properties":{"noteIndex":0},"schema":"https://github.com/citation-style-language/schema/raw/master/csl-citation.json"}</w:instrText>
      </w:r>
      <w:r w:rsidR="00B13070" w:rsidRPr="00194419">
        <w:fldChar w:fldCharType="separate"/>
      </w:r>
      <w:r w:rsidR="00B13070" w:rsidRPr="00194419">
        <w:rPr>
          <w:noProof/>
        </w:rPr>
        <w:t>(Ozima and Podosek, 1983)</w:t>
      </w:r>
      <w:r w:rsidR="00B13070" w:rsidRPr="00194419">
        <w:fldChar w:fldCharType="end"/>
      </w:r>
      <w:r w:rsidR="00B13070" w:rsidRPr="00194419">
        <w:t xml:space="preserve">, and there is no volcanic activity or important outcrops of igneous rocks in the area. Solomon </w:t>
      </w:r>
      <w:r w:rsidR="00B13070" w:rsidRPr="00194419">
        <w:rPr>
          <w:i/>
        </w:rPr>
        <w:t>et al</w:t>
      </w:r>
      <w:r w:rsidR="00B13070" w:rsidRPr="00194419">
        <w:t xml:space="preserve">., </w:t>
      </w:r>
      <w:r w:rsidR="00B13070" w:rsidRPr="00194419">
        <w:fldChar w:fldCharType="begin" w:fldLock="1"/>
      </w:r>
      <w:r w:rsidR="00B13070" w:rsidRPr="00194419">
        <w:instrText>ADDIN CSL_CITATION {"citationItems":[{"id":"ITEM-1","itemData":{"DOI":"10.1029/96WR00600","ISBN":"0043-1397","ISSN":"00431397","abstract":"Radiogenic helium 4 (4Herad) has been used in numerous studies as a tracer of groundwater age in the range of 103–108 years. We have measured 4Herad along shallow groundwater flow paths at a variety of hydrogeologically distinct sites and postulate its use for dating groundwater as young as 101 years. Groundwater travel times and fluid velocities are particularly well documented at one site in northern Ontario because of detailed profiling of tritium, 3H/3He ratios, and chlorofluorocarbons (CFCs). Metamorphic rocks of the Canadian Shield (.1 Ga) that contain large quantities of 4He are the protolith of this unconsolidated aquifer and observed 4Herad values increase linearly with distance along a flow path and with increasing groundwater age. A solute transport model suggests that the aquifer solids are the source of 4Herad as vertical fluid velocities are too great to allow upward diffusion of 4Herad from the underlying shield rocks. The apparent rate of 4Herad release is 130 mcm3 m23 yr21 and is 300 times greater than can be supported by the in situ decay of U and Th series nuclides (i.e., the ‘‘steady state’’ approximation). Laboratory release experiments (conducted by sequentially heating the aquifer solids, measuring the amount of 4He released, and then extrapolating release rates to the in situ temperature) agree well with the field results and suggest that diffusion from aquifer solids is the source of 4Herad. The combined laboratory and field release data yield 4He diffusion coefficients that exhibit an Arrhenius temperature dependence that is similar to 4He diffusion in quartz reported by other researchers. The 4Herad release rate at the Ontario site is extraordinarily similar to sites in Tennessee, Nebraska, and Germany in spite of major hydrogeologic differences. A model of 4He diffusion from spherical grains suggests that aquifer solids derived from old protoliths will release 4He at rates greater than supported by U/Th production for up to 50 million years in fine sands that have typical U/Th concentrations. Both observations and modeling suggest that 4He may be useful as a groundwater dating tool over a range of tens to hundreds of years. The latter is particularly important because no other groundwater dating techniques are accurate for waters ranging from 40 to about 500 years old.","author":[{"dropping-particle":"","family":"Solomon","given":"D. K.","non-dropping-particle":"","parse-names":false,"suffix":""},{"dropping-particle":"","family":"Hunt","given":"A.","non-dropping-particle":"","parse-names":false,"suffix":""},{"dropping-particle":"","family":"Poreda","given":"R. J.","non-dropping-particle":"","parse-names":false,"suffix":""}],"container-title":"Water Resources Research","id":"ITEM-1","issue":"6","issued":{"date-parts":[["1996"]]},"page":"1805-1813","title":"Source of radiogenic helium 4 in shallow aquifers: Implications for dating young groundwater","type":"article-journal","volume":"32"},"uris":["http://www.mendeley.com/documents/?uuid=499b9708-372f-4858-8cf0-ad739c8c4792"]}],"mendeley":{"formattedCitation":"(Solomon et al., 1996)","manualFormatting":"(1996)","plainTextFormattedCitation":"(Solomon et al., 1996)","previouslyFormattedCitation":"(Solomon et al., 1996)"},"properties":{"noteIndex":0},"schema":"https://github.com/citation-style-language/schema/raw/master/csl-citation.json"}</w:instrText>
      </w:r>
      <w:r w:rsidR="00B13070" w:rsidRPr="00194419">
        <w:fldChar w:fldCharType="separate"/>
      </w:r>
      <w:r w:rsidR="00B13070" w:rsidRPr="00194419">
        <w:rPr>
          <w:noProof/>
        </w:rPr>
        <w:t>(1996)</w:t>
      </w:r>
      <w:r w:rsidR="00B13070" w:rsidRPr="00194419">
        <w:fldChar w:fldCharType="end"/>
      </w:r>
      <w:r w:rsidR="00B13070" w:rsidRPr="00194419">
        <w:t xml:space="preserve"> described high </w:t>
      </w:r>
      <w:r w:rsidR="00B13070" w:rsidRPr="00194419">
        <w:rPr>
          <w:vertAlign w:val="superscript"/>
        </w:rPr>
        <w:t>4</w:t>
      </w:r>
      <w:r w:rsidR="00B13070" w:rsidRPr="00194419">
        <w:t>He</w:t>
      </w:r>
      <w:r w:rsidR="00B13070" w:rsidRPr="00194419">
        <w:rPr>
          <w:vertAlign w:val="subscript"/>
        </w:rPr>
        <w:t>rad</w:t>
      </w:r>
      <w:r w:rsidR="00B13070" w:rsidRPr="00194419">
        <w:t xml:space="preserve"> values in young groundwater of sedimentary aquifers made up of </w:t>
      </w:r>
      <w:r w:rsidR="00B13070" w:rsidRPr="00194419">
        <w:rPr>
          <w:noProof/>
        </w:rPr>
        <w:t>protoliths</w:t>
      </w:r>
      <w:r w:rsidR="00B13070" w:rsidRPr="00194419">
        <w:t xml:space="preserve"> originated from the denudation of older formations. Although the geological setting could suit that description, the age of the original formation is Triassic, much younger than the Paleozoic rocks described by Solomon </w:t>
      </w:r>
      <w:r w:rsidR="00B13070" w:rsidRPr="00194419">
        <w:rPr>
          <w:i/>
        </w:rPr>
        <w:t>et al</w:t>
      </w:r>
      <w:r w:rsidR="00B13070" w:rsidRPr="00194419">
        <w:t xml:space="preserve">., </w:t>
      </w:r>
      <w:r w:rsidR="00B13070" w:rsidRPr="00194419">
        <w:fldChar w:fldCharType="begin" w:fldLock="1"/>
      </w:r>
      <w:r w:rsidR="00B13070" w:rsidRPr="00194419">
        <w:instrText>ADDIN CSL_CITATION {"citationItems":[{"id":"ITEM-1","itemData":{"DOI":"10.1029/96WR00600","ISBN":"0043-1397","ISSN":"00431397","abstract":"Radiogenic helium 4 (4Herad) has been used in numerous studies as a tracer of groundwater age in the range of 103–108 years. We have measured 4Herad along shallow groundwater flow paths at a variety of hydrogeologically distinct sites and postulate its use for dating groundwater as young as 101 years. Groundwater travel times and fluid velocities are particularly well documented at one site in northern Ontario because of detailed profiling of tritium, 3H/3He ratios, and chlorofluorocarbons (CFCs). Metamorphic rocks of the Canadian Shield (.1 Ga) that contain large quantities of 4He are the protolith of this unconsolidated aquifer and observed 4Herad values increase linearly with distance along a flow path and with increasing groundwater age. A solute transport model suggests that the aquifer solids are the source of 4Herad as vertical fluid velocities are too great to allow upward diffusion of 4Herad from the underlying shield rocks. The apparent rate of 4Herad release is 130 mcm3 m23 yr21 and is 300 times greater than can be supported by the in situ decay of U and Th series nuclides (i.e., the ‘‘steady state’’ approximation). Laboratory release experiments (conducted by sequentially heating the aquifer solids, measuring the amount of 4He released, and then extrapolating release rates to the in situ temperature) agree well with the field results and suggest that diffusion from aquifer solids is the source of 4Herad. The combined laboratory and field release data yield 4He diffusion coefficients that exhibit an Arrhenius temperature dependence that is similar to 4He diffusion in quartz reported by other researchers. The 4Herad release rate at the Ontario site is extraordinarily similar to sites in Tennessee, Nebraska, and Germany in spite of major hydrogeologic differences. A model of 4He diffusion from spherical grains suggests that aquifer solids derived from old protoliths will release 4He at rates greater than supported by U/Th production for up to 50 million years in fine sands that have typical U/Th concentrations. Both observations and modeling suggest that 4He may be useful as a groundwater dating tool over a range of tens to hundreds of years. The latter is particularly important because no other groundwater dating techniques are accurate for waters ranging from 40 to about 500 years old.","author":[{"dropping-particle":"","family":"Solomon","given":"D. K.","non-dropping-particle":"","parse-names":false,"suffix":""},{"dropping-particle":"","family":"Hunt","given":"A.","non-dropping-particle":"","parse-names":false,"suffix":""},{"dropping-particle":"","family":"Poreda","given":"R. J.","non-dropping-particle":"","parse-names":false,"suffix":""}],"container-title":"Water Resources Research","id":"ITEM-1","issue":"6","issued":{"date-parts":[["1996"]]},"page":"1805-1813","title":"Source of radiogenic helium 4 in shallow aquifers: Implications for dating young groundwater","type":"article-journal","volume":"32"},"uris":["http://www.mendeley.com/documents/?uuid=499b9708-372f-4858-8cf0-ad739c8c4792"]}],"mendeley":{"formattedCitation":"(Solomon et al., 1996)","manualFormatting":"(1996)","plainTextFormattedCitation":"(Solomon et al., 1996)","previouslyFormattedCitation":"(Solomon et al., 1996)"},"properties":{"noteIndex":0},"schema":"https://github.com/citation-style-language/schema/raw/master/csl-citation.json"}</w:instrText>
      </w:r>
      <w:r w:rsidR="00B13070" w:rsidRPr="00194419">
        <w:fldChar w:fldCharType="separate"/>
      </w:r>
      <w:r w:rsidR="00B13070" w:rsidRPr="00194419">
        <w:rPr>
          <w:noProof/>
        </w:rPr>
        <w:t>(1996)</w:t>
      </w:r>
      <w:r w:rsidR="00B13070" w:rsidRPr="00194419">
        <w:fldChar w:fldCharType="end"/>
      </w:r>
      <w:r w:rsidR="00B13070" w:rsidRPr="00194419">
        <w:t xml:space="preserve">. Consequently, no significant </w:t>
      </w:r>
      <w:r w:rsidR="00B13070" w:rsidRPr="00194419">
        <w:rPr>
          <w:vertAlign w:val="superscript"/>
        </w:rPr>
        <w:t>4</w:t>
      </w:r>
      <w:r w:rsidR="00B13070" w:rsidRPr="00194419">
        <w:t>He sources have been considered, apart from atmospheric, air excess, and underground production.</w:t>
      </w:r>
    </w:p>
    <w:p w14:paraId="0E5EC123" w14:textId="15939A23" w:rsidR="00F56A12" w:rsidRPr="00194419" w:rsidRDefault="00B26CB4" w:rsidP="00F56A12">
      <w:pPr>
        <w:spacing w:line="480" w:lineRule="auto"/>
      </w:pPr>
      <w:r w:rsidRPr="00444A13">
        <w:t>The</w:t>
      </w:r>
      <w:r w:rsidR="00F56A12" w:rsidRPr="00434501">
        <w:t xml:space="preserve"> </w:t>
      </w:r>
      <w:r w:rsidR="00F56A12" w:rsidRPr="00434501">
        <w:rPr>
          <w:vertAlign w:val="superscript"/>
        </w:rPr>
        <w:t>3</w:t>
      </w:r>
      <w:r w:rsidR="00F56A12" w:rsidRPr="00B679A0">
        <w:t xml:space="preserve">H </w:t>
      </w:r>
      <w:r w:rsidRPr="00444A13">
        <w:t>activities of Aguileras spring (H3)</w:t>
      </w:r>
      <w:r w:rsidR="00F56A12" w:rsidRPr="00434501">
        <w:t xml:space="preserve"> are in agreement with the calculated </w:t>
      </w:r>
      <w:r w:rsidR="00F56A12" w:rsidRPr="00434501">
        <w:rPr>
          <w:vertAlign w:val="superscript"/>
        </w:rPr>
        <w:t>3</w:t>
      </w:r>
      <w:r w:rsidR="00F56A12" w:rsidRPr="00B679A0">
        <w:t>H/</w:t>
      </w:r>
      <w:r w:rsidR="00F56A12" w:rsidRPr="00B679A0">
        <w:rPr>
          <w:vertAlign w:val="superscript"/>
        </w:rPr>
        <w:t>3</w:t>
      </w:r>
      <w:r w:rsidR="00F56A12" w:rsidRPr="00B679A0">
        <w:t>He age and the rain data (Fig. 3)</w:t>
      </w:r>
      <w:r w:rsidRPr="00444A13">
        <w:t xml:space="preserve"> and the</w:t>
      </w:r>
      <w:r w:rsidR="00F56A12" w:rsidRPr="00434501">
        <w:t xml:space="preserve"> </w:t>
      </w:r>
      <w:r w:rsidR="00456106" w:rsidRPr="00444A13">
        <w:t>models</w:t>
      </w:r>
      <w:r w:rsidRPr="00444A13">
        <w:t xml:space="preserve"> results</w:t>
      </w:r>
      <w:r w:rsidR="00456106" w:rsidRPr="00444A13">
        <w:t xml:space="preserve"> suggest that the </w:t>
      </w:r>
      <w:r w:rsidR="00F56A12" w:rsidRPr="00434501">
        <w:t xml:space="preserve">degree of mixing </w:t>
      </w:r>
      <w:r w:rsidR="00456106" w:rsidRPr="00444A13">
        <w:t xml:space="preserve">with </w:t>
      </w:r>
      <w:r w:rsidR="00456106" w:rsidRPr="00444A13">
        <w:rPr>
          <w:vertAlign w:val="superscript"/>
        </w:rPr>
        <w:lastRenderedPageBreak/>
        <w:t>3</w:t>
      </w:r>
      <w:r w:rsidR="00456106" w:rsidRPr="00444A13">
        <w:t>H free</w:t>
      </w:r>
      <w:r w:rsidR="00F56A12" w:rsidRPr="00434501">
        <w:t xml:space="preserve"> groundwater </w:t>
      </w:r>
      <w:r w:rsidR="00456106" w:rsidRPr="00444A13">
        <w:t>is</w:t>
      </w:r>
      <w:r w:rsidR="00F56A12" w:rsidRPr="00434501">
        <w:t xml:space="preserve"> low</w:t>
      </w:r>
      <w:r w:rsidR="00456106" w:rsidRPr="00444A13">
        <w:t xml:space="preserve"> (0-35%) compared to </w:t>
      </w:r>
      <w:r w:rsidRPr="00444A13">
        <w:t>most of the samples (Tab. 4)</w:t>
      </w:r>
      <w:r w:rsidR="00F56A12" w:rsidRPr="00434501">
        <w:t xml:space="preserve">. Besides, the estimation of its </w:t>
      </w:r>
      <w:r w:rsidR="00F56A12" w:rsidRPr="00B679A0">
        <w:rPr>
          <w:vertAlign w:val="superscript"/>
        </w:rPr>
        <w:t>4</w:t>
      </w:r>
      <w:r w:rsidR="00F56A12" w:rsidRPr="00B679A0">
        <w:t>He</w:t>
      </w:r>
      <w:r w:rsidR="00F56A12" w:rsidRPr="00B679A0">
        <w:rPr>
          <w:vertAlign w:val="subscript"/>
        </w:rPr>
        <w:t>rad</w:t>
      </w:r>
      <w:r w:rsidR="00F56A12" w:rsidRPr="00B679A0">
        <w:t xml:space="preserve"> concentration has </w:t>
      </w:r>
      <w:r w:rsidR="00F56A12" w:rsidRPr="00B679A0">
        <w:rPr>
          <w:noProof/>
        </w:rPr>
        <w:t>fewer</w:t>
      </w:r>
      <w:r w:rsidR="00F56A12" w:rsidRPr="00B679A0">
        <w:t xml:space="preserve"> uncertainties, as its water show little degassing (Tab. 3). Based on all that, H3 is the most appropriate spring for evaluating the </w:t>
      </w:r>
      <w:r w:rsidR="00F56A12" w:rsidRPr="00B679A0">
        <w:rPr>
          <w:vertAlign w:val="superscript"/>
        </w:rPr>
        <w:t>4</w:t>
      </w:r>
      <w:r w:rsidR="00F56A12" w:rsidRPr="00B679A0">
        <w:t>He</w:t>
      </w:r>
      <w:r w:rsidR="00F56A12" w:rsidRPr="00B679A0">
        <w:rPr>
          <w:vertAlign w:val="subscript"/>
        </w:rPr>
        <w:t>rad</w:t>
      </w:r>
      <w:r w:rsidR="00F56A12" w:rsidRPr="00B679A0">
        <w:t xml:space="preserve"> production rate in the study areas. </w:t>
      </w:r>
      <w:r w:rsidRPr="00444A13">
        <w:t xml:space="preserve">Assuming no mixing with </w:t>
      </w:r>
      <w:r w:rsidRPr="00444A13">
        <w:rPr>
          <w:vertAlign w:val="superscript"/>
        </w:rPr>
        <w:t>3</w:t>
      </w:r>
      <w:r w:rsidRPr="00444A13">
        <w:t>H free groundwater i</w:t>
      </w:r>
      <w:r w:rsidR="00F56A12" w:rsidRPr="00434501">
        <w:t xml:space="preserve">t would be necessary an </w:t>
      </w:r>
      <w:r w:rsidR="00F56A12" w:rsidRPr="00B679A0">
        <w:rPr>
          <w:vertAlign w:val="superscript"/>
        </w:rPr>
        <w:t>4</w:t>
      </w:r>
      <w:r w:rsidR="00F56A12" w:rsidRPr="00B679A0">
        <w:t>He accumulation rate of approximately 5.2·10</w:t>
      </w:r>
      <w:r w:rsidR="00F56A12" w:rsidRPr="00B679A0">
        <w:rPr>
          <w:vertAlign w:val="superscript"/>
        </w:rPr>
        <w:t>-10</w:t>
      </w:r>
      <w:r w:rsidR="00F56A12" w:rsidRPr="00B679A0">
        <w:t xml:space="preserve"> ccSTP/g·year to reach the observed </w:t>
      </w:r>
      <w:r w:rsidR="00F56A12" w:rsidRPr="00B679A0">
        <w:rPr>
          <w:vertAlign w:val="superscript"/>
        </w:rPr>
        <w:t>4</w:t>
      </w:r>
      <w:r w:rsidR="00F56A12" w:rsidRPr="00B679A0">
        <w:t>He</w:t>
      </w:r>
      <w:r w:rsidR="00F56A12" w:rsidRPr="00B679A0">
        <w:rPr>
          <w:vertAlign w:val="subscript"/>
        </w:rPr>
        <w:t>rad</w:t>
      </w:r>
      <w:r w:rsidR="00F56A12" w:rsidRPr="00B679A0">
        <w:t xml:space="preserve"> values found in H3 in a transit time similar to its </w:t>
      </w:r>
      <w:r w:rsidR="00F56A12" w:rsidRPr="00B679A0">
        <w:rPr>
          <w:vertAlign w:val="superscript"/>
        </w:rPr>
        <w:t>3</w:t>
      </w:r>
      <w:r w:rsidR="00F56A12" w:rsidRPr="00B679A0">
        <w:t>H/</w:t>
      </w:r>
      <w:r w:rsidR="00F56A12" w:rsidRPr="00B679A0">
        <w:rPr>
          <w:vertAlign w:val="superscript"/>
        </w:rPr>
        <w:t>3</w:t>
      </w:r>
      <w:r w:rsidR="00F56A12" w:rsidRPr="00B679A0">
        <w:t xml:space="preserve">He age. This value is comparable to others found in </w:t>
      </w:r>
      <w:r w:rsidR="00F56A12" w:rsidRPr="00B679A0">
        <w:rPr>
          <w:noProof/>
        </w:rPr>
        <w:t>literature</w:t>
      </w:r>
      <w:r w:rsidR="00F56A12" w:rsidRPr="00B679A0">
        <w:t xml:space="preserve"> </w:t>
      </w:r>
      <w:r w:rsidR="00F56A12" w:rsidRPr="00434501">
        <w:fldChar w:fldCharType="begin" w:fldLock="1"/>
      </w:r>
      <w:r w:rsidR="00F56A12" w:rsidRPr="00444A13">
        <w:instrText>ADDIN CSL_CITATION {"citationItems":[{"id":"ITEM-1","itemData":{"abstract":"Tritium, helium isotope and neon data from a multi-level samplig well (DFG 7) at Liedern/Bocholt (West Germany) are presented and discussed. The presence of a radiogenic helium component leads to 3He/4He ratios below that of atmospheric helium (minium 8 He values = - 60%) belaw abaut 20 m depth. The 3He profie can be corrected far the nucleogenic 3 He campanent using the neon measurements. Based an the \" Vagel\" madel .of a shalaw aquifer the tritium/3 He distributians are simulated far the years 1987, 200 and 2025. The madel results shaw that under favaurable canditians the tritiagenic 3He peak wi be detectable in shalaw aquifers far at least the next decades. The influence .of the vertical flaw velocity and the transversal dispersian coefficient an simulated distributians are estiated. 3 He confinement is calculated as a functian .of the vertical flaw velacity and the transversal dispersian coefficient. There is a critical value .of the vertical flaw velacity (abaut 0.25- 5 m/year) belaw which the 3 He lass increases rapidly ta high values.","author":[{"dropping-particle":"","family":"Schlosser","given":"P","non-dropping-particle":"","parse-names":false,"suffix":""},{"dropping-particle":"","family":"Stute","given":"M","non-dropping-particle":"","parse-names":false,"suffix":""},{"dropping-particle":"","family":"Sonntag","given":"C","non-dropping-particle":"","parse-names":false,"suffix":""},{"dropping-particle":"","family":"Munnich","given":"K O","non-dropping-particle":"","parse-names":false,"suffix":""}],"container-title":"Earth and Planetary Science Letters","id":"ITEM-1","issued":{"date-parts":[["1989"]]},"page":"245-256","title":"Tritogenic ³He in shallow groundwater","type":"article-journal","volume":"94"},"uris":["http://www.mendeley.com/documents/?uuid=b9b94b65-0177-429f-8873-fd62659008e7"]},{"id":"ITEM-2","itemData":{"DOI":"10.1029/96WR00600","ISBN":"0043-1397","ISSN":"00431397","abstract":"Radiogenic helium 4 (4Herad) has been used in numerous studies as a tracer of groundwater age in the range of 103–108 years. We have measured 4Herad along shallow groundwater flow paths at a variety of hydrogeologically distinct sites and postulate its use for dating groundwater as young as 101 years. Groundwater travel times and fluid velocities are particularly well documented at one site in northern Ontario because of detailed profiling of tritium, 3H/3He ratios, and chlorofluorocarbons (CFCs). Metamorphic rocks of the Canadian Shield (.1 Ga) that contain large quantities of 4He are the protolith of this unconsolidated aquifer and observed 4Herad values increase linearly with distance along a flow path and with increasing groundwater age. A solute transport model suggests that the aquifer solids are the source of 4Herad as vertical fluid velocities are too great to allow upward diffusion of 4Herad from the underlying shield rocks. The apparent rate of 4Herad release is 130 mcm3 m23 yr21 and is 300 times greater than can be supported by the in situ decay of U and Th series nuclides (i.e., the ‘‘steady state’’ approximation). Laboratory release experiments (conducted by sequentially heating the aquifer solids, measuring the amount of 4He released, and then extrapolating release rates to the in situ temperature) agree well with the field results and suggest that diffusion from aquifer solids is the source of 4Herad. The combined laboratory and field release data yield 4He diffusion coefficients that exhibit an Arrhenius temperature dependence that is similar to 4He diffusion in quartz reported by other researchers. The 4Herad release rate at the Ontario site is extraordinarily similar to sites in Tennessee, Nebraska, and Germany in spite of major hydrogeologic differences. A model of 4He diffusion from spherical grains suggests that aquifer solids derived from old protoliths will release 4He at rates greater than supported by U/Th production for up to 50 million years in fine sands that have typical U/Th concentrations. Both observations and modeling suggest that 4He may be useful as a groundwater dating tool over a range of tens to hundreds of years. The latter is particularly important because no other groundwater dating techniques are accurate for waters ranging from 40 to about 500 years old.","author":[{"dropping-particle":"","family":"Solomon","given":"D. K.","non-dropping-particle":"","parse-names":false,"suffix":""},{"dropping-particle":"","family":"Hunt","given":"A.","non-dropping-particle":"","parse-names":false,"suffix":""},{"dropping-particle":"","family":"Poreda","given":"R. J.","non-dropping-particle":"","parse-names":false,"suffix":""}],"container-title":"Water Resources Research","id":"ITEM-2","issue":"6","issued":{"date-parts":[["1996"]]},"page":"1805-1813","title":"Source of radiogenic helium 4 in shallow aquifers: Implications for dating young groundwater","type":"article-journal","volume":"32"},"uris":["http://www.mendeley.com/documents/?uuid=499b9708-372f-4858-8cf0-ad739c8c4792"]},{"id":"ITEM-3","itemData":{"DOI":"10.1016/S0012-821X(03)00206-1","ISBN":"0012-821X","ISSN":"0012821X","abstract":"The isotopic ratios81Kr/Kr and36Cl/Cl and the4He concentrations measured in groundwater from four artesian wells in the western part of the Great Artesian Basin (GAB) in Australia are discussed. Based on radioactive decay along a water flow path the81Kr/Kr ratios are directly converted to groundwater residence times. Results are in a range of 225-400 kyr with error bars in the order of 15% primarily due to counting statistics in the cyclotron accelerator mass spectrometer measurement. Additional uncertainties from subsurface production and/or exchange with stagnant porewaters in the confining shales appear to be of the same order of magnitude. These81Kr ages are then used to calibrate the36Cl and the4He dating methods. Based on elemental analyses of rock samples from the sandstone aquifer as well as from the confining Bulldog shale the in situ flux of thermal neutrons and the corresponding3He/4He and36Cl/Cl ratios are calculated. From a comparison of: (i) the3He/4He ratios measured in the groundwater samples with the calculated in situ ratios in rocks and (ii) the measured δ37Cl ratios with the4He concentrations measured in groundwater it is concluded that both helium and chloride are most likely added to the aquifer from sources in the stagnant porewaters of the confining shale by diffusion and/or mixing. Based on this 'working hypothesis' the36Cl transport equation in groundwater is solved taking into account: (i) radioactive decay, (ii) subsurface production in the sandstone aquifer (with an in situ36Cl/Cl ratio of 6×10-15) and (iii) addition of chloride from a source in the confining shale (with a36Cl/Cl ratio of 13×10-15). Lacking better information it is assumed that the chloride concentration increased linearly with time from an (unknown) initial value Cito its measured present value C = Ci+ Ca, where Carepresents the (unknown) amount of chloride added from subsurface sources. Using the81Kr ages of the four groundwater samples and a reasonable initial36Cl/Cl ratio of 125×10-15, which is consistent with other studies in this part of the GAB, it is then possible to determine ( Ci, Ca) parameter sets for all four samples and consequently to simulate the Cl and the36Cl evolution with time. Strong evidence that the whole procedure is adequate comes from: (i) a comparison of Ciwith the calculated noble gas recharge temperatures (NGRT) indicating that a higher NGRT is related to higher input chloride concentrations Ci(because of higher evapotranspiratio…","author":[{"dropping-particle":"","family":"Lehmann","given":"B. E.","non-dropping-particle":"","parse-names":false,"suffix":""},{"dropping-particle":"","family":"Love","given":"A.","non-dropping-particle":"","parse-names":false,"suffix":""},{"dropping-particle":"","family":"Purtschert","given":"R.","non-dropping-particle":"","parse-names":false,"suffix":""},{"dropping-particle":"","family":"Collon","given":"P.","non-dropping-particle":"","parse-names":false,"suffix":""},{"dropping-particle":"","family":"Loosli","given":"H. H.","non-dropping-particle":"","parse-names":false,"suffix":""},{"dropping-particle":"","family":"Kutschera","given":"W.","non-dropping-particle":"","parse-names":false,"suffix":""},{"dropping-particle":"","family":"Beyerle","given":"U.","non-dropping-particle":"","parse-names":false,"suffix":""},{"dropping-particle":"","family":"Aeschbach-Hertig","given":"W.","non-dropping-particle":"","parse-names":false,"suffix":""},{"dropping-particle":"","family":"Kipfer","given":"R.","non-dropping-particle":"","parse-names":false,"suffix":""},{"dropping-particle":"","family":"Frape","given":"S. K.","non-dropping-particle":"","parse-names":false,"suffix":""},{"dropping-particle":"","family":"Herczeg","given":"A.","non-dropping-particle":"","parse-names":false,"suffix":""},{"dropping-particle":"","family":"Moran","given":"J.","non-dropping-particle":"","parse-names":false,"suffix":""},{"dropping-particle":"","family":"Tolstikhin","given":"I. N.","non-dropping-particle":"","parse-names":false,"suffix":""},{"dropping-particle":"","family":"Gröning","given":"M.","non-dropping-particle":"","parse-names":false,"suffix":""}],"container-title":"Earth and Planetary Science Letters","id":"ITEM-3","issue":"3-4","issued":{"date-parts":[["2003"]]},"page":"237-250","title":"A comparison of groundwater dating with &lt;sup&gt;81&lt;/sup&gt;Kr, &lt;sup&gt;36&lt;/sup&gt;Cl and &lt;sup&gt;4&lt;/sup&gt;He in four wells of the Great Artesian Basin, Australia","type":"article-journal","volume":"211"},"uris":["http://www.mendeley.com/documents/?uuid=3aa314d0-e905-4804-b827-6f99f0db6883"]},{"id":"ITEM-4","itemData":{"DOI":"10.1016/j.epsl.2009.07.034","ISSN":"0012821X","abstract":"We tested two methods for dating groundwaters that cannot be reliably measured by36Cl dating alone, one based on groundwater flow velocity plus distance along a flow path and the other based on4He accumulation rates calibrated with36Cl dates. We sampled groundwaters along six inferred regional groundwater flow paths in the Great Artesian Basin (GAB) of Australia. We selected three groundwater paths where the decrease in36Cl was largely controlled by cosmogenic36Cl radioactive decay without a significant increase in chloride concentration. The extrapolated groundwater velocities were 0.133 ± 0.018 m/y to 0.433 ± 0.140 m/y. The estimated residence time of 1.06 × 106 y at the discharge area around Lake Eyre was comparable to the estimate of (1-2.2) × 106 y in previous studies. On the other hand, our estimated4He accumulation rates for the selected three groundwater flow paths (1.85 ± 0.31 × 10- 11to 1.51 ± 0.63 × 10- 10ccSTP/cm3{bullet operator}y) were approximately 2-15 times lower than previously reported rates for the central GAB. Our estimated rate of 1.51 × 10- 10 ccSTP/cm3{bullet operator}y- 1in the western GAB is compatible with previous estimates based on81Kr ages. The groundwater residence time estimated from the4He accumulation rate was approximately 7 × 105 y near the discharge area at Lake Eyre. Finally, both estimations were mutually compatible with a 30% error. © 2009 Elsevier B.V.","author":[{"dropping-particle":"","family":"Mahara","given":"Y.","non-dropping-particle":"","parse-names":false,"suffix":""},{"dropping-particle":"","family":"Habermehl","given":"M. A.","non-dropping-particle":"","parse-names":false,"suffix":""},{"dropping-particle":"","family":"Hasegawa","given":"T.","non-dropping-particle":"","parse-names":false,"suffix":""},{"dropping-particle":"","family":"Nakata","given":"K.","non-dropping-particle":"","parse-names":false,"suffix":""},{"dropping-particle":"","family":"Ransley","given":"T. R.","non-dropping-particle":"","parse-names":false,"suffix":""},{"dropping-particle":"","family":"Hatano","given":"T.","non-dropping-particle":"","parse-names":false,"suffix":""},{"dropping-particle":"","family":"Mizuochi","given":"Y.","non-dropping-particle":"","parse-names":false,"suffix":""},{"dropping-particle":"","family":"Kobayashi","given</w:instrText>
      </w:r>
      <w:r w:rsidR="00F56A12" w:rsidRPr="00444A13">
        <w:rPr>
          <w:lang w:val="es-ES_tradnl"/>
        </w:rPr>
        <w:instrText>":"H.","non-dropping-particle":"","parse-names":false,"suffix":""},{"dropping-particle":"","family":"Ninomiya","given":"A.","non-dropping-particle":"","parse-names":false,"suffix":""},{"dropping-particle":"","family":"Senior","given":"B. R.","non-dropping-particle":"","parse-names":false,"suffix":""},{"dropping-particle":"","family":"Yasuda","given":"H.","non-dropping-particle":"","parse-names":false,"suffix":""},{"dropping-particle":"","family":"Ohta","given":"T.","non-dropping-particle":"","parse-names":false,"suffix":""}],"container-title":"Earth and Planetary Science Letters","id":"ITEM-4","issue":"1-2","issued":{"date-parts":[["2009"]]},"page":"43-56","publisher":"Elsevier B.V.","title":"Groundwater dating by estimation of groundwater flow velocity and dissolved &lt;sup&gt;4&lt;/sup&gt;He accumulation rate calibrated by &lt;sup&gt;36&lt;/sup&gt;Cl in the Great Artesian Basin, Australia","type":"article-journal","volume":"287"},"uris":["http://www.mendeley.com/documents/?uuid=413f389f-4086-41ed-905d-56ecbc97ee22"]}],"mendeley":{"formattedCitation":"(Lehmann et al., 2003; Mahara et al., 2009; Schlosser et al., 1989; Solomon et al., 1996)","plainTextFormattedCitation":"(Lehmann et al., 2003; Mahara et al., 2009; Schlosser et al., 1989; Solomon et al., 1996)","previouslyFormattedCitation":"(Lehmann et al., 2003; Mahara et al., 2009; Schlosser et al., 1989; Solomon et al., 1996)"},"properties":{"noteIndex":0},"schema":"https://github.com/citation-style-language/schema/raw/master/csl-citation.json"}</w:instrText>
      </w:r>
      <w:r w:rsidR="00F56A12" w:rsidRPr="00444A13">
        <w:fldChar w:fldCharType="separate"/>
      </w:r>
      <w:r w:rsidR="00F56A12" w:rsidRPr="00434501">
        <w:rPr>
          <w:noProof/>
          <w:lang w:val="es-ES_tradnl"/>
        </w:rPr>
        <w:t xml:space="preserve">(Lehmann et al., 2003; </w:t>
      </w:r>
      <w:r w:rsidR="00F56A12" w:rsidRPr="00B679A0">
        <w:rPr>
          <w:noProof/>
          <w:lang w:val="es-ES_tradnl"/>
        </w:rPr>
        <w:t>Mahara et al., 2009; Schlosser et al., 1989; Solomon et al., 1996)</w:t>
      </w:r>
      <w:r w:rsidR="00F56A12" w:rsidRPr="00434501">
        <w:fldChar w:fldCharType="end"/>
      </w:r>
      <w:r w:rsidR="00F56A12" w:rsidRPr="00434501">
        <w:rPr>
          <w:lang w:val="es-ES_tradnl"/>
        </w:rPr>
        <w:t xml:space="preserve">. </w:t>
      </w:r>
      <w:r w:rsidR="00F56A12" w:rsidRPr="00434501">
        <w:rPr>
          <w:vertAlign w:val="superscript"/>
        </w:rPr>
        <w:t>4</w:t>
      </w:r>
      <w:r w:rsidR="00F56A12" w:rsidRPr="00B679A0">
        <w:t xml:space="preserve">He ages, derived from the proposed accumulation rate, are included in table 3 and vary from 1 year (T4) to more than 4,600 years (T3). </w:t>
      </w:r>
      <w:r w:rsidRPr="00444A13">
        <w:t xml:space="preserve">Nonetheless, such values must be considered carefully, </w:t>
      </w:r>
      <w:r w:rsidR="00B679A0">
        <w:t>as</w:t>
      </w:r>
      <w:r w:rsidR="00B679A0">
        <w:t xml:space="preserve"> the existence of an old groundwater componen</w:t>
      </w:r>
      <w:r w:rsidR="00B679A0">
        <w:t xml:space="preserve">t </w:t>
      </w:r>
      <w:r w:rsidR="00B679A0">
        <w:t xml:space="preserve">containing a large concentration of </w:t>
      </w:r>
      <w:r w:rsidR="00B679A0" w:rsidRPr="00E1517B">
        <w:rPr>
          <w:vertAlign w:val="superscript"/>
        </w:rPr>
        <w:t>4</w:t>
      </w:r>
      <w:r w:rsidR="00B679A0">
        <w:t xml:space="preserve">He </w:t>
      </w:r>
      <w:r w:rsidR="00B679A0">
        <w:t>in the mixing would introduce a considerable uncertainty to the calculated accumulation rate.</w:t>
      </w:r>
      <w:r w:rsidR="00B679A0" w:rsidRPr="00B679A0">
        <w:t xml:space="preserve"> </w:t>
      </w:r>
      <w:r w:rsidR="00B679A0">
        <w:t>Also,</w:t>
      </w:r>
      <w:r w:rsidRPr="00444A13">
        <w:t xml:space="preserve"> the </w:t>
      </w:r>
      <w:r w:rsidRPr="00444A13">
        <w:rPr>
          <w:vertAlign w:val="superscript"/>
        </w:rPr>
        <w:t>4</w:t>
      </w:r>
      <w:r w:rsidRPr="00444A13">
        <w:t>He</w:t>
      </w:r>
      <w:r w:rsidRPr="00444A13">
        <w:rPr>
          <w:vertAlign w:val="subscript"/>
        </w:rPr>
        <w:t>rad</w:t>
      </w:r>
      <w:r w:rsidRPr="00444A13">
        <w:t xml:space="preserve"> accumulation rates reported in literature vary two order of magnitude, from </w:t>
      </w:r>
      <w:r w:rsidRPr="00434501">
        <w:t>0</w:t>
      </w:r>
      <w:r w:rsidR="00444A13">
        <w:t>.</w:t>
      </w:r>
      <w:r w:rsidRPr="00434501">
        <w:t>2·10</w:t>
      </w:r>
      <w:r w:rsidRPr="00434501">
        <w:rPr>
          <w:vertAlign w:val="superscript"/>
        </w:rPr>
        <w:t>-10</w:t>
      </w:r>
      <w:r w:rsidRPr="00B679A0">
        <w:t xml:space="preserve"> Nml/g·</w:t>
      </w:r>
      <w:r w:rsidR="00434501" w:rsidRPr="00B679A0">
        <w:t>year</w:t>
      </w:r>
      <w:r w:rsidRPr="00B679A0">
        <w:t xml:space="preserve"> (</w:t>
      </w:r>
      <w:r w:rsidRPr="00444A13">
        <w:t>Lehmann et al., 2003</w:t>
      </w:r>
      <w:r w:rsidRPr="00434501">
        <w:t>)</w:t>
      </w:r>
      <w:r w:rsidR="00434501" w:rsidRPr="00B679A0">
        <w:t xml:space="preserve"> to 1</w:t>
      </w:r>
      <w:r w:rsidR="00444A13">
        <w:t>.</w:t>
      </w:r>
      <w:r w:rsidR="00434501" w:rsidRPr="00B679A0">
        <w:t>9·10</w:t>
      </w:r>
      <w:r w:rsidR="00434501" w:rsidRPr="00B679A0">
        <w:rPr>
          <w:vertAlign w:val="superscript"/>
        </w:rPr>
        <w:t>-9</w:t>
      </w:r>
      <w:r w:rsidR="00434501" w:rsidRPr="00B679A0">
        <w:t xml:space="preserve"> Nml/g·</w:t>
      </w:r>
      <w:r w:rsidR="00444A13">
        <w:t>year</w:t>
      </w:r>
      <w:r w:rsidR="00434501" w:rsidRPr="00B679A0">
        <w:t xml:space="preserve"> (</w:t>
      </w:r>
      <w:r w:rsidR="00434501" w:rsidRPr="00444A13">
        <w:t xml:space="preserve">Beyerle </w:t>
      </w:r>
      <w:r w:rsidR="00434501" w:rsidRPr="00444A13">
        <w:rPr>
          <w:i/>
        </w:rPr>
        <w:t>et al</w:t>
      </w:r>
      <w:r w:rsidR="00434501" w:rsidRPr="00444A13">
        <w:t>., 1999</w:t>
      </w:r>
      <w:r w:rsidR="00434501" w:rsidRPr="00434501">
        <w:t>)</w:t>
      </w:r>
      <w:r w:rsidR="00434501" w:rsidRPr="00B679A0">
        <w:t xml:space="preserve">. </w:t>
      </w:r>
      <w:r w:rsidR="00F56A12" w:rsidRPr="00B679A0">
        <w:t xml:space="preserve">In </w:t>
      </w:r>
      <w:r w:rsidR="00434501" w:rsidRPr="00444A13">
        <w:t>any case, if a similar accumulation rates are assumed</w:t>
      </w:r>
      <w:r w:rsidR="00F56A12" w:rsidRPr="00434501">
        <w:t xml:space="preserve"> in each study area</w:t>
      </w:r>
      <w:r w:rsidR="00434501" w:rsidRPr="00444A13">
        <w:t>, the</w:t>
      </w:r>
      <w:r w:rsidR="00F56A12" w:rsidRPr="00434501">
        <w:t xml:space="preserve"> </w:t>
      </w:r>
      <w:r w:rsidR="00F56A12" w:rsidRPr="00B679A0">
        <w:rPr>
          <w:vertAlign w:val="superscript"/>
        </w:rPr>
        <w:t>4</w:t>
      </w:r>
      <w:r w:rsidR="00F56A12" w:rsidRPr="00B679A0">
        <w:t xml:space="preserve">He ages of the springs located at lower altitudes </w:t>
      </w:r>
      <w:r w:rsidR="00434501" w:rsidRPr="00444A13">
        <w:t>would be</w:t>
      </w:r>
      <w:r w:rsidR="00F56A12" w:rsidRPr="00434501">
        <w:t xml:space="preserve"> older, except for Jarales area, where Lower Anzur spring (J1) samples </w:t>
      </w:r>
      <w:r w:rsidR="00F56A12" w:rsidRPr="00B679A0">
        <w:rPr>
          <w:noProof/>
        </w:rPr>
        <w:t>had</w:t>
      </w:r>
      <w:r w:rsidR="00F56A12" w:rsidRPr="00B679A0">
        <w:t xml:space="preserve"> less </w:t>
      </w:r>
      <w:r w:rsidR="00F56A12" w:rsidRPr="00B679A0">
        <w:rPr>
          <w:vertAlign w:val="superscript"/>
        </w:rPr>
        <w:t>4</w:t>
      </w:r>
      <w:r w:rsidR="00F56A12" w:rsidRPr="00B679A0">
        <w:t>He</w:t>
      </w:r>
      <w:r w:rsidR="00F56A12" w:rsidRPr="00B679A0">
        <w:rPr>
          <w:vertAlign w:val="subscript"/>
        </w:rPr>
        <w:t>rad</w:t>
      </w:r>
      <w:r w:rsidR="00F56A12" w:rsidRPr="00B679A0">
        <w:t xml:space="preserve"> than Upper Anzur spring (J3).</w:t>
      </w:r>
    </w:p>
    <w:p w14:paraId="4921B6E1" w14:textId="64843057" w:rsidR="00760D4C" w:rsidRPr="00194419" w:rsidRDefault="008B6CDA" w:rsidP="00444A13">
      <w:pPr>
        <w:spacing w:line="480" w:lineRule="auto"/>
        <w:ind w:firstLine="426"/>
      </w:pPr>
      <w:r w:rsidRPr="00194419">
        <w:t xml:space="preserve">Degassing corrected </w:t>
      </w:r>
      <w:r w:rsidR="00760D4C" w:rsidRPr="00194419">
        <w:rPr>
          <w:vertAlign w:val="superscript"/>
        </w:rPr>
        <w:t>4</w:t>
      </w:r>
      <w:r w:rsidR="00760D4C" w:rsidRPr="00194419">
        <w:t>He</w:t>
      </w:r>
      <w:r w:rsidR="00760D4C" w:rsidRPr="00194419">
        <w:rPr>
          <w:vertAlign w:val="subscript"/>
        </w:rPr>
        <w:t>rad</w:t>
      </w:r>
      <w:r w:rsidR="00760D4C" w:rsidRPr="00194419">
        <w:t xml:space="preserve"> values and proposed </w:t>
      </w:r>
      <w:r w:rsidR="00760D4C" w:rsidRPr="00194419">
        <w:rPr>
          <w:vertAlign w:val="superscript"/>
        </w:rPr>
        <w:t>4</w:t>
      </w:r>
      <w:r w:rsidR="00760D4C" w:rsidRPr="00194419">
        <w:t xml:space="preserve">He ages (Tab. </w:t>
      </w:r>
      <w:r w:rsidR="00E85DD6">
        <w:t>3</w:t>
      </w:r>
      <w:r w:rsidR="00760D4C" w:rsidRPr="00194419">
        <w:t xml:space="preserve">) also present some relation </w:t>
      </w:r>
      <w:r w:rsidR="00A20A90" w:rsidRPr="00194419">
        <w:t xml:space="preserve">with </w:t>
      </w:r>
      <w:r w:rsidR="00760D4C" w:rsidRPr="00194419">
        <w:t>EC, although</w:t>
      </w:r>
      <w:r w:rsidR="00852E44" w:rsidRPr="00194419">
        <w:t xml:space="preserve"> it</w:t>
      </w:r>
      <w:r w:rsidR="00760D4C" w:rsidRPr="00194419">
        <w:t xml:space="preserve"> is</w:t>
      </w:r>
      <w:r w:rsidR="00852E44" w:rsidRPr="00194419">
        <w:t xml:space="preserve"> positive, </w:t>
      </w:r>
      <w:r w:rsidR="0037121E" w:rsidRPr="00194419">
        <w:t xml:space="preserve">contrary </w:t>
      </w:r>
      <w:r w:rsidR="00760D4C" w:rsidRPr="00194419">
        <w:t xml:space="preserve">to that observed between </w:t>
      </w:r>
      <w:r w:rsidR="00760D4C" w:rsidRPr="00194419">
        <w:rPr>
          <w:vertAlign w:val="superscript"/>
        </w:rPr>
        <w:t>3</w:t>
      </w:r>
      <w:r w:rsidR="00760D4C" w:rsidRPr="00194419">
        <w:t xml:space="preserve">H and EC (Fig. 9). That suggests that </w:t>
      </w:r>
      <w:r w:rsidR="00760D4C" w:rsidRPr="00194419">
        <w:rPr>
          <w:noProof/>
        </w:rPr>
        <w:t>the most</w:t>
      </w:r>
      <w:r w:rsidR="00760D4C" w:rsidRPr="00194419">
        <w:t xml:space="preserve"> mineralized waters would generally have greater </w:t>
      </w:r>
      <w:r w:rsidR="00760D4C" w:rsidRPr="00194419">
        <w:rPr>
          <w:vertAlign w:val="superscript"/>
        </w:rPr>
        <w:t>4</w:t>
      </w:r>
      <w:r w:rsidR="00760D4C" w:rsidRPr="00194419">
        <w:t>He</w:t>
      </w:r>
      <w:r w:rsidR="00760D4C" w:rsidRPr="00194419">
        <w:rPr>
          <w:vertAlign w:val="subscript"/>
        </w:rPr>
        <w:t>rad</w:t>
      </w:r>
      <w:r w:rsidR="00760D4C" w:rsidRPr="00194419">
        <w:t xml:space="preserve"> concentrations tha</w:t>
      </w:r>
      <w:r w:rsidR="001A75EF" w:rsidRPr="00194419">
        <w:t>n</w:t>
      </w:r>
      <w:r w:rsidR="00760D4C" w:rsidRPr="00194419">
        <w:t xml:space="preserve"> those </w:t>
      </w:r>
      <w:r w:rsidR="00702CA7" w:rsidRPr="00194419">
        <w:t>with less solute content</w:t>
      </w:r>
      <w:r w:rsidR="00760D4C" w:rsidRPr="00194419">
        <w:t xml:space="preserve">. Therefore, groundwater salinity could be somehow related to </w:t>
      </w:r>
      <w:r w:rsidR="00A20A90" w:rsidRPr="00194419">
        <w:t>their</w:t>
      </w:r>
      <w:r w:rsidR="001A75EF" w:rsidRPr="00194419">
        <w:t xml:space="preserve"> </w:t>
      </w:r>
      <w:r w:rsidR="00760D4C" w:rsidRPr="00194419">
        <w:t>residence time within the media</w:t>
      </w:r>
      <w:r w:rsidR="00852E44" w:rsidRPr="00194419">
        <w:t xml:space="preserve">, as the accumulation of the observed </w:t>
      </w:r>
      <w:r w:rsidR="00852E44" w:rsidRPr="00194419">
        <w:rPr>
          <w:vertAlign w:val="superscript"/>
        </w:rPr>
        <w:t>4</w:t>
      </w:r>
      <w:r w:rsidR="00852E44" w:rsidRPr="00194419">
        <w:t>He</w:t>
      </w:r>
      <w:r w:rsidR="00852E44" w:rsidRPr="00194419">
        <w:rPr>
          <w:vertAlign w:val="subscript"/>
        </w:rPr>
        <w:t>rad</w:t>
      </w:r>
      <w:r w:rsidR="00852E44" w:rsidRPr="00194419">
        <w:t xml:space="preserve"> values </w:t>
      </w:r>
      <w:r w:rsidR="00852E44" w:rsidRPr="00194419">
        <w:rPr>
          <w:noProof/>
        </w:rPr>
        <w:t>require</w:t>
      </w:r>
      <w:r w:rsidR="00A81499" w:rsidRPr="00194419">
        <w:rPr>
          <w:noProof/>
        </w:rPr>
        <w:t>s</w:t>
      </w:r>
      <w:r w:rsidR="00852E44" w:rsidRPr="00194419">
        <w:t xml:space="preserve"> long-lasting water-rock interaction</w:t>
      </w:r>
      <w:r w:rsidR="0037121E" w:rsidRPr="00194419">
        <w:t xml:space="preserve"> </w:t>
      </w:r>
      <w:r w:rsidR="0037121E" w:rsidRPr="00194419">
        <w:fldChar w:fldCharType="begin" w:fldLock="1"/>
      </w:r>
      <w:r w:rsidR="005527DE" w:rsidRPr="00194419">
        <w:instrText>ADDIN CSL_CITATION {"citationItems":[{"id":"ITEM-1","itemData":{"DOI":"10.1016/0016-7037(85)90244-3","ISBN":"0016-7037","ISSN":"00167037","abstract":"A model of 4He accumulation in a confined aquifer is presented which includes in situ production and a crustal degassing flux of 4He into the bottom of a confined aquifer. The model is consistent with the measurements of 4He concentration in the Great Artesian Basin, Australia (Torgersen and Clarke, 1985) and also with the measurements of 4He concentration in the Auob Sandstone of Namibia (Heaton, 1981). The measured value of the crustal degassing flux of 4He from these two areas is comparable with the 4He degassing flux calculated from the atmospheric budget of 4He (Wasserburg et al., 1963; Ozima and Podosek, 1983). A literature review suggests that a crustal degassing 4He source may account for the 4He accumulation in many other groundwater systems. It is concluded from the literature review, the detailed modelling of 4He accumulation in GAB and the Auob Sandstone, and the atmospheric budget that crustal degassing of 4He may be a common and widespread phenomena. ?? 1985.","author":[{"dropping-particle":"","family":"Torgersen","given":"T.","non-dropping-particle":"","parse-names":false,"suffix":""},{"dropping-particle":"","family":"Clarke","given":"W.B.","non-dropping-particle":"","parse-names":false,"suffix":""}],"container-title":"Geochimica et Cosmochimica Acta","id":"ITEM-1","issued":{"date-parts":[["1985"]]},"page":"1211-1218","title":"Helium accumulation in groundwater I: An evaluation of sources and the continental flux of crustal &lt;sup&gt;4&lt;/sup&gt;He in the Great Artesian Basin, Australia","type":"article-journal","volume":"49"},"uris":["http://www.mendeley.com/documents/?uuid=7e939b2b-60d2-4698-a4f3-55fb11c891a3"]},{"id":"ITEM-2","itemData":{"author":[{"dropping-particle":"","family":"IAEA","given":"","non-dropping-particle":"","parse-names":false,"suffix":""}],"id":"ITEM-2","issued":{"date-parts":[["2013"]]},"number-of-pages":"357","publisher":"International Atomic Energy Agency","publisher-place":"Vienna","title":"Isotope methords for dating old groundwater","type":"book"},"uris":["http://www.mendeley.com/documents/?uuid=bb1937b1-8f07-485d-812f-37d508678d2a"]}],"mendeley":{"formattedCitation":"(IAEA, 2013; Torgersen and Clarke, 1985)","plainTextFormattedCitation":"(IAEA, 2013; Torgersen and Clarke, 1985)","previouslyFormattedCitation":"(IAEA, 2013; Torgersen and Clarke, 1985)"},"properties":{"noteIndex":0},"schema":"https://github.com/citation-style-language/schema/raw/master/csl-citation.json"}</w:instrText>
      </w:r>
      <w:r w:rsidR="0037121E" w:rsidRPr="00194419">
        <w:fldChar w:fldCharType="separate"/>
      </w:r>
      <w:r w:rsidR="00BC37DD" w:rsidRPr="00194419">
        <w:rPr>
          <w:noProof/>
        </w:rPr>
        <w:t xml:space="preserve">(IAEA, 2013; Torgersen </w:t>
      </w:r>
      <w:r w:rsidR="00BC37DD" w:rsidRPr="00194419">
        <w:rPr>
          <w:noProof/>
        </w:rPr>
        <w:lastRenderedPageBreak/>
        <w:t>and Clarke, 1985)</w:t>
      </w:r>
      <w:r w:rsidR="0037121E" w:rsidRPr="00194419">
        <w:fldChar w:fldCharType="end"/>
      </w:r>
      <w:r w:rsidR="00852E44" w:rsidRPr="00194419">
        <w:t xml:space="preserve">. </w:t>
      </w:r>
      <w:r w:rsidR="00760D4C" w:rsidRPr="00194419">
        <w:t xml:space="preserve">Assuming </w:t>
      </w:r>
      <w:r w:rsidR="00C13EF0" w:rsidRPr="00194419">
        <w:t>this</w:t>
      </w:r>
      <w:r w:rsidR="00760D4C" w:rsidRPr="00194419">
        <w:t xml:space="preserve"> statement, springs draining brine water could be the discharge points of regional groundwater flows. Nonetheless, </w:t>
      </w:r>
      <w:r w:rsidR="00702CA7" w:rsidRPr="00194419">
        <w:t xml:space="preserve">it must be pointed out that noble gas </w:t>
      </w:r>
      <w:r w:rsidR="009F58A5">
        <w:t>interpretation</w:t>
      </w:r>
      <w:r w:rsidR="009F58A5" w:rsidRPr="00194419">
        <w:t xml:space="preserve"> </w:t>
      </w:r>
      <w:r w:rsidR="00702CA7" w:rsidRPr="00194419">
        <w:t xml:space="preserve">was accompanied by many </w:t>
      </w:r>
      <w:r w:rsidR="005C1955">
        <w:t>uncertainties</w:t>
      </w:r>
      <w:r w:rsidR="00702CA7" w:rsidRPr="00194419">
        <w:t>, mainly due to degassing. Such physical process is favored by the drop of gas solubility in high salinity groundwater</w:t>
      </w:r>
      <w:r w:rsidR="00BC37DD" w:rsidRPr="00194419">
        <w:t xml:space="preserve"> </w:t>
      </w:r>
      <w:r w:rsidR="00BC37DD" w:rsidRPr="00194419">
        <w:fldChar w:fldCharType="begin" w:fldLock="1"/>
      </w:r>
      <w:r w:rsidR="00941999" w:rsidRPr="00194419">
        <w:instrText xml:space="preserve">ADDIN CSL_CITATION {"citationItems":[{"id":"ITEM-1","itemData":{"DOI":"10.1016/j.gca.2017.01.033","ISSN":"00167037","abstract":"Analyses for81Kr and noble gases on groundwater from the deepest aquifer system of the Baltic Artesian Basin (BAB) were performed to determine groundwater ages and uncover the flow dynamics of the system on a timescale of several hundred thousand years. We find that the system is controlled by mixing of three distinct water masses: Interglacial or recent meteoric water (δ18O ≈ −10.4‰) with a poorly evolved chemical and noble gas signature, glacial meltwater (δ18O </w:instrText>
      </w:r>
      <w:r w:rsidR="00941999" w:rsidRPr="00194419">
        <w:rPr>
          <w:rFonts w:ascii="Cambria Math" w:hAnsi="Cambria Math" w:cs="Cambria Math"/>
        </w:rPr>
        <w:instrText>⩽</w:instrText>
      </w:r>
      <w:r w:rsidR="00941999" w:rsidRPr="00194419">
        <w:instrText xml:space="preserve"> −18‰) with elevated noble gas concentrations, and an old, high-salinity brine component (δ18O </w:instrText>
      </w:r>
      <w:r w:rsidR="00941999" w:rsidRPr="00194419">
        <w:rPr>
          <w:rFonts w:ascii="Cambria Math" w:hAnsi="Cambria Math" w:cs="Cambria Math"/>
        </w:rPr>
        <w:instrText>⩾</w:instrText>
      </w:r>
      <w:r w:rsidR="00941999" w:rsidRPr="00194419">
        <w:instrText xml:space="preserve"> −4.5‰, </w:instrText>
      </w:r>
      <w:r w:rsidR="00941999" w:rsidRPr="00194419">
        <w:rPr>
          <w:rFonts w:ascii="Cambria Math" w:hAnsi="Cambria Math" w:cs="Cambria Math"/>
        </w:rPr>
        <w:instrText>⩾</w:instrText>
      </w:r>
      <w:r w:rsidR="00941999" w:rsidRPr="00194419">
        <w:instrText xml:space="preserve"> 90 g Cl−/L) with strongly depleted atmospheric noble gas concentrations. The81Kr measurements are interpreted within this mixing framework to estimate the age of the end-members. Deconvoluted81Kr ages range from 300 ka to 1.3 Ma for interglacial or recent meteoric water and glacial meltwater. For the brine component, ages exceed the dating range of the ATTA-3 instrument of 1.3 Ma. The radiogenic noble gas components4He</w:instrText>
      </w:r>
      <w:r w:rsidR="00941999" w:rsidRPr="00194419">
        <w:rPr>
          <w:rFonts w:ascii="Cambria Math" w:hAnsi="Cambria Math" w:cs="Cambria Math"/>
        </w:rPr>
        <w:instrText>∗</w:instrText>
      </w:r>
      <w:r w:rsidR="00941999" w:rsidRPr="00194419">
        <w:instrText>and40Ar</w:instrText>
      </w:r>
      <w:r w:rsidR="00941999" w:rsidRPr="00194419">
        <w:rPr>
          <w:rFonts w:ascii="Cambria Math" w:hAnsi="Cambria Math" w:cs="Cambria Math"/>
        </w:rPr>
        <w:instrText>∗</w:instrText>
      </w:r>
      <w:r w:rsidR="00941999" w:rsidRPr="00194419">
        <w:instrText>are less conclusive but also support an age of &gt; 1 Ma for the brine. Based on the chemical and noble gas concentrations and the dating results, we conclude that the brine originates from evaporated seawater that has been modified by later water–rock interaction. As the obtained tracer ages cover several glacial cycles, we discuss the impact of the glacial cycles on flow patterns in the studied aquifer system.","author":[{"dropping-particle":"","family":"Gerber","given":"Christoph","non-dropping-particle":"","parse-names":false,"suffix":""},{"dropping-particle":"","family":"Vaikmäe","given":"Rein","non-dropping-particle":"","parse-names":false,"suffix":""},{"dropping-particle":"","family":"Aeschbach","given":"Werner","non-dropping-particle":"","parse-names":false,"suffix":""},{"dropping-particle":"","family":"Babre","given":"Alise","non-dropping-particle":"","parse-names":false,"suffix":""},{"dropping-particle":"","family":"Jiang","given":"Wei","non-dropping-particle":"","parse-names":false,"suffix":""},{"dropping-particle":"","family":"Leuenberger","given":"Markus","non-dropping-particle":"","parse-names":false,"suffix":""},{"dropping-particle":"","family":"Lu","given":"Zheng Tian","non-dropping-particle":"","parse-names":false,"suffix":""},{"dropping-particle":"","family":"Mokrik","given":"Robert","non-dropping-particle":"","parse-names":false,"suffix":""},{"dropping-particle":"","family":"Müller","given":"Peter","non-dropping-particle":"","parse-names":false,"suffix":""},{"dropping-particle":"","family":"Raidla","given":"Valle","non-dropping-particle":"","parse-names":false,"suffix":""},{"dropping-particle":"","family":"Saks","given":"Tomas","non-dropping-particle":"","parse-names":false,"suffix":""},{"dropping-particle":"","family":"Waber","given":"H. Niklaus","non-dropping-particle":"","parse-names":false,"suffix":""},{"dropping-particle":"","family":"Weissbach","given":"Therese","non-dropping-particle":"","parse-names":false,"suffix":""},{"dropping-particle":"","family":"Zappala","given":"Jake C.","non-dropping-particle":"","parse-names":false,"suffix":""},{"dropping-particle":"","family":"Purtschert","given":"Roland","non-dropping-particle":"","parse-names":false,"suffix":""}],"container-title":"Geochimica et Cosmochimica Acta","id":"ITEM-1","issued":{"date-parts":[["2017"]]},"page":"187-210","title":"Using &lt;sup&gt;81&lt;/sup&gt;Kr and noble gases to characterize and date groundwater and brines in the Baltic Artesian Basin on the one-million-year timescale","type":"article-journal","volume":"205"},"uris":["http://www.mendeley.com/documents/?uuid=d337e2a4-0c8f-4eb6-8ddb-58cf8d260fb4"]}],"mendeley":{"formattedCitation":"(Gerber et al., 2017)","plainTextFormattedCitation":"(Gerber et al., 2017)","previouslyFormattedCitation":"(Gerber et al., 2017)"},"properties":{"noteIndex":0},"schema":"https://github.com/citation-style-language/schema/raw/master/csl-citation.json"}</w:instrText>
      </w:r>
      <w:r w:rsidR="00BC37DD" w:rsidRPr="00194419">
        <w:fldChar w:fldCharType="separate"/>
      </w:r>
      <w:r w:rsidR="00BC37DD" w:rsidRPr="00194419">
        <w:rPr>
          <w:noProof/>
        </w:rPr>
        <w:t>(Gerber et al., 2017)</w:t>
      </w:r>
      <w:r w:rsidR="00BC37DD" w:rsidRPr="00194419">
        <w:fldChar w:fldCharType="end"/>
      </w:r>
      <w:r w:rsidR="00702CA7" w:rsidRPr="00194419">
        <w:t xml:space="preserve">, particularly considering that samples were taken </w:t>
      </w:r>
      <w:r w:rsidR="00852E44" w:rsidRPr="00194419">
        <w:t>from</w:t>
      </w:r>
      <w:r w:rsidR="00702CA7" w:rsidRPr="00194419">
        <w:t xml:space="preserve"> springs once groundwater </w:t>
      </w:r>
      <w:r w:rsidR="005C1955">
        <w:t xml:space="preserve">might has been </w:t>
      </w:r>
      <w:r w:rsidR="00702CA7" w:rsidRPr="00194419">
        <w:t xml:space="preserve">already in contact with the atmosphere. </w:t>
      </w:r>
      <w:r w:rsidR="00947961" w:rsidRPr="00194419">
        <w:t xml:space="preserve">Besides, the </w:t>
      </w:r>
      <w:r w:rsidR="00A20A90" w:rsidRPr="00194419">
        <w:t>c</w:t>
      </w:r>
      <w:r w:rsidR="00947961" w:rsidRPr="00194419">
        <w:t>onvergence at the spring of a hierarchized groundwater flowpath system with different residence time</w:t>
      </w:r>
      <w:r w:rsidR="00A20A90" w:rsidRPr="00194419">
        <w:t>s</w:t>
      </w:r>
      <w:r w:rsidR="00947961" w:rsidRPr="00194419">
        <w:t xml:space="preserve">, </w:t>
      </w:r>
      <w:r w:rsidR="00A20A90" w:rsidRPr="00194419">
        <w:t xml:space="preserve">makes </w:t>
      </w:r>
      <w:r w:rsidR="0042150B" w:rsidRPr="00194419">
        <w:t xml:space="preserve">it </w:t>
      </w:r>
      <w:r w:rsidR="00A20A90" w:rsidRPr="00194419">
        <w:t>difficult to quantify</w:t>
      </w:r>
      <w:r w:rsidR="00C27C27">
        <w:t xml:space="preserve"> the age</w:t>
      </w:r>
      <w:r w:rsidR="00947961" w:rsidRPr="00194419">
        <w:t xml:space="preserve"> </w:t>
      </w:r>
      <w:r w:rsidR="00434501">
        <w:t xml:space="preserve">of </w:t>
      </w:r>
      <w:r w:rsidR="00947961" w:rsidRPr="00194419">
        <w:t xml:space="preserve">the older components of the mixing without </w:t>
      </w:r>
      <w:r w:rsidR="008605A9" w:rsidRPr="00194419">
        <w:t xml:space="preserve">the </w:t>
      </w:r>
      <w:r w:rsidR="00947961" w:rsidRPr="00194419">
        <w:t>additional information of other long timescale tracers</w:t>
      </w:r>
      <w:r w:rsidR="0037121E" w:rsidRPr="00194419">
        <w:t xml:space="preserve"> </w:t>
      </w:r>
      <w:r w:rsidR="0037121E" w:rsidRPr="00194419">
        <w:fldChar w:fldCharType="begin" w:fldLock="1"/>
      </w:r>
      <w:r w:rsidR="0037121E" w:rsidRPr="00194419">
        <w:instrText>ADDIN CSL_CITATION {"citationItems":[{"id":"ITEM-1","itemData":{"DOI":"10.1111/gwat.12148","ISSN":"17456584","abstract":"In this study, we use PFLOTRAN, a highly scalable, parallel, flow, and reactive transport code to simulate the concentrations of 3H, 3He, CFC-11, CFC-12, CFC-113, SF6, 39Ar, and the mean groundwater age in heterogeneous fields on grids with an excess of 10 million nodes. We utilize this computational platform to simulate the concentration of multiple tracers in high-resolution, heterogeneous 2D and 3D domains, and calculate tracer-derived ages. Tracer-derived ages show systematic biases toward younger ages when the groundwater age distribution contains water older than the maximum tracer age. The deviation of the tracer-derived age distribution from the true groundwater age distribution increases with increasing heterogeneity of the system. However, the effect of heterogeneity is diminished as the mean travel time gets closer to the tracer age limit. Age distributions in 3D domains differ significantly from 2D domains. 3D simulations show decreased mean age, and less variance in age distribution for identical heterogeneity statistics. High-performance computing allows for investigation of tracer and groundwater age systematics in high-resolution domains, providing a platform for understanding and utilizing environmental tracer and groundwater age information in heterogeneous 3D systems.","author":[{"dropping-particle":"","family":"Gardner","given":"William P.","non-dropping-particle":"","parse-names":false,"suffix":""},{"dropping-particle":"","family":"Hammond","given":"Glenn","non-dropping-particle":"","parse-names":false,"suffix":""},{"dropping-particle":"","family":"Lichtner","given":"Peter","non-dropping-particle":"","parse-names":false,"suffix":""}],"container-title":"Groundwater","id":"ITEM-1","issued":{"date-parts":[["2015"]]},"title":"High Performance Simulation of Environmental Tracers in Heterogeneous Domains","type":"article-journal"},"uris":["http://www.mendeley.com/documents/?uuid=9392db26-e064-35ed-8d82-fe1f9d737258"]}],"mendeley":{"formattedCitation":"(Gardner et al., 2015)","plainTextFormattedCitation":"(Gardner et al., 2015)","previouslyFormattedCitation":"(Gardner et al., 2015)"},"properties":{"noteIndex":0},"schema":"https://github.com/citation-style-language/schema/raw/master/csl-citation.json"}</w:instrText>
      </w:r>
      <w:r w:rsidR="0037121E" w:rsidRPr="00194419">
        <w:fldChar w:fldCharType="separate"/>
      </w:r>
      <w:r w:rsidR="0037121E" w:rsidRPr="00194419">
        <w:rPr>
          <w:noProof/>
        </w:rPr>
        <w:t>(Gardner et al., 2015)</w:t>
      </w:r>
      <w:r w:rsidR="0037121E" w:rsidRPr="00194419">
        <w:fldChar w:fldCharType="end"/>
      </w:r>
      <w:r w:rsidR="001A75EF" w:rsidRPr="00194419">
        <w:t xml:space="preserve">. </w:t>
      </w:r>
      <w:r w:rsidR="00A903F4">
        <w:t xml:space="preserve"> In this study </w:t>
      </w:r>
      <w:r w:rsidR="00F916AF" w:rsidRPr="00194419">
        <w:rPr>
          <w:vertAlign w:val="superscript"/>
        </w:rPr>
        <w:t>4</w:t>
      </w:r>
      <w:r w:rsidR="00F916AF" w:rsidRPr="00194419">
        <w:t xml:space="preserve">He cannot be considered as a quantitative tracer, but rather it must be taken into account </w:t>
      </w:r>
      <w:r w:rsidR="00083946" w:rsidRPr="00194419">
        <w:t xml:space="preserve">as a </w:t>
      </w:r>
      <w:r w:rsidR="00F916AF" w:rsidRPr="00194419">
        <w:t>qualitative longtime</w:t>
      </w:r>
      <w:r w:rsidR="00083946" w:rsidRPr="00194419">
        <w:t>-</w:t>
      </w:r>
      <w:r w:rsidR="00F916AF" w:rsidRPr="00194419">
        <w:t>scale</w:t>
      </w:r>
      <w:r w:rsidR="00083946" w:rsidRPr="00194419">
        <w:t xml:space="preserve"> indicator</w:t>
      </w:r>
      <w:r w:rsidR="00F916AF" w:rsidRPr="00194419">
        <w:t xml:space="preserve">. </w:t>
      </w:r>
      <w:r w:rsidR="001A75EF" w:rsidRPr="00194419">
        <w:t xml:space="preserve">The use of a combination of short-filter screen boreholes with different depth </w:t>
      </w:r>
      <w:r w:rsidR="001A75EF" w:rsidRPr="00194419">
        <w:rPr>
          <w:noProof/>
        </w:rPr>
        <w:t>near</w:t>
      </w:r>
      <w:r w:rsidR="001A75EF" w:rsidRPr="00194419">
        <w:t xml:space="preserve"> the </w:t>
      </w:r>
      <w:r w:rsidR="001A75EF" w:rsidRPr="00194419">
        <w:rPr>
          <w:noProof/>
        </w:rPr>
        <w:t>springs</w:t>
      </w:r>
      <w:r w:rsidR="001A75EF" w:rsidRPr="00194419">
        <w:t xml:space="preserve"> could help in future works </w:t>
      </w:r>
      <w:r w:rsidR="00E563B3" w:rsidRPr="00194419">
        <w:t>to</w:t>
      </w:r>
      <w:r w:rsidR="001A75EF" w:rsidRPr="00194419">
        <w:t xml:space="preserve"> avoid</w:t>
      </w:r>
      <w:r w:rsidR="00E563B3" w:rsidRPr="00194419">
        <w:t xml:space="preserve"> </w:t>
      </w:r>
      <w:r w:rsidR="001A75EF" w:rsidRPr="00194419">
        <w:t xml:space="preserve">degassing and </w:t>
      </w:r>
      <w:r w:rsidR="00E563B3" w:rsidRPr="00194419">
        <w:t xml:space="preserve">to </w:t>
      </w:r>
      <w:r w:rsidR="001A75EF" w:rsidRPr="00194419">
        <w:t>determin</w:t>
      </w:r>
      <w:r w:rsidR="00E563B3" w:rsidRPr="00194419">
        <w:t>e</w:t>
      </w:r>
      <w:r w:rsidR="001A75EF" w:rsidRPr="00194419">
        <w:t xml:space="preserve"> the groundwater age of different flow components.</w:t>
      </w:r>
    </w:p>
    <w:p w14:paraId="0738A1C9" w14:textId="5845837B" w:rsidR="00605455" w:rsidRPr="00194419" w:rsidRDefault="00605455" w:rsidP="008A3630">
      <w:pPr>
        <w:spacing w:line="480" w:lineRule="auto"/>
      </w:pPr>
      <w:r w:rsidRPr="00194419">
        <w:t xml:space="preserve">The existence of groundwater </w:t>
      </w:r>
      <w:r w:rsidR="00412869" w:rsidRPr="00194419">
        <w:t xml:space="preserve">flowpaths </w:t>
      </w:r>
      <w:r w:rsidRPr="00194419">
        <w:t>with different residence time</w:t>
      </w:r>
      <w:r w:rsidR="00412869" w:rsidRPr="00194419">
        <w:t xml:space="preserve"> in the media</w:t>
      </w:r>
      <w:r w:rsidRPr="00194419">
        <w:t xml:space="preserve"> that converge </w:t>
      </w:r>
      <w:r w:rsidR="00412869" w:rsidRPr="00194419">
        <w:t xml:space="preserve">at </w:t>
      </w:r>
      <w:r w:rsidRPr="00194419">
        <w:t>the springs would make the use of the mean ages in this study</w:t>
      </w:r>
      <w:r w:rsidR="009F58A5">
        <w:t xml:space="preserve"> </w:t>
      </w:r>
      <w:r w:rsidR="009F58A5" w:rsidRPr="00194419">
        <w:t>inappropriate</w:t>
      </w:r>
      <w:r w:rsidR="000552AC" w:rsidRPr="00194419">
        <w:t xml:space="preserve"> as groundwater age indicator</w:t>
      </w:r>
      <w:r w:rsidRPr="00194419">
        <w:t xml:space="preserve">, particularly having mixing fractions older than </w:t>
      </w:r>
      <w:r w:rsidR="00412869" w:rsidRPr="00194419">
        <w:t xml:space="preserve">75 </w:t>
      </w:r>
      <w:r w:rsidRPr="00194419">
        <w:t xml:space="preserve">years </w:t>
      </w:r>
      <w:r w:rsidR="00412869" w:rsidRPr="00194419">
        <w:t>(</w:t>
      </w:r>
      <w:r w:rsidR="000552AC" w:rsidRPr="00194419">
        <w:t xml:space="preserve">Tab. </w:t>
      </w:r>
      <w:r w:rsidR="00E85DD6">
        <w:t>4</w:t>
      </w:r>
      <w:r w:rsidR="00412869" w:rsidRPr="00194419">
        <w:t xml:space="preserve">) </w:t>
      </w:r>
      <w:r w:rsidRPr="00194419">
        <w:t>that cannot be properly dated with the used tracers</w:t>
      </w:r>
      <w:r w:rsidR="00412869" w:rsidRPr="00194419">
        <w:t xml:space="preserve"> </w:t>
      </w:r>
      <w:r w:rsidR="00412869" w:rsidRPr="00194419">
        <w:fldChar w:fldCharType="begin" w:fldLock="1"/>
      </w:r>
      <w:r w:rsidR="00412869" w:rsidRPr="00194419">
        <w:instrText>ADDIN CSL_CITATION {"citationItems":[{"id":"ITEM-1","itemData":{"DOI":"10.1111/gwat.12148","ISSN":"17456584","abstract":"In this study, we use PFLOTRAN, a highly scalable, parallel, flow, and reactive transport code to simulate the concentrations of 3H, 3He, CFC-11, CFC-12, CFC-113, SF6, 39Ar, and the mean groundwater age in heterogeneous fields on grids with an excess of 10 million nodes. We utilize this computational platform to simulate the concentration of multiple tracers in high-resolution, heterogeneous 2D and 3D domains, and calculate tracer-derived ages. Tracer-derived ages show systematic biases toward younger ages when the groundwater age distribution contains water older than the maximum tracer age. The deviation of the tracer-derived age distribution from the true groundwater age distribution increases with increasing heterogeneity of the system. However, the effect of heterogeneity is diminished as the mean travel time gets closer to the tracer age limit. Age distributions in 3D domains differ significantly from 2D domains. 3D simulations show decreased mean age, and less variance in age distribution for identical heterogeneity statistics. High-performance computing allows for investigation of tracer and groundwater age systematics in high-resolution domains, providing a platform for understanding and utilizing environmental tracer and groundwater age information in heterogeneous 3D systems.","author":[{"dropping-particle":"","family":"Gardner","given":"William P.","non-dropping-particle":"","parse-names":false,"suffix":""},{"dropping-particle":"","family":"Hammond","given":"Glenn","non-dropping-particle":"","parse-names":false,"suffix":""},{"dropping-particle":"","family":"Lichtner","given":"Peter","non-dropping-particle":"","parse-names":false,"suffix":""}],"container-title":"Groundwater","id":"ITEM-1","issued":{"date-parts":[["2015"]]},"title":"High Performance Simulation of Environmental Tracers in Heterogeneous Domains","type":"article-journal"},"uris":["http://www.mendeley.com/documents/?uuid=9392db26-e064-35ed-8d82-fe1f9d737258"]}],"mendeley":{"formattedCitation":"(Gardner et al., 2015)","plainTextFormattedCitation":"(Gardner et al., 2015)","previouslyFormattedCitation":"(Gardner et al., 2015)"},"properties":{"noteIndex":0},"schema":"https://github.com/citation-style-language/schema/raw/master/csl-citation.json"}</w:instrText>
      </w:r>
      <w:r w:rsidR="00412869" w:rsidRPr="00194419">
        <w:fldChar w:fldCharType="separate"/>
      </w:r>
      <w:r w:rsidR="00412869" w:rsidRPr="00194419">
        <w:rPr>
          <w:noProof/>
        </w:rPr>
        <w:t>(Gardner et al., 2015)</w:t>
      </w:r>
      <w:r w:rsidR="00412869" w:rsidRPr="00194419">
        <w:fldChar w:fldCharType="end"/>
      </w:r>
      <w:r w:rsidRPr="00194419">
        <w:t>. On the contrary, the parameters extracted from the F</w:t>
      </w:r>
      <w:r w:rsidR="00B679A0">
        <w:t>S</w:t>
      </w:r>
      <w:r w:rsidRPr="00194419">
        <w:t xml:space="preserve">M </w:t>
      </w:r>
      <w:r w:rsidR="00B679A0">
        <w:t xml:space="preserve">and the LPMs </w:t>
      </w:r>
      <w:r w:rsidRPr="00194419">
        <w:t>(GA</w:t>
      </w:r>
      <w:r w:rsidRPr="00194419">
        <w:rPr>
          <w:vertAlign w:val="subscript"/>
        </w:rPr>
        <w:t>50</w:t>
      </w:r>
      <w:r w:rsidRPr="00194419">
        <w:t>, % &gt;</w:t>
      </w:r>
      <w:r w:rsidR="00412869" w:rsidRPr="00194419">
        <w:t>75</w:t>
      </w:r>
      <w:r w:rsidRPr="00194419">
        <w:t xml:space="preserve">) permit to evaluate whether the </w:t>
      </w:r>
      <w:r w:rsidR="00C32AA9" w:rsidRPr="00194419">
        <w:t xml:space="preserve">sample </w:t>
      </w:r>
      <w:r w:rsidRPr="00194419">
        <w:t xml:space="preserve">groundwater age distribution </w:t>
      </w:r>
      <w:r w:rsidR="00412869" w:rsidRPr="00194419">
        <w:rPr>
          <w:noProof/>
        </w:rPr>
        <w:t>lend</w:t>
      </w:r>
      <w:r w:rsidR="00A81499" w:rsidRPr="00194419">
        <w:rPr>
          <w:noProof/>
        </w:rPr>
        <w:t>s</w:t>
      </w:r>
      <w:r w:rsidR="00412869" w:rsidRPr="00194419">
        <w:t xml:space="preserve"> towards</w:t>
      </w:r>
      <w:r w:rsidRPr="00194419">
        <w:t xml:space="preserve"> young or older fractions.</w:t>
      </w:r>
      <w:r w:rsidR="000552AC" w:rsidRPr="00194419">
        <w:t xml:space="preserve"> The positive correlation between EC and GA</w:t>
      </w:r>
      <w:r w:rsidR="000552AC" w:rsidRPr="00194419">
        <w:rPr>
          <w:vertAlign w:val="subscript"/>
        </w:rPr>
        <w:t>50</w:t>
      </w:r>
      <w:r w:rsidR="000552AC" w:rsidRPr="00194419">
        <w:t xml:space="preserve"> and % &gt;75 values (</w:t>
      </w:r>
      <w:r w:rsidR="0020254F">
        <w:t xml:space="preserve">Tab. 5; </w:t>
      </w:r>
      <w:r w:rsidR="000552AC" w:rsidRPr="00194419">
        <w:t>Fig. 10A &amp; B, respectively) also suggest that mineralization is related to groundwater residence time.</w:t>
      </w:r>
    </w:p>
    <w:p w14:paraId="22A35E42" w14:textId="7DD1F1BA" w:rsidR="00605455" w:rsidRPr="00194419" w:rsidRDefault="00605455" w:rsidP="008A3630">
      <w:pPr>
        <w:spacing w:line="480" w:lineRule="auto"/>
      </w:pPr>
      <w:r w:rsidRPr="00194419">
        <w:t>The degassing corrected concentration of CFC-12 decrease</w:t>
      </w:r>
      <w:r w:rsidR="00167C53" w:rsidRPr="00194419">
        <w:t>s</w:t>
      </w:r>
      <w:r w:rsidRPr="00194419">
        <w:t xml:space="preserve"> inversely to EC and, more noticeable,</w:t>
      </w:r>
      <w:r w:rsidR="000552AC" w:rsidRPr="00194419">
        <w:t xml:space="preserve"> to</w:t>
      </w:r>
      <w:r w:rsidRPr="00194419">
        <w:t xml:space="preserve"> GA</w:t>
      </w:r>
      <w:r w:rsidRPr="00194419">
        <w:rPr>
          <w:vertAlign w:val="subscript"/>
        </w:rPr>
        <w:t>50</w:t>
      </w:r>
      <w:r w:rsidRPr="00194419">
        <w:t xml:space="preserve"> </w:t>
      </w:r>
      <w:r w:rsidR="00412869" w:rsidRPr="00194419">
        <w:t xml:space="preserve">and </w:t>
      </w:r>
      <w:r w:rsidR="000552AC" w:rsidRPr="00194419">
        <w:t xml:space="preserve">to </w:t>
      </w:r>
      <w:r w:rsidR="00412869" w:rsidRPr="00194419">
        <w:t xml:space="preserve">the fraction of 75-year-old groundwater </w:t>
      </w:r>
      <w:r w:rsidRPr="00194419">
        <w:t>(Fig. 10</w:t>
      </w:r>
      <w:r w:rsidR="000552AC" w:rsidRPr="00194419">
        <w:t>C-E</w:t>
      </w:r>
      <w:r w:rsidR="0020254F">
        <w:t>; Tab. 5</w:t>
      </w:r>
      <w:r w:rsidRPr="00194419">
        <w:t>).</w:t>
      </w:r>
      <w:r w:rsidR="0093532F" w:rsidRPr="00194419">
        <w:t xml:space="preserve"> </w:t>
      </w:r>
      <w:r w:rsidRPr="00194419">
        <w:lastRenderedPageBreak/>
        <w:t>Thus, samples with younger groundwater age distribution normally would have greater concentrations of CFC-12 and lower mineralization</w:t>
      </w:r>
      <w:r w:rsidR="00E34105">
        <w:t>. On the other hand,</w:t>
      </w:r>
      <w:r w:rsidRPr="00194419">
        <w:t xml:space="preserve"> the samples with greater contribution of older components (B3, H2, T3</w:t>
      </w:r>
      <w:r w:rsidR="00412869" w:rsidRPr="00194419">
        <w:t>, J1 in depletion</w:t>
      </w:r>
      <w:r w:rsidRPr="00194419">
        <w:t xml:space="preserve">) would contain less CFC-12, as a consequence of its dilution by a larger </w:t>
      </w:r>
      <w:r w:rsidR="000552AC" w:rsidRPr="00194419">
        <w:t xml:space="preserve">fraction </w:t>
      </w:r>
      <w:r w:rsidRPr="00194419">
        <w:t xml:space="preserve">of tracer-free groundwater, which would be related to longer residence time and, therefore, to longer water-rock interaction processes. Such prolonged interaction would </w:t>
      </w:r>
      <w:r w:rsidRPr="00194419">
        <w:rPr>
          <w:noProof/>
        </w:rPr>
        <w:t>explain</w:t>
      </w:r>
      <w:r w:rsidRPr="00194419">
        <w:t xml:space="preserve"> the inverse relation between CFC-12 and EC, due to greater solute transfer to </w:t>
      </w:r>
      <w:r w:rsidR="00BC243F" w:rsidRPr="00194419">
        <w:t xml:space="preserve">old </w:t>
      </w:r>
      <w:r w:rsidRPr="00194419">
        <w:t xml:space="preserve">groundwater. </w:t>
      </w:r>
    </w:p>
    <w:p w14:paraId="1089952F" w14:textId="1BDD316F" w:rsidR="005F5285" w:rsidRPr="00194419" w:rsidRDefault="005F5285" w:rsidP="008A3630">
      <w:pPr>
        <w:spacing w:line="480" w:lineRule="auto"/>
      </w:pPr>
      <w:r w:rsidRPr="00194419">
        <w:t xml:space="preserve">The solubility of gypsum is boosted by the addition of NaCl, due to the ionic force rising, which modifies the equilibrium between the chemical phases of the aqueous solution </w:t>
      </w:r>
      <w:r w:rsidR="003A60B5" w:rsidRPr="00194419">
        <w:fldChar w:fldCharType="begin" w:fldLock="1"/>
      </w:r>
      <w:r w:rsidR="005527DE" w:rsidRPr="00194419">
        <w:instrText>ADDIN CSL_CITATION {"citationItems":[{"id":"ITEM-1","itemData":{"author":[{"dropping-particle":"","family":"Zen","given":"E-An","non-dropping-particle":"","parse-names":false,"suffix":""}],"container-title":"Journal of Petrology","id":"ITEM-1","issued":{"date-parts":[["1965"]]},"page":"1-41","title":"Solubility Measurements in the System CaSO&lt;sub&gt;4&lt;/sub&gt;-NaCl-H&lt;sub&gt;2&lt;/sub&gt;O at 35º, 50º y 70ºC at one atmosphere pressure","type":"article-journal","volume":"6"},"uris":["http://www.mendeley.com/documents/?uuid=5adf4df8-4a1a-4ce8-850f-112aabec8b81"]}],"mendeley":{"formattedCitation":"(Zen, 1965)","plainTextFormattedCitation":"(Zen, 1965)","previouslyFormattedCitation":"(Zen, 1965)"},"properties":{"noteIndex":0},"schema":"https://github.com/citation-style-language/schema/raw/master/csl-citation.json"}</w:instrText>
      </w:r>
      <w:r w:rsidR="003A60B5" w:rsidRPr="00194419">
        <w:fldChar w:fldCharType="separate"/>
      </w:r>
      <w:r w:rsidR="003A60B5" w:rsidRPr="00194419">
        <w:rPr>
          <w:noProof/>
        </w:rPr>
        <w:t>(Zen, 1965)</w:t>
      </w:r>
      <w:r w:rsidR="003A60B5" w:rsidRPr="00194419">
        <w:fldChar w:fldCharType="end"/>
      </w:r>
      <w:r w:rsidRPr="00194419">
        <w:t xml:space="preserve">. However, over 250 g of NaCl/l, gypsum solubility significantly falls. As </w:t>
      </w:r>
      <w:r w:rsidRPr="00194419">
        <w:rPr>
          <w:noProof/>
        </w:rPr>
        <w:t>show</w:t>
      </w:r>
      <w:r w:rsidR="00A81499" w:rsidRPr="00194419">
        <w:rPr>
          <w:noProof/>
        </w:rPr>
        <w:t>n</w:t>
      </w:r>
      <w:r w:rsidRPr="00194419">
        <w:t xml:space="preserve"> in figure 2, Cl</w:t>
      </w:r>
      <w:r w:rsidRPr="00194419">
        <w:rPr>
          <w:vertAlign w:val="superscript"/>
        </w:rPr>
        <w:t>-</w:t>
      </w:r>
      <w:r w:rsidRPr="00194419">
        <w:t xml:space="preserve"> concentration of samples constantly grow towards lower </w:t>
      </w:r>
      <w:r w:rsidR="0042150B" w:rsidRPr="00194419">
        <w:t>elevation</w:t>
      </w:r>
      <w:r w:rsidRPr="00194419">
        <w:t>, while SO</w:t>
      </w:r>
      <w:r w:rsidRPr="00194419">
        <w:rPr>
          <w:vertAlign w:val="subscript"/>
        </w:rPr>
        <w:t>4</w:t>
      </w:r>
      <w:r w:rsidRPr="00194419">
        <w:rPr>
          <w:vertAlign w:val="superscript"/>
        </w:rPr>
        <w:t>2-</w:t>
      </w:r>
      <w:r w:rsidRPr="00194419">
        <w:t xml:space="preserve"> contents stabilize between 5 and 6 g/l, except for H1 and H2 samples, which contain lower amounts of SO</w:t>
      </w:r>
      <w:r w:rsidRPr="00194419">
        <w:rPr>
          <w:vertAlign w:val="subscript"/>
        </w:rPr>
        <w:t>4</w:t>
      </w:r>
      <w:r w:rsidRPr="00194419">
        <w:rPr>
          <w:vertAlign w:val="superscript"/>
        </w:rPr>
        <w:t>2-</w:t>
      </w:r>
      <w:r w:rsidRPr="00194419">
        <w:t>. That is a consequence of its greater concentrations of Cl</w:t>
      </w:r>
      <w:r w:rsidRPr="00194419">
        <w:rPr>
          <w:vertAlign w:val="superscript"/>
        </w:rPr>
        <w:t>-</w:t>
      </w:r>
      <w:r w:rsidRPr="00194419">
        <w:t>. As a result, rCl</w:t>
      </w:r>
      <w:r w:rsidRPr="00194419">
        <w:rPr>
          <w:vertAlign w:val="superscript"/>
        </w:rPr>
        <w:t>-</w:t>
      </w:r>
      <w:r w:rsidRPr="00194419">
        <w:t>/SO</w:t>
      </w:r>
      <w:r w:rsidRPr="00194419">
        <w:rPr>
          <w:vertAlign w:val="subscript"/>
        </w:rPr>
        <w:t>4</w:t>
      </w:r>
      <w:r w:rsidRPr="00194419">
        <w:rPr>
          <w:vertAlign w:val="superscript"/>
        </w:rPr>
        <w:t>2-</w:t>
      </w:r>
      <w:r w:rsidRPr="00194419">
        <w:t xml:space="preserve"> ingrowth is not constant. Nevertheless, rCl</w:t>
      </w:r>
      <w:r w:rsidRPr="00194419">
        <w:rPr>
          <w:vertAlign w:val="superscript"/>
        </w:rPr>
        <w:t>-</w:t>
      </w:r>
      <w:r w:rsidRPr="00194419">
        <w:t>/SO</w:t>
      </w:r>
      <w:r w:rsidRPr="00194419">
        <w:rPr>
          <w:vertAlign w:val="subscript"/>
        </w:rPr>
        <w:t>4</w:t>
      </w:r>
      <w:r w:rsidRPr="00194419">
        <w:rPr>
          <w:vertAlign w:val="superscript"/>
        </w:rPr>
        <w:t>2-</w:t>
      </w:r>
      <w:r w:rsidRPr="00194419">
        <w:t xml:space="preserve"> </w:t>
      </w:r>
      <w:r w:rsidR="00412869" w:rsidRPr="00194419">
        <w:t xml:space="preserve">and EC </w:t>
      </w:r>
      <w:r w:rsidR="00A81499" w:rsidRPr="00194419">
        <w:rPr>
          <w:noProof/>
        </w:rPr>
        <w:t>has</w:t>
      </w:r>
      <w:r w:rsidR="00A81499" w:rsidRPr="00194419">
        <w:t xml:space="preserve"> </w:t>
      </w:r>
      <w:r w:rsidR="007201BB" w:rsidRPr="00194419">
        <w:t xml:space="preserve">a </w:t>
      </w:r>
      <w:r w:rsidR="00412869" w:rsidRPr="00194419">
        <w:t xml:space="preserve">great </w:t>
      </w:r>
      <w:r w:rsidR="007201BB" w:rsidRPr="00194419">
        <w:t>positive correlation (R</w:t>
      </w:r>
      <w:r w:rsidR="007201BB" w:rsidRPr="00194419">
        <w:rPr>
          <w:vertAlign w:val="superscript"/>
        </w:rPr>
        <w:t>2</w:t>
      </w:r>
      <w:r w:rsidR="007201BB" w:rsidRPr="00194419">
        <w:t>=0.</w:t>
      </w:r>
      <w:r w:rsidR="00412869" w:rsidRPr="00194419">
        <w:t>99</w:t>
      </w:r>
      <w:r w:rsidR="0093532F" w:rsidRPr="00194419">
        <w:t xml:space="preserve">; Fig. </w:t>
      </w:r>
      <w:r w:rsidR="000552AC" w:rsidRPr="00194419">
        <w:t>10F</w:t>
      </w:r>
      <w:r w:rsidR="007201BB" w:rsidRPr="00194419">
        <w:t>) for most samples before gypsum solubility descent (H2). Those samples with older groundwater age distribution (i.e., greater GA</w:t>
      </w:r>
      <w:r w:rsidR="007201BB" w:rsidRPr="00194419">
        <w:rPr>
          <w:vertAlign w:val="subscript"/>
        </w:rPr>
        <w:t>50</w:t>
      </w:r>
      <w:r w:rsidR="0093532F" w:rsidRPr="00194419">
        <w:t xml:space="preserve"> and % &gt;75 years</w:t>
      </w:r>
      <w:r w:rsidR="007201BB" w:rsidRPr="00194419">
        <w:t xml:space="preserve">) show </w:t>
      </w:r>
      <w:r w:rsidR="0093532F" w:rsidRPr="00194419">
        <w:t xml:space="preserve">higher </w:t>
      </w:r>
      <w:r w:rsidR="007201BB" w:rsidRPr="00194419">
        <w:t>rCl</w:t>
      </w:r>
      <w:r w:rsidR="007201BB" w:rsidRPr="00194419">
        <w:rPr>
          <w:vertAlign w:val="superscript"/>
        </w:rPr>
        <w:t>-</w:t>
      </w:r>
      <w:r w:rsidR="007201BB" w:rsidRPr="00194419">
        <w:t>/SO</w:t>
      </w:r>
      <w:r w:rsidR="007201BB" w:rsidRPr="00194419">
        <w:rPr>
          <w:vertAlign w:val="subscript"/>
        </w:rPr>
        <w:t>4</w:t>
      </w:r>
      <w:r w:rsidR="007201BB" w:rsidRPr="00194419">
        <w:rPr>
          <w:vertAlign w:val="superscript"/>
        </w:rPr>
        <w:t>2-</w:t>
      </w:r>
      <w:r w:rsidR="008167B9" w:rsidRPr="00194419">
        <w:t xml:space="preserve"> </w:t>
      </w:r>
      <w:r w:rsidR="007201BB" w:rsidRPr="00194419">
        <w:t xml:space="preserve">(Fig. </w:t>
      </w:r>
      <w:r w:rsidR="0093532F" w:rsidRPr="00194419">
        <w:t>10</w:t>
      </w:r>
      <w:r w:rsidR="000552AC" w:rsidRPr="00194419">
        <w:t>G-H</w:t>
      </w:r>
      <w:r w:rsidR="007201BB" w:rsidRPr="00194419">
        <w:t xml:space="preserve">) </w:t>
      </w:r>
      <w:r w:rsidR="008167B9" w:rsidRPr="00194419">
        <w:t>as they have</w:t>
      </w:r>
      <w:r w:rsidR="007201BB" w:rsidRPr="00194419">
        <w:t xml:space="preserve"> </w:t>
      </w:r>
      <w:r w:rsidR="007201BB" w:rsidRPr="00194419">
        <w:rPr>
          <w:noProof/>
        </w:rPr>
        <w:t>under</w:t>
      </w:r>
      <w:r w:rsidR="00A81499" w:rsidRPr="00194419">
        <w:rPr>
          <w:noProof/>
        </w:rPr>
        <w:t>gone</w:t>
      </w:r>
      <w:r w:rsidR="007201BB" w:rsidRPr="00194419">
        <w:t xml:space="preserve"> longer lasting interaction with the media. Thus, rCl</w:t>
      </w:r>
      <w:r w:rsidR="007201BB" w:rsidRPr="00194419">
        <w:rPr>
          <w:vertAlign w:val="superscript"/>
        </w:rPr>
        <w:t>-</w:t>
      </w:r>
      <w:r w:rsidR="007201BB" w:rsidRPr="00194419">
        <w:t>/SO</w:t>
      </w:r>
      <w:r w:rsidR="007201BB" w:rsidRPr="00194419">
        <w:rPr>
          <w:vertAlign w:val="subscript"/>
        </w:rPr>
        <w:t>4</w:t>
      </w:r>
      <w:r w:rsidR="007201BB" w:rsidRPr="00194419">
        <w:rPr>
          <w:vertAlign w:val="superscript"/>
        </w:rPr>
        <w:t>2-</w:t>
      </w:r>
      <w:r w:rsidR="007201BB" w:rsidRPr="00194419">
        <w:t xml:space="preserve"> could be considered as an indicator of hydrogeochemical evolution</w:t>
      </w:r>
      <w:r w:rsidR="0093532F" w:rsidRPr="00194419">
        <w:t xml:space="preserve"> for NaCl contents below the solubility drop, but also of residence time.</w:t>
      </w:r>
    </w:p>
    <w:p w14:paraId="6182BF91" w14:textId="1686886C" w:rsidR="00812233" w:rsidRPr="00194419" w:rsidRDefault="008167B9" w:rsidP="008A3630">
      <w:pPr>
        <w:spacing w:line="480" w:lineRule="auto"/>
      </w:pPr>
      <w:r w:rsidRPr="00194419">
        <w:t xml:space="preserve">In general terms, the explained relations do not work so well </w:t>
      </w:r>
      <w:r w:rsidR="0042150B" w:rsidRPr="00194419">
        <w:t xml:space="preserve">if </w:t>
      </w:r>
      <w:r w:rsidR="00812233" w:rsidRPr="00194419">
        <w:t xml:space="preserve">the sample </w:t>
      </w:r>
      <w:r w:rsidR="0042150B" w:rsidRPr="00194419">
        <w:rPr>
          <w:noProof/>
        </w:rPr>
        <w:t>take</w:t>
      </w:r>
      <w:r w:rsidR="00E34105">
        <w:rPr>
          <w:noProof/>
        </w:rPr>
        <w:t>n</w:t>
      </w:r>
      <w:r w:rsidR="0042150B" w:rsidRPr="00194419">
        <w:t xml:space="preserve"> </w:t>
      </w:r>
      <w:r w:rsidR="00812233" w:rsidRPr="00194419">
        <w:t xml:space="preserve">during </w:t>
      </w:r>
      <w:r w:rsidR="00A11B88" w:rsidRPr="00194419">
        <w:t xml:space="preserve">spring </w:t>
      </w:r>
      <w:r w:rsidR="00A81499" w:rsidRPr="00194419">
        <w:rPr>
          <w:noProof/>
        </w:rPr>
        <w:t>floodi</w:t>
      </w:r>
      <w:r w:rsidR="00A11B88" w:rsidRPr="00194419">
        <w:rPr>
          <w:noProof/>
        </w:rPr>
        <w:t>ng</w:t>
      </w:r>
      <w:r w:rsidR="00812233" w:rsidRPr="00194419">
        <w:t xml:space="preserve"> in J1 is considered (Fig. 10). A</w:t>
      </w:r>
      <w:r w:rsidR="006D5E46" w:rsidRPr="00194419">
        <w:t xml:space="preserve">s </w:t>
      </w:r>
      <w:r w:rsidR="008605A9" w:rsidRPr="00194419">
        <w:t xml:space="preserve">the plots of </w:t>
      </w:r>
      <w:r w:rsidR="006D5E46" w:rsidRPr="00194419">
        <w:t xml:space="preserve">groundwater </w:t>
      </w:r>
      <w:r w:rsidR="008605A9" w:rsidRPr="00194419">
        <w:t xml:space="preserve">age </w:t>
      </w:r>
      <w:r w:rsidR="006D5E46" w:rsidRPr="00194419">
        <w:t xml:space="preserve">distribution show (Fig. 8), a </w:t>
      </w:r>
      <w:r w:rsidR="0042150B" w:rsidRPr="00194419">
        <w:t xml:space="preserve">large </w:t>
      </w:r>
      <w:r w:rsidR="00812233" w:rsidRPr="00194419">
        <w:t xml:space="preserve">fraction of </w:t>
      </w:r>
      <w:r w:rsidR="00021FE4" w:rsidRPr="00194419">
        <w:t>this</w:t>
      </w:r>
      <w:r w:rsidR="00812233" w:rsidRPr="00194419">
        <w:t xml:space="preserve"> sample </w:t>
      </w:r>
      <w:r w:rsidR="00021FE4" w:rsidRPr="00194419">
        <w:t>has a recent origin, and</w:t>
      </w:r>
      <w:r w:rsidR="006D5E46" w:rsidRPr="00194419">
        <w:t xml:space="preserve"> it </w:t>
      </w:r>
      <w:r w:rsidR="00812233" w:rsidRPr="00194419">
        <w:t xml:space="preserve">would be related to </w:t>
      </w:r>
      <w:r w:rsidR="006D5E46" w:rsidRPr="00194419">
        <w:t xml:space="preserve">recently infiltrated water flowing through </w:t>
      </w:r>
      <w:r w:rsidR="00812233" w:rsidRPr="00194419">
        <w:t>karst conduit</w:t>
      </w:r>
      <w:r w:rsidR="006D5E46" w:rsidRPr="00194419">
        <w:t>. On the contrary</w:t>
      </w:r>
      <w:r w:rsidR="00812233" w:rsidRPr="00194419">
        <w:t xml:space="preserve">, </w:t>
      </w:r>
      <w:r w:rsidR="006D5E46" w:rsidRPr="00194419">
        <w:t xml:space="preserve">the older bin </w:t>
      </w:r>
      <w:r w:rsidR="00021FE4" w:rsidRPr="00194419">
        <w:t xml:space="preserve">in the </w:t>
      </w:r>
      <w:r w:rsidR="00021FE4" w:rsidRPr="00194419">
        <w:lastRenderedPageBreak/>
        <w:t xml:space="preserve">SFMs </w:t>
      </w:r>
      <w:r w:rsidR="006D5E46" w:rsidRPr="00194419">
        <w:t xml:space="preserve">of J1, which accounts for a higher percentage during depletion, would be linked to </w:t>
      </w:r>
      <w:r w:rsidR="00C27C27">
        <w:t>dispersive</w:t>
      </w:r>
      <w:r w:rsidR="00C27C27" w:rsidRPr="00194419">
        <w:t xml:space="preserve"> </w:t>
      </w:r>
      <w:r w:rsidR="006D5E46" w:rsidRPr="00194419">
        <w:t>groundwater flows.</w:t>
      </w:r>
      <w:r w:rsidR="00812233" w:rsidRPr="00194419">
        <w:t xml:space="preserve"> </w:t>
      </w:r>
      <w:r w:rsidR="00021FE4" w:rsidRPr="00194419">
        <w:t>T</w:t>
      </w:r>
      <w:r w:rsidR="00812233" w:rsidRPr="00194419">
        <w:t>he</w:t>
      </w:r>
      <w:r w:rsidR="006D5E46" w:rsidRPr="00194419">
        <w:t xml:space="preserve"> system drained through this outlet has a very complex hydrogeological functioning,</w:t>
      </w:r>
      <w:r w:rsidR="00021FE4" w:rsidRPr="00194419">
        <w:t xml:space="preserve"> in which the contribution to the mixing of different groundwater flow components greatly varies,</w:t>
      </w:r>
      <w:r w:rsidR="006D5E46" w:rsidRPr="00194419">
        <w:t xml:space="preserve"> partly due to the high development of the karst network (Gil-Márquez</w:t>
      </w:r>
      <w:r w:rsidR="00021FE4" w:rsidRPr="00194419">
        <w:t xml:space="preserve"> et al.,</w:t>
      </w:r>
      <w:r w:rsidR="006D5E46" w:rsidRPr="00194419">
        <w:t xml:space="preserve"> </w:t>
      </w:r>
      <w:r w:rsidR="0020254F" w:rsidRPr="00444A13">
        <w:t>2019</w:t>
      </w:r>
      <w:r w:rsidR="006D5E46" w:rsidRPr="00194419">
        <w:t>). Therefore, in high water conditions, when conduit flow account</w:t>
      </w:r>
      <w:r w:rsidR="008605A9" w:rsidRPr="00194419">
        <w:t>s</w:t>
      </w:r>
      <w:r w:rsidR="006D5E46" w:rsidRPr="00194419">
        <w:t xml:space="preserve"> for much of the discharge rate in the spring, the</w:t>
      </w:r>
      <w:r w:rsidR="00812233" w:rsidRPr="00194419">
        <w:t xml:space="preserve"> </w:t>
      </w:r>
      <w:r w:rsidR="006D5E46" w:rsidRPr="00194419">
        <w:t xml:space="preserve">outlet is </w:t>
      </w:r>
      <w:r w:rsidR="00021FE4" w:rsidRPr="00194419">
        <w:t>not comparable with the rest of the sample</w:t>
      </w:r>
      <w:r w:rsidR="00261D9A">
        <w:t>s</w:t>
      </w:r>
      <w:r w:rsidR="00021FE4" w:rsidRPr="00194419">
        <w:t xml:space="preserve">, in which smaller flow rate variations were recorded (Tab. </w:t>
      </w:r>
      <w:r w:rsidR="00E85DD6">
        <w:t>2</w:t>
      </w:r>
      <w:r w:rsidR="00021FE4" w:rsidRPr="00194419">
        <w:t>).</w:t>
      </w:r>
    </w:p>
    <w:p w14:paraId="59418D2D" w14:textId="77777777" w:rsidR="003C3F1F" w:rsidRPr="00194419" w:rsidRDefault="006F2E9E" w:rsidP="008A3630">
      <w:pPr>
        <w:pStyle w:val="Prrafodelista"/>
        <w:keepNext/>
        <w:numPr>
          <w:ilvl w:val="1"/>
          <w:numId w:val="1"/>
        </w:numPr>
        <w:spacing w:line="480" w:lineRule="auto"/>
        <w:ind w:left="788" w:hanging="431"/>
        <w:rPr>
          <w:b/>
        </w:rPr>
      </w:pPr>
      <w:r w:rsidRPr="00194419">
        <w:rPr>
          <w:b/>
        </w:rPr>
        <w:t>Integrating groundwater ages in the hydrogeological conceptual model</w:t>
      </w:r>
    </w:p>
    <w:p w14:paraId="11F1415A" w14:textId="380A1BFD" w:rsidR="00FC26FA" w:rsidRPr="00194419" w:rsidRDefault="008167B9" w:rsidP="008A3630">
      <w:pPr>
        <w:spacing w:line="480" w:lineRule="auto"/>
      </w:pPr>
      <w:r w:rsidRPr="00194419">
        <w:t xml:space="preserve">The evaporite-karst setting here studied </w:t>
      </w:r>
      <w:r w:rsidR="00A56F56" w:rsidRPr="00194419">
        <w:t xml:space="preserve">(CSC) </w:t>
      </w:r>
      <w:r w:rsidRPr="00194419">
        <w:t xml:space="preserve">is heterogeneous and complex, </w:t>
      </w:r>
      <w:r w:rsidR="00394FAC" w:rsidRPr="00194419">
        <w:t xml:space="preserve">and </w:t>
      </w:r>
      <w:r w:rsidRPr="00194419">
        <w:t>its hydrogeological functioning</w:t>
      </w:r>
      <w:r w:rsidR="00394FAC" w:rsidRPr="00194419">
        <w:t xml:space="preserve"> is conditioned by both characteristics</w:t>
      </w:r>
      <w:r w:rsidRPr="00194419">
        <w:t xml:space="preserve">. However, the joint interpretation of chemical information and </w:t>
      </w:r>
      <w:r w:rsidR="0042150B" w:rsidRPr="00194419">
        <w:t xml:space="preserve">environmental </w:t>
      </w:r>
      <w:r w:rsidRPr="00194419">
        <w:t xml:space="preserve">tracer data has highlighted some </w:t>
      </w:r>
      <w:r w:rsidR="00A56F56" w:rsidRPr="00194419">
        <w:t>similarities be</w:t>
      </w:r>
      <w:r w:rsidR="005876C8" w:rsidRPr="00194419">
        <w:t xml:space="preserve">tween the different study areas. </w:t>
      </w:r>
      <w:r w:rsidR="00936295" w:rsidRPr="00194419">
        <w:t>In general terms,</w:t>
      </w:r>
      <w:r w:rsidR="00BC243F" w:rsidRPr="00194419">
        <w:t xml:space="preserve"> the</w:t>
      </w:r>
      <w:r w:rsidR="00936295" w:rsidRPr="00194419">
        <w:t xml:space="preserve"> springs </w:t>
      </w:r>
      <w:r w:rsidR="00BC243F" w:rsidRPr="00194419">
        <w:t>that drain</w:t>
      </w:r>
      <w:r w:rsidR="00936295" w:rsidRPr="00194419">
        <w:t xml:space="preserve"> the most mineralized water in each area are located at lower </w:t>
      </w:r>
      <w:r w:rsidR="0042150B" w:rsidRPr="00194419">
        <w:t xml:space="preserve">altitudes </w:t>
      </w:r>
      <w:r w:rsidR="001810E0" w:rsidRPr="00194419">
        <w:t xml:space="preserve">(Fig. 2). Likewise, there is some </w:t>
      </w:r>
      <w:r w:rsidR="00BC243F" w:rsidRPr="00194419">
        <w:t>correspondence</w:t>
      </w:r>
      <w:r w:rsidR="001810E0" w:rsidRPr="00194419">
        <w:t xml:space="preserve"> between the groundwater age distribution of samples and their solute content</w:t>
      </w:r>
      <w:r w:rsidR="00043707" w:rsidRPr="00194419">
        <w:t xml:space="preserve"> and their rCl</w:t>
      </w:r>
      <w:r w:rsidR="00043707" w:rsidRPr="00194419">
        <w:rPr>
          <w:vertAlign w:val="superscript"/>
        </w:rPr>
        <w:t>-</w:t>
      </w:r>
      <w:r w:rsidR="00043707" w:rsidRPr="00194419">
        <w:t>/SO</w:t>
      </w:r>
      <w:r w:rsidR="00043707" w:rsidRPr="00194419">
        <w:rPr>
          <w:vertAlign w:val="subscript"/>
        </w:rPr>
        <w:t>4</w:t>
      </w:r>
      <w:r w:rsidR="00043707" w:rsidRPr="00194419">
        <w:rPr>
          <w:vertAlign w:val="superscript"/>
        </w:rPr>
        <w:t>2-</w:t>
      </w:r>
      <w:r w:rsidR="00043707" w:rsidRPr="00194419">
        <w:t xml:space="preserve"> (Fig. 10)</w:t>
      </w:r>
      <w:r w:rsidR="001810E0" w:rsidRPr="00194419">
        <w:t xml:space="preserve">. Thus, outlets </w:t>
      </w:r>
      <w:r w:rsidR="00745A87">
        <w:t>located</w:t>
      </w:r>
      <w:r w:rsidR="00745A87" w:rsidRPr="00194419">
        <w:t xml:space="preserve"> </w:t>
      </w:r>
      <w:r w:rsidR="001810E0" w:rsidRPr="00194419">
        <w:t xml:space="preserve">at </w:t>
      </w:r>
      <w:r w:rsidR="00A11B88" w:rsidRPr="00194419">
        <w:t xml:space="preserve">a </w:t>
      </w:r>
      <w:r w:rsidR="001810E0" w:rsidRPr="00194419">
        <w:rPr>
          <w:noProof/>
        </w:rPr>
        <w:t>lower</w:t>
      </w:r>
      <w:r w:rsidR="001810E0" w:rsidRPr="00194419">
        <w:t xml:space="preserve"> altitude normally drain higher proportion of F</w:t>
      </w:r>
      <w:r w:rsidR="001810E0" w:rsidRPr="00194419">
        <w:rPr>
          <w:vertAlign w:val="subscript"/>
        </w:rPr>
        <w:t>old</w:t>
      </w:r>
      <w:r w:rsidR="005876C8" w:rsidRPr="00194419">
        <w:t xml:space="preserve"> (Tab. </w:t>
      </w:r>
      <w:r w:rsidR="00E85DD6">
        <w:t>4</w:t>
      </w:r>
      <w:r w:rsidR="005876C8" w:rsidRPr="00194419">
        <w:t>), meaning water recharged more than 70 years ago, and also have older groundwater age distribution (Fig. 8 and 1</w:t>
      </w:r>
      <w:r w:rsidR="00866A77" w:rsidRPr="00194419">
        <w:t>1</w:t>
      </w:r>
      <w:r w:rsidR="005876C8" w:rsidRPr="00194419">
        <w:t xml:space="preserve">). Besides, some springs show </w:t>
      </w:r>
      <w:r w:rsidR="00A11B88" w:rsidRPr="00194419">
        <w:t xml:space="preserve">a </w:t>
      </w:r>
      <w:r w:rsidR="005876C8" w:rsidRPr="00194419">
        <w:rPr>
          <w:noProof/>
        </w:rPr>
        <w:t>certain</w:t>
      </w:r>
      <w:r w:rsidR="005876C8" w:rsidRPr="00194419">
        <w:t xml:space="preserve"> degree of positive temperature anomaly, particularly in Brujuelo and Jarales areas (Fig. 2). All that is in agreement with the hydrogeological conceptual model proposed by</w:t>
      </w:r>
      <w:r w:rsidR="00394FAC" w:rsidRPr="00194419">
        <w:t xml:space="preserve"> </w:t>
      </w:r>
      <w:r w:rsidR="00394FAC" w:rsidRPr="00194419">
        <w:fldChar w:fldCharType="begin" w:fldLock="1"/>
      </w:r>
      <w:r w:rsidR="00C7164A" w:rsidRPr="00194419">
        <w:instrText>ADDIN CSL_CITATION {"citationItems":[{"id":"ITEM-1","itemData":{"DOI":"10.1007/s12665-016-5545-1","abstract":"© 2016, Springer-Verlag Berlin Heidelberg. The northern sector of the External Zone of the Betic Cordillera (S Spain) is formed by an olistostrome unit known as the Chaotic Subbetic Complexes (CSC). This megabreccia is basically made of clays and evaporite rocks (gypsum and salt) of Upper Triassic (Keuper) age as well as other lithologies (dolostones, limestones, marls and calcareous sandstones) belonging to different ages (Jurassic, Cretaceous and Tertiary). Despite of low permeability has been traditionally assumed for these materials, water flow and storage through them is possible due to the aquitard behavior of clays and sandstones and the presence of conduits generated by dissolution/karstification processes within the evaporite rocks. The lithological complexity of the CSC determines its hydrogeological heterogeneity, with groundwater flows of different length and various scales from recharge areas to discharge zones. Thus, wetlands and springs placed at lower altitudes are associated with large (regional) groundwater flows, of greater residence time within the aquifer, and they normally drain high salinity waters mostly connected with ascending flow. This work provides an overview of the main geological and hydrogeological aspects related to groundwater flow within the CSC on the basis of several case-studies. Conceptual models are proposed for these cases, since they are the base to carry out a genetic-functional classification of wetlands potentially useful for their management.","author":[{"dropping-particle":"","family":"Andreo","given":"Bartolomé","non-dropping-particle":"","parse-names":false,"suffix":""},{"dropping-particle":"","family":"Gil-Márquez","given":"José Manuel","non-dropping-particle":"","parse-names":false,"suffix":""},{"dropping-particle":"","family":"Mudarra","given":"Matías","non-dropping-particle":"","parse-names":false,"suffix":""},{"dropping-particle":"","family":"Linares","given":"Luis","non-dropping-particle":"","parse-names":false,"suffix":""},{"dropping-particle":"","family":"Carrasco","given":"Francisco","non-dropping-particle":"","parse-names":false,"suffix":""}],"container-title":"Environmental Earth Sciences","id":"ITEM-1","issue":"9","issued":{"date-parts":[["2016"]]},"page":"1-19","title":"Hypothesis on the hydrogeological context of wetland areas and springs related to evaporitic karst aquifers (Málaga, Córdoba and Jaén provinces, Southern Spain)","type":"article-journal","volume":"75"},"uris":["http://www.mendeley.com/documents/?uuid=de2b44fe-b64d-31c9-9255-128364900901"]}],"mendeley":{"formattedCitation":"(Andreo et al., 2016)","manualFormatting":"Andreo et al. (2016)","plainTextFormattedCitation":"(Andreo et al., 2016)","previouslyFormattedCitation":"(Andreo et al., 2016)"},"properties":{"noteIndex":0},"schema":"https://github.com/citation-style-language/schema/raw/master/csl-citation.json"}</w:instrText>
      </w:r>
      <w:r w:rsidR="00394FAC" w:rsidRPr="00194419">
        <w:fldChar w:fldCharType="separate"/>
      </w:r>
      <w:r w:rsidR="00394FAC" w:rsidRPr="00194419">
        <w:rPr>
          <w:noProof/>
        </w:rPr>
        <w:t>Andreo et al. (2016)</w:t>
      </w:r>
      <w:r w:rsidR="00394FAC" w:rsidRPr="00194419">
        <w:fldChar w:fldCharType="end"/>
      </w:r>
      <w:r w:rsidR="005876C8" w:rsidRPr="00194419">
        <w:t xml:space="preserve">. </w:t>
      </w:r>
    </w:p>
    <w:p w14:paraId="72DBA784" w14:textId="56AAE5B1" w:rsidR="00936295" w:rsidRPr="00194419" w:rsidRDefault="00DD069D" w:rsidP="008A3630">
      <w:pPr>
        <w:spacing w:line="480" w:lineRule="auto"/>
        <w:rPr>
          <w:color w:val="404040"/>
        </w:rPr>
      </w:pPr>
      <w:r w:rsidRPr="00194419">
        <w:t xml:space="preserve">Hence, outlets </w:t>
      </w:r>
      <w:r w:rsidR="00745A87">
        <w:t>located</w:t>
      </w:r>
      <w:r w:rsidR="00745A87" w:rsidRPr="00194419">
        <w:t xml:space="preserve"> </w:t>
      </w:r>
      <w:r w:rsidRPr="00194419">
        <w:t xml:space="preserve">in higher positions </w:t>
      </w:r>
      <w:r w:rsidR="002E6D80" w:rsidRPr="00194419">
        <w:t>would be feed by surficial an</w:t>
      </w:r>
      <w:r w:rsidR="004D1E5B" w:rsidRPr="00194419">
        <w:t xml:space="preserve">d short groundwater flowpaths. On the other </w:t>
      </w:r>
      <w:r w:rsidR="004D1E5B" w:rsidRPr="00194419">
        <w:rPr>
          <w:noProof/>
        </w:rPr>
        <w:t>hand</w:t>
      </w:r>
      <w:r w:rsidR="00A11B88" w:rsidRPr="00194419">
        <w:rPr>
          <w:noProof/>
        </w:rPr>
        <w:t>,</w:t>
      </w:r>
      <w:r w:rsidR="004D1E5B" w:rsidRPr="00194419">
        <w:t xml:space="preserve"> </w:t>
      </w:r>
      <w:r w:rsidR="00FE624E" w:rsidRPr="00194419">
        <w:t>the springs found in the lowest areas</w:t>
      </w:r>
      <w:r w:rsidR="004D1E5B" w:rsidRPr="00194419">
        <w:t xml:space="preserve"> present brine groundwater with low CFC-12 and </w:t>
      </w:r>
      <w:r w:rsidR="004D1E5B" w:rsidRPr="00194419">
        <w:rPr>
          <w:vertAlign w:val="superscript"/>
        </w:rPr>
        <w:t>3</w:t>
      </w:r>
      <w:r w:rsidR="004D1E5B" w:rsidRPr="00194419">
        <w:t>H values</w:t>
      </w:r>
      <w:r w:rsidR="00BC243F" w:rsidRPr="00194419">
        <w:t>,</w:t>
      </w:r>
      <w:r w:rsidR="004D1E5B" w:rsidRPr="00194419">
        <w:t xml:space="preserve"> as well as high </w:t>
      </w:r>
      <w:r w:rsidR="004D1E5B" w:rsidRPr="00194419">
        <w:rPr>
          <w:vertAlign w:val="superscript"/>
        </w:rPr>
        <w:t>4</w:t>
      </w:r>
      <w:r w:rsidR="004D1E5B" w:rsidRPr="00194419">
        <w:t>He contents (Fig. 1</w:t>
      </w:r>
      <w:r w:rsidR="00866A77" w:rsidRPr="00194419">
        <w:t>1</w:t>
      </w:r>
      <w:r w:rsidR="004D1E5B" w:rsidRPr="00194419">
        <w:t xml:space="preserve">). Such </w:t>
      </w:r>
      <w:r w:rsidR="004D1E5B" w:rsidRPr="00194419">
        <w:lastRenderedPageBreak/>
        <w:t xml:space="preserve">outlets are the consequence of the convergence of long groundwater flowpath of great residence time and others infiltrated more recently, that is, these spring waters </w:t>
      </w:r>
      <w:r w:rsidR="00FE4DCC" w:rsidRPr="00194419">
        <w:t xml:space="preserve">are </w:t>
      </w:r>
      <w:r w:rsidR="0042150B" w:rsidRPr="00194419">
        <w:t>mixtures</w:t>
      </w:r>
      <w:r w:rsidR="00FE4DCC" w:rsidRPr="00194419">
        <w:t xml:space="preserve"> between groundwater with </w:t>
      </w:r>
      <w:r w:rsidR="00FE4DCC" w:rsidRPr="00194419">
        <w:rPr>
          <w:vertAlign w:val="superscript"/>
        </w:rPr>
        <w:t>3</w:t>
      </w:r>
      <w:r w:rsidR="00FE4DCC" w:rsidRPr="00194419">
        <w:t xml:space="preserve">H and CFC-12 contents and groundwater that is free of those tracers but contain high </w:t>
      </w:r>
      <w:r w:rsidR="00FE4DCC" w:rsidRPr="00194419">
        <w:rPr>
          <w:vertAlign w:val="superscript"/>
        </w:rPr>
        <w:t>4</w:t>
      </w:r>
      <w:r w:rsidR="00FE4DCC" w:rsidRPr="00194419">
        <w:t>He values (Fig. 1</w:t>
      </w:r>
      <w:r w:rsidR="00866A77" w:rsidRPr="00194419">
        <w:t>1</w:t>
      </w:r>
      <w:r w:rsidR="00FE4DCC" w:rsidRPr="00194419">
        <w:t>). As a result</w:t>
      </w:r>
      <w:r w:rsidR="00BC243F" w:rsidRPr="00194419">
        <w:t>,</w:t>
      </w:r>
      <w:r w:rsidR="00FE4DCC" w:rsidRPr="00194419">
        <w:t xml:space="preserve"> sample</w:t>
      </w:r>
      <w:r w:rsidR="00BC243F" w:rsidRPr="00194419">
        <w:t>s</w:t>
      </w:r>
      <w:r w:rsidR="00FE4DCC" w:rsidRPr="00194419">
        <w:t xml:space="preserve"> collected in those springs have old</w:t>
      </w:r>
      <w:r w:rsidR="00BC243F" w:rsidRPr="00194419">
        <w:t>er</w:t>
      </w:r>
      <w:r w:rsidR="00FE4DCC" w:rsidRPr="00194419">
        <w:t xml:space="preserve"> groundwater age distributions, with </w:t>
      </w:r>
      <w:r w:rsidR="00206DF0" w:rsidRPr="00194419">
        <w:rPr>
          <w:color w:val="404040"/>
        </w:rPr>
        <w:t>GA</w:t>
      </w:r>
      <w:r w:rsidR="00206DF0" w:rsidRPr="00194419">
        <w:rPr>
          <w:color w:val="404040"/>
          <w:vertAlign w:val="subscript"/>
        </w:rPr>
        <w:t>50</w:t>
      </w:r>
      <w:r w:rsidR="00206DF0" w:rsidRPr="00194419">
        <w:rPr>
          <w:color w:val="404040"/>
        </w:rPr>
        <w:t xml:space="preserve"> values above </w:t>
      </w:r>
      <w:r w:rsidR="000A0288">
        <w:rPr>
          <w:color w:val="404040"/>
        </w:rPr>
        <w:t>50</w:t>
      </w:r>
      <w:r w:rsidR="000A0288" w:rsidRPr="00194419">
        <w:rPr>
          <w:color w:val="404040"/>
        </w:rPr>
        <w:t xml:space="preserve"> </w:t>
      </w:r>
      <w:r w:rsidR="00206DF0" w:rsidRPr="00194419">
        <w:rPr>
          <w:color w:val="404040"/>
        </w:rPr>
        <w:t xml:space="preserve">years and more than </w:t>
      </w:r>
      <w:r w:rsidR="000A0288">
        <w:rPr>
          <w:color w:val="404040"/>
        </w:rPr>
        <w:t>3</w:t>
      </w:r>
      <w:r w:rsidR="000A0288" w:rsidRPr="00194419">
        <w:rPr>
          <w:color w:val="404040"/>
        </w:rPr>
        <w:t>0</w:t>
      </w:r>
      <w:r w:rsidR="00206DF0" w:rsidRPr="00194419">
        <w:rPr>
          <w:color w:val="404040"/>
        </w:rPr>
        <w:t>% of old fraction</w:t>
      </w:r>
      <w:r w:rsidR="00BC243F" w:rsidRPr="00194419">
        <w:rPr>
          <w:color w:val="404040"/>
        </w:rPr>
        <w:t>s</w:t>
      </w:r>
      <w:r w:rsidR="00206DF0" w:rsidRPr="00194419">
        <w:rPr>
          <w:color w:val="404040"/>
        </w:rPr>
        <w:t xml:space="preserve"> (Tab. </w:t>
      </w:r>
      <w:r w:rsidR="00E85DD6">
        <w:rPr>
          <w:color w:val="404040"/>
        </w:rPr>
        <w:t>4</w:t>
      </w:r>
      <w:r w:rsidR="00E85DD6" w:rsidRPr="00194419">
        <w:rPr>
          <w:color w:val="404040"/>
        </w:rPr>
        <w:t xml:space="preserve"> </w:t>
      </w:r>
      <w:r w:rsidR="00401291" w:rsidRPr="00194419">
        <w:rPr>
          <w:color w:val="404040"/>
        </w:rPr>
        <w:t>&amp;</w:t>
      </w:r>
      <w:r w:rsidR="00206DF0" w:rsidRPr="00194419">
        <w:rPr>
          <w:color w:val="404040"/>
        </w:rPr>
        <w:t xml:space="preserve"> Fig.</w:t>
      </w:r>
      <w:r w:rsidR="003667E1" w:rsidRPr="00194419">
        <w:rPr>
          <w:color w:val="404040"/>
        </w:rPr>
        <w:t xml:space="preserve"> </w:t>
      </w:r>
      <w:r w:rsidR="00206DF0" w:rsidRPr="00194419">
        <w:rPr>
          <w:color w:val="404040"/>
        </w:rPr>
        <w:t xml:space="preserve">8). </w:t>
      </w:r>
      <w:r w:rsidR="00FC26FA" w:rsidRPr="00194419">
        <w:rPr>
          <w:color w:val="404040"/>
        </w:rPr>
        <w:t xml:space="preserve">In </w:t>
      </w:r>
      <w:r w:rsidR="00C13EF0" w:rsidRPr="00194419">
        <w:rPr>
          <w:color w:val="404040"/>
        </w:rPr>
        <w:t xml:space="preserve">an </w:t>
      </w:r>
      <w:r w:rsidR="00FC26FA" w:rsidRPr="00194419">
        <w:rPr>
          <w:color w:val="404040"/>
        </w:rPr>
        <w:t xml:space="preserve">intermediate position, springs drain groundwater with high mineralization (although lower than those </w:t>
      </w:r>
      <w:r w:rsidR="00745A87">
        <w:rPr>
          <w:color w:val="404040"/>
        </w:rPr>
        <w:t>located</w:t>
      </w:r>
      <w:r w:rsidR="00745A87" w:rsidRPr="00194419">
        <w:rPr>
          <w:color w:val="404040"/>
        </w:rPr>
        <w:t xml:space="preserve"> </w:t>
      </w:r>
      <w:r w:rsidR="00FC26FA" w:rsidRPr="00194419">
        <w:rPr>
          <w:color w:val="404040"/>
        </w:rPr>
        <w:t xml:space="preserve">at </w:t>
      </w:r>
      <w:r w:rsidR="00043707" w:rsidRPr="00194419">
        <w:rPr>
          <w:color w:val="404040"/>
        </w:rPr>
        <w:t xml:space="preserve">the </w:t>
      </w:r>
      <w:r w:rsidR="00FC26FA" w:rsidRPr="00194419">
        <w:rPr>
          <w:color w:val="404040"/>
        </w:rPr>
        <w:t>lowe</w:t>
      </w:r>
      <w:r w:rsidR="00043707" w:rsidRPr="00194419">
        <w:rPr>
          <w:color w:val="404040"/>
        </w:rPr>
        <w:t>st</w:t>
      </w:r>
      <w:r w:rsidR="00FC26FA" w:rsidRPr="00194419">
        <w:rPr>
          <w:color w:val="404040"/>
        </w:rPr>
        <w:t xml:space="preserve"> positions), as they would receive </w:t>
      </w:r>
      <w:r w:rsidR="00A11B88" w:rsidRPr="00194419">
        <w:rPr>
          <w:noProof/>
          <w:color w:val="404040"/>
        </w:rPr>
        <w:t>fewer</w:t>
      </w:r>
      <w:r w:rsidR="00202005" w:rsidRPr="00194419">
        <w:rPr>
          <w:color w:val="404040"/>
        </w:rPr>
        <w:t xml:space="preserve"> inflows of long groundwater flowpath of great residence time in the media (high </w:t>
      </w:r>
      <w:r w:rsidR="00202005" w:rsidRPr="00194419">
        <w:rPr>
          <w:color w:val="404040"/>
          <w:vertAlign w:val="superscript"/>
        </w:rPr>
        <w:t>4</w:t>
      </w:r>
      <w:r w:rsidR="00202005" w:rsidRPr="00194419">
        <w:rPr>
          <w:color w:val="404040"/>
        </w:rPr>
        <w:t xml:space="preserve">He and no CFC-12 or </w:t>
      </w:r>
      <w:r w:rsidR="00202005" w:rsidRPr="00194419">
        <w:rPr>
          <w:color w:val="404040"/>
          <w:vertAlign w:val="superscript"/>
        </w:rPr>
        <w:t>3</w:t>
      </w:r>
      <w:r w:rsidR="00202005" w:rsidRPr="00194419">
        <w:rPr>
          <w:color w:val="404040"/>
        </w:rPr>
        <w:t xml:space="preserve">H). Therefore, their groundwater age distribution is </w:t>
      </w:r>
      <w:r w:rsidR="00043707" w:rsidRPr="00194419">
        <w:rPr>
          <w:color w:val="404040"/>
        </w:rPr>
        <w:t xml:space="preserve">leaned </w:t>
      </w:r>
      <w:r w:rsidR="00202005" w:rsidRPr="00194419">
        <w:rPr>
          <w:color w:val="404040"/>
        </w:rPr>
        <w:t>to</w:t>
      </w:r>
      <w:r w:rsidR="00043707" w:rsidRPr="00194419">
        <w:rPr>
          <w:color w:val="404040"/>
        </w:rPr>
        <w:t>wards</w:t>
      </w:r>
      <w:r w:rsidR="00202005" w:rsidRPr="00194419">
        <w:rPr>
          <w:color w:val="404040"/>
        </w:rPr>
        <w:t xml:space="preserve"> younger dates, with GA</w:t>
      </w:r>
      <w:r w:rsidR="00202005" w:rsidRPr="00194419">
        <w:rPr>
          <w:color w:val="404040"/>
          <w:vertAlign w:val="subscript"/>
        </w:rPr>
        <w:t>50</w:t>
      </w:r>
      <w:r w:rsidR="00401291" w:rsidRPr="00194419">
        <w:rPr>
          <w:color w:val="404040"/>
        </w:rPr>
        <w:t xml:space="preserve"> </w:t>
      </w:r>
      <w:r w:rsidR="00043707" w:rsidRPr="00194419">
        <w:rPr>
          <w:color w:val="404040"/>
        </w:rPr>
        <w:t>≤ 30</w:t>
      </w:r>
      <w:r w:rsidR="00401291" w:rsidRPr="00194419">
        <w:rPr>
          <w:color w:val="404040"/>
        </w:rPr>
        <w:t xml:space="preserve"> years and smaller </w:t>
      </w:r>
      <w:r w:rsidR="000A0288">
        <w:rPr>
          <w:color w:val="404040"/>
        </w:rPr>
        <w:t xml:space="preserve">or absent </w:t>
      </w:r>
      <w:r w:rsidR="00401291" w:rsidRPr="00194419">
        <w:rPr>
          <w:color w:val="404040"/>
        </w:rPr>
        <w:t>F</w:t>
      </w:r>
      <w:r w:rsidR="00401291" w:rsidRPr="00194419">
        <w:rPr>
          <w:color w:val="404040"/>
          <w:vertAlign w:val="subscript"/>
        </w:rPr>
        <w:t>old</w:t>
      </w:r>
      <w:r w:rsidR="00401291" w:rsidRPr="00194419">
        <w:rPr>
          <w:color w:val="404040"/>
        </w:rPr>
        <w:t xml:space="preserve"> fractions (Tab. </w:t>
      </w:r>
      <w:r w:rsidR="00E85DD6">
        <w:rPr>
          <w:color w:val="404040"/>
        </w:rPr>
        <w:t>4</w:t>
      </w:r>
      <w:r w:rsidR="00E85DD6" w:rsidRPr="00194419">
        <w:rPr>
          <w:color w:val="404040"/>
        </w:rPr>
        <w:t xml:space="preserve"> </w:t>
      </w:r>
      <w:r w:rsidR="00401291" w:rsidRPr="00194419">
        <w:rPr>
          <w:color w:val="404040"/>
        </w:rPr>
        <w:t>&amp; Figs. 8 &amp;1</w:t>
      </w:r>
      <w:r w:rsidR="00866A77" w:rsidRPr="00194419">
        <w:rPr>
          <w:color w:val="404040"/>
        </w:rPr>
        <w:t>1</w:t>
      </w:r>
      <w:r w:rsidR="00401291" w:rsidRPr="00194419">
        <w:rPr>
          <w:color w:val="404040"/>
        </w:rPr>
        <w:t>). Typically, the contribution of older groundwater to this kind of discharge points increases as their geochemical evolution does</w:t>
      </w:r>
      <w:r w:rsidR="00866A77" w:rsidRPr="00194419">
        <w:rPr>
          <w:color w:val="404040"/>
        </w:rPr>
        <w:t xml:space="preserve">, which is reflected in the amount of </w:t>
      </w:r>
      <w:r w:rsidR="00866A77" w:rsidRPr="00194419">
        <w:rPr>
          <w:color w:val="404040"/>
          <w:vertAlign w:val="superscript"/>
        </w:rPr>
        <w:t>4</w:t>
      </w:r>
      <w:r w:rsidR="00866A77" w:rsidRPr="00194419">
        <w:rPr>
          <w:color w:val="404040"/>
        </w:rPr>
        <w:t>He, the</w:t>
      </w:r>
      <w:r w:rsidR="00BC243F" w:rsidRPr="00194419">
        <w:rPr>
          <w:color w:val="404040"/>
        </w:rPr>
        <w:t>ir</w:t>
      </w:r>
      <w:r w:rsidR="00866A77" w:rsidRPr="00194419">
        <w:rPr>
          <w:color w:val="404040"/>
        </w:rPr>
        <w:t xml:space="preserve"> mineralization</w:t>
      </w:r>
      <w:r w:rsidR="00BC243F" w:rsidRPr="00194419">
        <w:rPr>
          <w:color w:val="404040"/>
        </w:rPr>
        <w:t xml:space="preserve"> (EC)</w:t>
      </w:r>
      <w:r w:rsidR="00866A77" w:rsidRPr="00194419">
        <w:rPr>
          <w:color w:val="404040"/>
        </w:rPr>
        <w:t xml:space="preserve"> and the rCl</w:t>
      </w:r>
      <w:r w:rsidR="00B801EA" w:rsidRPr="00194419">
        <w:rPr>
          <w:color w:val="404040"/>
          <w:vertAlign w:val="superscript"/>
        </w:rPr>
        <w:t>-</w:t>
      </w:r>
      <w:r w:rsidR="00866A77" w:rsidRPr="00194419">
        <w:rPr>
          <w:color w:val="404040"/>
        </w:rPr>
        <w:t>/SO</w:t>
      </w:r>
      <w:r w:rsidR="00866A77" w:rsidRPr="00194419">
        <w:rPr>
          <w:color w:val="404040"/>
          <w:vertAlign w:val="subscript"/>
        </w:rPr>
        <w:t>4</w:t>
      </w:r>
      <w:r w:rsidR="00B801EA" w:rsidRPr="00194419">
        <w:rPr>
          <w:color w:val="404040"/>
          <w:vertAlign w:val="superscript"/>
        </w:rPr>
        <w:t>2-</w:t>
      </w:r>
      <w:r w:rsidR="00866A77" w:rsidRPr="00194419">
        <w:rPr>
          <w:color w:val="404040"/>
        </w:rPr>
        <w:t xml:space="preserve"> (Figs. 9 &amp; 10).</w:t>
      </w:r>
    </w:p>
    <w:p w14:paraId="58A07D2A" w14:textId="0A831DF1" w:rsidR="00C7164A" w:rsidRPr="00194419" w:rsidRDefault="003D1A29" w:rsidP="008A3630">
      <w:pPr>
        <w:spacing w:line="480" w:lineRule="auto"/>
      </w:pPr>
      <w:r w:rsidRPr="00194419">
        <w:t xml:space="preserve">The conceptual model here discussed is also used by Andreo et al. </w:t>
      </w:r>
      <w:r w:rsidR="003A60B5" w:rsidRPr="00194419">
        <w:fldChar w:fldCharType="begin" w:fldLock="1"/>
      </w:r>
      <w:r w:rsidR="001612E2" w:rsidRPr="00194419">
        <w:instrText>ADDIN CSL_CITATION {"citationItems":[{"id":"ITEM-1","itemData":{"DOI":"10.1007/s12665-016-5545-1","abstract":"© 2016, Springer-Verlag Berlin Heidelberg. The northern sector of the External Zone of the Betic Cordillera (S Spain) is formed by an olistostrome unit known as the Chaotic Subbetic Complexes (CSC). This megabreccia is basically made of clays and evaporite rocks (gypsum and salt) of Upper Triassic (Keuper) age as well as other lithologies (dolostones, limestones, marls and calcareous sandstones) belonging to different ages (Jurassic, Cretaceous and Tertiary). Despite of low permeability has been traditionally assumed for these materials, water flow and storage through them is possible due to the aquitard behavior of clays and sandstones and the presence of conduits generated by dissolution/karstification processes within the evaporite rocks. The lithological complexity of the CSC determines its hydrogeological heterogeneity, with groundwater flows of different length and various scales from recharge areas to discharge zones. Thus, wetlands and springs placed at lower altitudes are associated with large (regional) groundwater flows, of greater residence time within the aquifer, and they normally drain high salinity waters mostly connected with ascending flow. This work provides an overview of the main geological and hydrogeological aspects related to groundwater flow within the CSC on the basis of several case-studies. Conceptual models are proposed for these cases, since they are the base to carry out a genetic-functional classification of wetlands potentially useful for their management.","author":[{"dropping-particle":"","family":"Andreo","given":"Bartolomé","non-dropping-particle":"","parse-names":false,"suffix":""},{"dropping-particle":"","family":"Gil-Márquez","given":"José Manuel","non-dropping-particle":"","parse-names":false,"suffix":""},{"dropping-particle":"","family":"Mudarra","given":"Matías","non-dropping-particle":"","parse-names":false,"suffix":""},{"dropping-particle":"","family":"Linares","given":"Luis","non-dropping-particle":"","parse-names":false,"suffix":""},{"dropping-particle":"","family":"Carrasco","given":"Francisco","non-dropping-particle":"","parse-names":false,"suffix":""}],"container-title":"Environmental Earth Sciences","id":"ITEM-1","issue":"9","issued":{"date-parts":[["2016"]]},"page":"1-19","title":"Hypothesis on the hydrogeological context of wetland areas and springs related to evaporitic karst aquifers (Málaga, Córdoba and Jaén provinces, Southern Spain)","type":"article-journal","volume":"75"},"uris":["http://www.mendeley.com/documents/?uuid=de2b44fe-b64d-31c9-9255-128364900901"]}],"mendeley":{"formattedCitation":"(Andreo et al., 2016)","manualFormatting":"(2016)","plainTextFormattedCitation":"(Andreo et al., 2016)","previouslyFormattedCitation":"(Andreo et al., 2016)"},"properties":{"noteIndex":0},"schema":"https://github.com/citation-style-language/schema/raw/master/csl-citation.json"}</w:instrText>
      </w:r>
      <w:r w:rsidR="003A60B5" w:rsidRPr="00194419">
        <w:fldChar w:fldCharType="separate"/>
      </w:r>
      <w:r w:rsidR="003A60B5" w:rsidRPr="00194419">
        <w:rPr>
          <w:noProof/>
        </w:rPr>
        <w:t>(2016)</w:t>
      </w:r>
      <w:r w:rsidR="003A60B5" w:rsidRPr="00194419">
        <w:fldChar w:fldCharType="end"/>
      </w:r>
      <w:r w:rsidRPr="00194419">
        <w:t xml:space="preserve"> to explain the hydrological functioning of wetlands and their hydrochemical and hydroperiod diversity, as a results of their relation with groundwater, similarly to other models found in literature </w:t>
      </w:r>
      <w:r w:rsidR="003A60B5" w:rsidRPr="00194419">
        <w:fldChar w:fldCharType="begin" w:fldLock="1"/>
      </w:r>
      <w:r w:rsidR="003A60B5" w:rsidRPr="00194419">
        <w:instrText>ADDIN CSL_CITATION {"citationItems":[{"id":"ITEM-1","itemData":{"author":[{"dropping-particle":"","family":"Lissey","given":"A.","non-dropping-particle":"","parse-names":false,"suffix":""}],"container-title":"Special Paper Geological Association of Canada","id":"ITEM-1","issued":{"date-parts":[["1971","11","4"]]},"page":"333-3411971","title":"Depression-focused transient groundwater flow patterns in Manitoba","type":"article-journal"},"uris":["http://www.mendeley.com/documents/?uuid=78e57ae0-1e9a-3635-b3eb-3361df3df44b"]},{"id":"ITEM-2","itemData":{"DOI":"10.1007/s100400050178","ISBN":"14312174 (ISSN)","ISSN":"1431-2174","abstract":"Surface-water bodies are integral parts of groundwater flow systems. Groundwater interacts with surface water in nearly all landscapes, ranging from small streams, lakes, and wetlands in headwater areas to major river valleys and seacoasts. Although it gener- ally is assumed that topographically high areas are groundwater recharge areas and topographically low areas are groundwater discharge areas, this is true primarily for regional flow systems. The superposition of local flow systems associated with surface-water bodies on this regional framework results in complex interactions between groundwater and surface water in all landscapes, regardless of regional topographic posi- tion. Hydrologic processes associated with the surface- water bodies themselves, such as seasonally high surface-water levels and evaporation and transpiration of groundwater from around the perimeter of surface- water bodies, are a major cause of the complex and seasonally dynamic groundwater flow fields associated with surface water. These processes have been docu- mented at research sites in glacial, dune, coastal, mantled karst, and riverine terrains.","author":[{"dropping-particle":"","family":"Winter","given":"Thomas C.","non-dropping-particle":"","parse-names":false,"suffix":""}],"container-title":"Hydrogeology Journal","id":"ITEM-2","issue":"1","issued":{"date-parts":[["1999"]]},"page":"28-45","title":"Relation of streams, lakes, and wetlands to groundwater flow systems","type":"article-journal","volume":"7"},"uris":["http://www.mendeley.com/documents/?uuid=c49cb441-bb3f-401a-a0e1-70c42c1d4fde"]},{"id":"ITEM-3","itemData":{"DOI":"10.1672/0277-5212(2004)024[0448:TWCACF]2.0.CO;2","ISBN":"0277-5212","ISSN":"0277-5212","abstract":"We describe a conceptual model, the wetland continuum, which allows wetland managers, sci-entists, and ecologists to consider simultaneously the influence of climate and hydrologic setting on wetland biological communities. Although multidimensional, the wetland continuum is most easily represented as a two-dimensional gradient, with ground water and atmospheric water constituting the horizontal and vertical axes, respectively. By locating the position of a wetland on both axes of the continuum, the potential biological expression of the wetland can be predicted at any point in time. The model provides a framework useful in the organization and interpretation of biological data from wetlands by incorporating the dynamic changes these systems undergo as a result of normal climatic variation rather than placing them into static categories common to many wetland classification systems. While we developed this model from the liter-ature available for depressional wetlands in the prairie pothole region of North America, we believe the concept has application to wetlands in many other geographic locations.","author":[{"dropping-particle":"","family":"Euliss","given":"Ned H","non-dropping-particle":"","parse-names":false,"suffix":""},{"dropping-particle":"","family":"Labaugh","given":"James W","non-dropping-particle":"","parse-names":false,"suffix":""},{"dropping-particle":"","family":"Fredrickson","given":"Leigh H","non-dropping-particle":"","parse-names":false,"suffix":""},{"dropping-particle":"","family":"Mushet","given":"David M","non-dropping-particle":"","parse-names":false,"suffix":""},{"dropping-particle":"","family":"Laubhan","given":"Murray K","non-dropping-particle":"","parse-names":false,"suffix":""},{"dropping-particle":"","family":"Swanson","given":"George A","non-dropping-particle":"","parse-names":false,"suffix":""},{"dropping-particle":"","family":"Winter","given":"Thomas C","non-dropping-particle":"","parse-names":false,"suffix":""},{"dropping-particle":"","family":"Rosenberry","given":"Donald O","non-dropping-particle":"","parse-names":false,"suffix":""},{"dropping-particle":"","family":"Nelson","given":"Richard D","non-dropping-particle":"","parse-names":false,"suffix":""}],"container-title":"Wetlands","id":"ITEM-3","issue":"2","issued":{"date-parts":[["2004"]]},"page":"448-458","title":"the Wetland Continuum: a Conceptual Framework for Interpreting Biological Studies","type":"article-journal","volume":"24"},"uris":["http://www.mendeley.com/documents/?uuid=1322c5af-7a31-4a4e-9520-94fdf955485f"]}],"mendeley":{"formattedCitation":"(Euliss et al., 2004; Lissey, 1971; Winter, 1999)","plainTextFormattedCitation":"(Euliss et al., 2004; Lissey, 1971; Winter, 1999)","previouslyFormattedCitation":"(Euliss et al., 2004; Lissey, 1971; Winter, 1999)"},"properties":{"noteIndex":0},"schema":"https://github.com/citation-style-language/schema/raw/master/csl-citation.json"}</w:instrText>
      </w:r>
      <w:r w:rsidR="003A60B5" w:rsidRPr="00194419">
        <w:fldChar w:fldCharType="separate"/>
      </w:r>
      <w:r w:rsidR="003A60B5" w:rsidRPr="00194419">
        <w:rPr>
          <w:noProof/>
        </w:rPr>
        <w:t>(Euliss et al., 2004; Lissey, 1971; Winter, 1999)</w:t>
      </w:r>
      <w:r w:rsidR="003A60B5" w:rsidRPr="00194419">
        <w:fldChar w:fldCharType="end"/>
      </w:r>
      <w:r w:rsidRPr="00194419">
        <w:t>. No wetland samples have been analyzed in this work for</w:t>
      </w:r>
      <w:r w:rsidR="00A14C6F" w:rsidRPr="00194419">
        <w:t xml:space="preserve"> dating </w:t>
      </w:r>
      <w:r w:rsidR="003667E1" w:rsidRPr="00194419">
        <w:t>purposes</w:t>
      </w:r>
      <w:r w:rsidR="00A14C6F" w:rsidRPr="00194419">
        <w:t>.</w:t>
      </w:r>
      <w:r w:rsidRPr="00194419">
        <w:t xml:space="preserve"> </w:t>
      </w:r>
      <w:r w:rsidR="00A14C6F" w:rsidRPr="00194419">
        <w:t>H</w:t>
      </w:r>
      <w:r w:rsidRPr="00194419">
        <w:t xml:space="preserve">owever, recent </w:t>
      </w:r>
      <w:r w:rsidR="00A14C6F" w:rsidRPr="00194419">
        <w:t xml:space="preserve">groundwater dating </w:t>
      </w:r>
      <w:r w:rsidRPr="00194419">
        <w:t>research</w:t>
      </w:r>
      <w:r w:rsidR="00402787" w:rsidRPr="00194419">
        <w:t xml:space="preserve"> </w:t>
      </w:r>
      <w:r w:rsidR="00A14C6F" w:rsidRPr="00194419">
        <w:t xml:space="preserve">based in the </w:t>
      </w:r>
      <w:r w:rsidR="00A14C6F" w:rsidRPr="00194419">
        <w:rPr>
          <w:vertAlign w:val="superscript"/>
        </w:rPr>
        <w:t>14</w:t>
      </w:r>
      <w:r w:rsidR="00A14C6F" w:rsidRPr="00194419">
        <w:t xml:space="preserve">C and </w:t>
      </w:r>
      <w:r w:rsidR="00A14C6F" w:rsidRPr="00194419">
        <w:rPr>
          <w:vertAlign w:val="superscript"/>
        </w:rPr>
        <w:t>4</w:t>
      </w:r>
      <w:r w:rsidR="00A14C6F" w:rsidRPr="00194419">
        <w:t xml:space="preserve">He methods </w:t>
      </w:r>
      <w:r w:rsidR="007664E7" w:rsidRPr="00194419">
        <w:t>were</w:t>
      </w:r>
      <w:r w:rsidR="00A14C6F" w:rsidRPr="00194419">
        <w:t xml:space="preserve"> </w:t>
      </w:r>
      <w:r w:rsidR="00402787" w:rsidRPr="00194419">
        <w:t xml:space="preserve">performed in Fuente de Piedra </w:t>
      </w:r>
      <w:r w:rsidR="00A14C6F" w:rsidRPr="00194419">
        <w:t>wetland</w:t>
      </w:r>
      <w:r w:rsidR="00402787" w:rsidRPr="00194419">
        <w:t xml:space="preserve"> </w:t>
      </w:r>
      <w:r w:rsidR="003A60B5" w:rsidRPr="00194419">
        <w:fldChar w:fldCharType="begin" w:fldLock="1"/>
      </w:r>
      <w:r w:rsidR="001322FD" w:rsidRPr="00194419">
        <w:instrText>ADDIN CSL_CITATION {"citationItems":[{"id":"ITEM-1","itemData":{"DOI":"10.1016/j.quaint.2016.02.051","ISBN":"1040-6182","ISSN":"10406182","abstract":"Here, we present a terrestrial multi-proxy record of Late Quaternary environmental changes in the southern Iberian Peninsula covering approximately 30 ka. This sedimentary record originates from a saline playa lake (Laguna de Fuente de Piedra) hosted within a complex geological setting dominated by Triassic claystones and evaporites, Jurassic carbonates and Miocene deposits leading to a complex hydrogeological setting. Dissolution of evaporites in the catchment and intense evaporation are responsible for saline waters fluctuating in the basin. Thus, salinity as palaeohydrological proxy, requires a decoupling of internal and external hydrogeochemical processes. The greatest accumulation of evaporites in the LFP late Pleistocene-Holocene record coincides with a more humid or, at least, less evaporative, period. Based on multi-proxy data we describe five lacustrine lithofacies (2-5), and fluvial deposits (1) from sediment cores. The proposed conceptual lake margin model contains three main lake water stages repeated within the sedimentary succession and building up the characteristic lithofacies. Lake water stages refer to a flooding stage (influx &gt; outflux), high water stage (influx = outflux), and low water stage (influx &lt; outflux). The lithostratigraphy reveals a palaeohydrological record suggesting climate changes and associated lake level fluctuations. Lake level oscillations of different amplitudes have been identified. Low amplitude changes have been revealed for the periods from 28 ka cal BP to 17.5 ka cal BP and from 8.2 ka cal BP to present, whereas in between (17.5 ka cal BP to 8.2 ka cal BP) the Late Pleistocene/Holocene transition shows high amplitude lake level changes. The latter coincides with an increased influence of saline subsurface waters, due to groundwater level rising (sulfate signature). In contrast, the Holocene, records the low amplitude oscillations and a drop of the groundwater levels, which creates a less saline or fresher footprint in the sediments (carbonate signature). Thus, the periods of low amplitude lake level oscillations, low inputs of clastics and low groundwater levels (drier) coincide with periods of minimal seasonal insolation difference. In contrast, the period of higher amplitude lake level oscillations, higher input of clastics and higher groundwater table (wetter) is correlative to periods of maximum difference between summer and winter insolation.","author":[{"dropping-particle":"","family":"Höbig","given":"N.","non-dropping-particle":"","parse-names":false,"suffix":""},{"dropping-particle":"","family":"Mediavilla","given":"R.","non-dropping-particle":"","parse-names":false,"suffix":""},{"dropping-particle":"","family":"Gibert","given":"L.","non-dropping-particle":"","parse-names":false,"suffix":""},{"dropping-particle":"","family":"Santisteban","given":"J. I.","non-dropping-particle":"","parse-names":false,"suffix":""},{"dropping-particle":"","family":"Cendón","given":"D. I.","non-dropping-particle":"","parse-names":false,"suffix":""},{"dropping-particle":"","family":"Ibáñez","given":"J.","non-dropping-particle":"","parse-names":false,"suffix":""},{"dropping-particle":"","family":"Reicherter","given":"K.","non-dropping-particle":"","parse-names":false,"suffix":""}],"container-title":"Quaternary International","id":"ITEM-1","issued":{"date-parts":[["2016"]]},"page":"29-46","title":"Palaeohydrological evolution and implications for palaeoclimate since the Late Glacial at Laguna de Fuente de Piedra, southern Spain","type":"article-journal","volume":"407"},"uris":["http://www.mendeley.com/documents/?uuid=92fc280b-66e6-4a4e-865b-b57421fec5ea"]},{"id":"ITEM-2","itemData":{"DOI":"10.1016/j.scitotenv.2016.10.048","ISSN":"18791026","PMID":"27792952","abstract":"The Fuente de Piedra lake is a hypersaline wetland of great extension (13.5??km2) and rich in aquatic birds and other species. It became therefore the third Spanish wetland to be included in the Ramsar convention and has been a ???nature reserve??? since 1984. The lake has an endorheic basin (150??km2) with variable-density flows dominated by complex hydrogeological conditions. The traditional conceptualization of endorheic basins in semiarid climates considered that the brine in this hydric system was exclusively of evaporative origin and was placed only in the lake and its surrounding discharge area in the basin. Previous geophysical and hydrochemical studies identified different types of waters and brines. In this work, natural tracers (Cl???, Br???, Na+, Mg2+) and environmental isotopes (18O, 2H, 14C, 13C and 3H) were employed to a) discriminate different types of brines according to their degree of evaporation and genesis, and b) to estimate residence times of brine waters and identify recharge areas of the different flow subsystems. A conceptual model of the hydrogeological system of the lake basin and its links to a regional karst system is proposed.","author":[{"dropping-particle":"","family":"Montalván","given":"F. J.","non-dropping-particle":"","parse-names":false,"suffix":""},{"dropping-particle":"","family":"Heredia","given":"J.","non-dropping-particle":"","parse-names":false,"suffix":""},{"dropping-particle":"","family":"Ruiz","given":"J. M.","non-dropping-particle":"","parse-names":false,"suffix":""},{"dropping-particle":"","family":"Pardo-Iguzquiza","given":"E.","non-dropping-particle":"","parse-names":false,"suffix":""},{"dropping-particle":"","family":"García de Domingo","given":"A.","non-dropping-particle":"","parse-names":false,"suffix":""},{"dropping-particle":"","family":"Elorza","given":"F. J.","non-dropping-particle":"","parse-names":false,"suffix":""}],"container-title":"Science of the Total Environment","id":"ITEM-2","issued":{"date-parts":[["2017"]]},"page":"335-346","publisher":"Elsevier B.V.","title":"Hydrochemical and isotopes studies in a hypersaline wetland to define the hydrogeological conceptual model: Fuente de Piedra Lake (Malaga, Spain)","type":"article-journal","volume":"576"},"uris":["http://www.mendeley.com/documents/?uuid=95026b71-4795-45e1-833d-43a152f8995f"]}],"mendeley":{"formattedCitation":"(Höbig et al., 2016; Montalván et al., 2017)","plainTextFormattedCitation":"(Höbig et al., 2016; Montalván et al., 2017)","previouslyFormattedCitation":"(Höbig et al., 2016; Montalván et al., 2017)"},"properties":{"noteIndex":0},"schema":"https://github.com/citation-style-language/schema/raw/master/csl-citation.json"}</w:instrText>
      </w:r>
      <w:r w:rsidR="003A60B5" w:rsidRPr="00194419">
        <w:fldChar w:fldCharType="separate"/>
      </w:r>
      <w:r w:rsidR="001322FD" w:rsidRPr="00194419">
        <w:rPr>
          <w:noProof/>
        </w:rPr>
        <w:t>(Höbig et al., 2016; Montalván et al., 2017)</w:t>
      </w:r>
      <w:r w:rsidR="003A60B5" w:rsidRPr="00194419">
        <w:fldChar w:fldCharType="end"/>
      </w:r>
      <w:r w:rsidR="00A14C6F" w:rsidRPr="00194419">
        <w:t xml:space="preserve">, </w:t>
      </w:r>
      <w:r w:rsidR="007664E7" w:rsidRPr="00194419">
        <w:t xml:space="preserve">that is </w:t>
      </w:r>
      <w:r w:rsidR="00A14C6F" w:rsidRPr="00194419">
        <w:t xml:space="preserve">considered a discharge wetland </w:t>
      </w:r>
      <w:r w:rsidR="00A14C6F" w:rsidRPr="00194419">
        <w:fldChar w:fldCharType="begin" w:fldLock="1"/>
      </w:r>
      <w:r w:rsidR="00A14C6F" w:rsidRPr="00194419">
        <w:instrText>ADDIN CSL_CITATION {"citationItems":[{"id":"ITEM-1","itemData":{"author":[{"dropping-particle":"","family":"Linares","given":"Luis","non-dropping-particle":"","parse-names":false,"suffix":""}],"id":"ITEM-1","issued":{"date-parts":[["1990"]]},"publisher":"Univ. Granada","title":"Hydrogeology of Fuente de Piedra Wetland (Málaga).","type":"thesis"},"uris":["http://www.mendeley.com/documents/?uuid=a4cb8928-222a-45dd-bf6d-62b674c04af3"]},{"id":"ITEM-2","itemData":{"DOI":"10.1016/j.jhydrol.2007.12.008","ISSN":"00221694","abstract":"This research reports the characterisation of ground- and surface-water interaction in the Fuente de Piedra Salt lake basin in southern Spain by a combined approach using hydraulic, hydrogeochemical and stable isotope data. During three sampling campaigns (February 2004, 2005 and October 2005) ground- and surface-water samples were collected for stable isotope studies (18O, D) and for major and minor ion analysis. Hydraulic measurements at multilevel piezometers were carried out at four different locations around the lake edge. Conductivity logs were performed at four piezometers located along a profile at the northern lake border and at two deeper piezometers in the Miocene basin at a greater distance from the lake. To describe processes that control the brine evolution different hydrogeochemical simulations were performed. Hydrogeochemical data show a variety of brines related to thickness variations of lacustrine evaporites around the lake. Salinity profiles in combination with stable isotope and hydraulic data indicate the existence of convection cells and recycled brines. Furthermore restricted ground-water inflow into the lake was detected. Dedolomitisation processes were identified by hydrogeochemical simulations and different brine origins were reproduced by inverse modelling approaches. © 2007 Elsevier B.V. All rights reserved.","author":[{"dropping-particle":"","family":"Kohfahl","given":"Claus","non-dropping-particle":"","parse-names":false,"suffix":""},{"dropping-particle":"","family":"Rodriguez","given":"Miguel","non-dropping-particle":"","parse-names":false,"suffix":""},{"dropping-particle":"","family":"Fenk","given":"Cord","non-dropping-particle":"","parse-names":false,"suffix":""},{"dropping-particle":"","family":"Menz","given":"Christian","non-dropping-particle":"","parse-names":false,"suffix":""},{"dropping-particle":"","family":"Benavente","given":"Jose","non-dropping-particle":"","parse-names":false,"suffix":""},{"dropping-particle":"","family":"Hubberten","given":"Hans","non-dropping-particle":"","parse-names":false,"suffix":""},{"dropping-particle":"","family":"Meyer","given":"Hanno","non-dropping-particle":"","parse-names":false,"suffix":""},{"dropping-particle":"","family":"Paul","given":"Liisa","non-dropping-particle":"","parse-names":false,"suffix":""},{"dropping-particle":"","family":"Knappe","given":"Andrea","non-dropping-particle":"","parse-names":false,"suffix":""},{"dropping-particle":"","family":"López-Geta","given":"Juan Antonio","non-dropping-particle":"","parse-names":false,"suffix":""},{"dropping-particle":"","family":"Pekdeger","given":"Asaf","non-dropping-particle":"","parse-names":false,"suffix":""}],"container-title":"Journal of Hydrology","id":"ITEM-2","issue":"1-2","issued":{"date-parts":[["2008"]]},"page":"170-187","title":"Characterising flow regime and interrelation between surface-water and ground-water in the Fuente de Piedra salt lake basin by means of stable isotopes, hydrogeochemical and hydraulic data","type":"article-journal","volume":"351"},"uris":["http://www.mendeley.com/documents/?uuid=e1896ad5-8fbf-4ebc-8a74-25f56e749592"]}],"mendeley":{"formattedCitation":"(Kohfahl et al., 2008; Linares, 1990)","plainTextFormattedCitation":"(Kohfahl et al., 2008; Linares, 1990)","previouslyFormattedCitation":"(Kohfahl et al., 2008; Linares, 1990)"},"properties":{"noteIndex":0},"schema":"https://github.com/citation-style-language/schema/raw/master/csl-citation.json"}</w:instrText>
      </w:r>
      <w:r w:rsidR="00A14C6F" w:rsidRPr="00194419">
        <w:fldChar w:fldCharType="separate"/>
      </w:r>
      <w:r w:rsidR="00A14C6F" w:rsidRPr="00194419">
        <w:rPr>
          <w:noProof/>
        </w:rPr>
        <w:t>(Kohfahl et al., 2008; Linares, 1990)</w:t>
      </w:r>
      <w:r w:rsidR="00A14C6F" w:rsidRPr="00194419">
        <w:fldChar w:fldCharType="end"/>
      </w:r>
      <w:r w:rsidR="00BE046F" w:rsidRPr="00194419">
        <w:t xml:space="preserve"> in the CSC (Fig. 1C)</w:t>
      </w:r>
      <w:r w:rsidR="00C27C27">
        <w:t>,</w:t>
      </w:r>
      <w:r w:rsidR="00A14C6F" w:rsidRPr="00194419">
        <w:t xml:space="preserve"> </w:t>
      </w:r>
      <w:r w:rsidR="00C27C27" w:rsidRPr="00194419">
        <w:t xml:space="preserve">according to the </w:t>
      </w:r>
      <w:r w:rsidR="00C27C27">
        <w:t xml:space="preserve">hydrogeological </w:t>
      </w:r>
      <w:r w:rsidR="00C27C27" w:rsidRPr="00194419">
        <w:t xml:space="preserve">model </w:t>
      </w:r>
      <w:r w:rsidR="00C27C27">
        <w:t>explained by</w:t>
      </w:r>
      <w:r w:rsidR="00C27C27" w:rsidRPr="00194419">
        <w:t xml:space="preserve"> Andreo </w:t>
      </w:r>
      <w:r w:rsidR="00C27C27" w:rsidRPr="00194419">
        <w:rPr>
          <w:i/>
        </w:rPr>
        <w:t>et al</w:t>
      </w:r>
      <w:r w:rsidR="00C27C27" w:rsidRPr="00194419">
        <w:t xml:space="preserve">. </w:t>
      </w:r>
      <w:r w:rsidR="00C27C27" w:rsidRPr="00194419">
        <w:fldChar w:fldCharType="begin" w:fldLock="1"/>
      </w:r>
      <w:r w:rsidR="00C27C27" w:rsidRPr="00194419">
        <w:instrText>ADDIN CSL_CITATION {"citationItems":[{"id":"ITEM-1","itemData":{"DOI":"10.1007/s12665-016-5545-1","abstract":"© 2016, Springer-Verlag Berlin Heidelberg. The northern sector of the External Zone of the Betic Cordillera (S Spain) is formed by an olistostrome unit known as the Chaotic Subbetic Complexes (CSC). This megabreccia is basically made of clays and evaporite rocks (gypsum and salt) of Upper Triassic (Keuper) age as well as other lithologies (dolostones, limestones, marls and calcareous sandstones) belonging to different ages (Jurassic, Cretaceous and Tertiary). Despite of low permeability has been traditionally assumed for these materials, water flow and storage through them is possible due to the aquitard behavior of clays and sandstones and the presence of conduits generated by dissolution/karstification processes within the evaporite rocks. The lithological complexity of the CSC determines its hydrogeological heterogeneity, with groundwater flows of different length and various scales from recharge areas to discharge zones. Thus, wetlands and springs placed at lower altitudes are associated with large (regional) groundwater flows, of greater residence time within the aquifer, and they normally drain high salinity waters mostly connected with ascending flow. This work provides an overview of the main geological and hydrogeological aspects related to groundwater flow within the CSC on the basis of several case-studies. Conceptual models are proposed for these cases, since they are the base to carry out a genetic-functional classification of wetlands potentially useful for their management.","author":[{"dropping-particle":"","family":"Andreo","given":"Bartolomé","non-dropping-particle":"","parse-names":false,"suffix":""},{"dropping-particle":"","family":"Gil-Márquez","given":"José Manuel","non-dropping-particle":"","parse-names":false,"suffix":""},{"dropping-particle":"","family":"Mudarra","given":"Matías","non-dropping-particle":"","parse-names":false,"suffix":""},{"dropping-particle":"","family":"Linares","given":"Luis","non-dropping-particle":"","parse-names":false,"suffix":""},{"dropping-particle":"","family":"Carrasco","given":"Francisco","non-dropping-particle":"","parse-names":false,"suffix":""}],"container-title":"Environmental Earth Sciences","id":"ITEM-1","issue":"9","issued":{"date-parts":[["2016"]]},"page":"1-19","title":"Hypothesis on the hydrogeological context of wetland areas and springs related to evaporitic karst aquifers (Málaga, Córdoba and Jaén provinces, Southern Spain)","type":"article-journal","volume":"75"},"uris":["http://www.mendeley.com/documents/?uuid=de2b44fe-b64d-31c9-9255-128364900901"]}],"mendeley":{"formattedCitation":"(Andreo et al., 2016)","manualFormatting":"(2016)","plainTextFormattedCitation":"(Andreo et al., 2016)","previouslyFormattedCitation":"(Andreo et al., 2016)"},"properties":{"noteIndex":0},"schema":"https://github.com/citation-style-language/schema/raw/master/csl-citation.json"}</w:instrText>
      </w:r>
      <w:r w:rsidR="00C27C27" w:rsidRPr="00194419">
        <w:fldChar w:fldCharType="separate"/>
      </w:r>
      <w:r w:rsidR="00C27C27" w:rsidRPr="00194419">
        <w:rPr>
          <w:noProof/>
        </w:rPr>
        <w:t>(2016)</w:t>
      </w:r>
      <w:r w:rsidR="00C27C27" w:rsidRPr="00194419">
        <w:fldChar w:fldCharType="end"/>
      </w:r>
      <w:r w:rsidR="00C27C27">
        <w:t xml:space="preserve">. </w:t>
      </w:r>
      <w:r w:rsidR="00402787" w:rsidRPr="00194419">
        <w:t>Results suggest</w:t>
      </w:r>
      <w:r w:rsidR="002E663F" w:rsidRPr="00194419">
        <w:t>ed</w:t>
      </w:r>
      <w:r w:rsidR="00402787" w:rsidRPr="00194419">
        <w:t xml:space="preserve"> that the oldest groundwater </w:t>
      </w:r>
      <w:r w:rsidR="00A14C6F" w:rsidRPr="00194419">
        <w:t xml:space="preserve">flows in </w:t>
      </w:r>
      <w:r w:rsidR="00C27C27">
        <w:t>Fuente de Piedra wetland</w:t>
      </w:r>
      <w:r w:rsidR="00A14C6F" w:rsidRPr="00194419">
        <w:t xml:space="preserve"> basin, unmixed with modern waters,</w:t>
      </w:r>
      <w:r w:rsidR="00402787" w:rsidRPr="00194419">
        <w:t xml:space="preserve"> </w:t>
      </w:r>
      <w:r w:rsidR="00A14C6F" w:rsidRPr="00194419">
        <w:t>could be in in the order of 10</w:t>
      </w:r>
      <w:r w:rsidR="00A14C6F" w:rsidRPr="00194419">
        <w:rPr>
          <w:vertAlign w:val="superscript"/>
        </w:rPr>
        <w:t>5</w:t>
      </w:r>
      <w:r w:rsidR="008605A9" w:rsidRPr="00194419">
        <w:t>-</w:t>
      </w:r>
      <w:r w:rsidR="00A14C6F" w:rsidRPr="00194419">
        <w:rPr>
          <w:noProof/>
        </w:rPr>
        <w:t>year-old. Th</w:t>
      </w:r>
      <w:r w:rsidR="00C7164A" w:rsidRPr="00194419">
        <w:rPr>
          <w:noProof/>
        </w:rPr>
        <w:t xml:space="preserve">e </w:t>
      </w:r>
      <w:r w:rsidR="00C7164A" w:rsidRPr="00194419">
        <w:rPr>
          <w:noProof/>
          <w:vertAlign w:val="superscript"/>
        </w:rPr>
        <w:t>4</w:t>
      </w:r>
      <w:r w:rsidR="00C7164A" w:rsidRPr="00194419">
        <w:rPr>
          <w:noProof/>
        </w:rPr>
        <w:t xml:space="preserve">He values </w:t>
      </w:r>
      <w:r w:rsidR="00C7164A" w:rsidRPr="00194419">
        <w:rPr>
          <w:noProof/>
        </w:rPr>
        <w:lastRenderedPageBreak/>
        <w:t>in the outlets considered in the present research suggest residence times one order of magnitud</w:t>
      </w:r>
      <w:r w:rsidR="008605A9" w:rsidRPr="00194419">
        <w:rPr>
          <w:noProof/>
        </w:rPr>
        <w:t>e</w:t>
      </w:r>
      <w:r w:rsidR="00C7164A" w:rsidRPr="00194419">
        <w:rPr>
          <w:noProof/>
        </w:rPr>
        <w:t xml:space="preserve"> lower. However, it mus</w:t>
      </w:r>
      <w:r w:rsidR="008605A9" w:rsidRPr="00194419">
        <w:rPr>
          <w:noProof/>
        </w:rPr>
        <w:t>t</w:t>
      </w:r>
      <w:r w:rsidR="00C7164A" w:rsidRPr="00194419">
        <w:rPr>
          <w:noProof/>
        </w:rPr>
        <w:t xml:space="preserve"> be remembered that </w:t>
      </w:r>
      <w:r w:rsidR="00C7164A" w:rsidRPr="00194419">
        <w:t xml:space="preserve">different groundwater flows converge in the springs, and the </w:t>
      </w:r>
      <w:r w:rsidR="00C7164A" w:rsidRPr="00194419">
        <w:rPr>
          <w:vertAlign w:val="superscript"/>
        </w:rPr>
        <w:t>4</w:t>
      </w:r>
      <w:r w:rsidR="00C7164A" w:rsidRPr="00194419">
        <w:t xml:space="preserve">He concentration is mainly provided by the oldest fractions of samples. Hence, the amount of </w:t>
      </w:r>
      <w:r w:rsidR="00C7164A" w:rsidRPr="00194419">
        <w:rPr>
          <w:vertAlign w:val="superscript"/>
        </w:rPr>
        <w:t>4</w:t>
      </w:r>
      <w:r w:rsidR="00C7164A" w:rsidRPr="00194419">
        <w:t xml:space="preserve">He in the samples is diluted by the modern components, with practically no radiogenic </w:t>
      </w:r>
      <w:r w:rsidR="00C7164A" w:rsidRPr="00194419">
        <w:rPr>
          <w:vertAlign w:val="superscript"/>
        </w:rPr>
        <w:t>4</w:t>
      </w:r>
      <w:r w:rsidR="00C7164A" w:rsidRPr="00194419">
        <w:t xml:space="preserve">He. Therefore, the results obtained by </w:t>
      </w:r>
      <w:r w:rsidR="00C7164A" w:rsidRPr="00194419">
        <w:fldChar w:fldCharType="begin" w:fldLock="1"/>
      </w:r>
      <w:r w:rsidR="008605A9" w:rsidRPr="00194419">
        <w:instrText>ADDIN CSL_CITATION {"citationItems":[{"id":"ITEM-1","itemData":{"DOI":"10.1016/j.quaint.2016.02.051","ISBN":"1040-6182","ISSN":"10406182","abstract":"Here, we present a terrestrial multi-proxy record of Late Quaternary environmental changes in the southern Iberian Peninsula covering approximately 30 ka. This sedimentary record originates from a saline playa lake (Laguna de Fuente de Piedra) hosted within a complex geological setting dominated by Triassic claystones and evaporites, Jurassic carbonates and Miocene deposits leading to a complex hydrogeological setting. Dissolution of evaporites in the catchment and intense evaporation are responsible for saline waters fluctuating in the basin. Thus, salinity as palaeohydrological proxy, requires a decoupling of internal and external hydrogeochemical processes. The greatest accumulation of evaporites in the LFP late Pleistocene-Holocene record coincides with a more humid or, at least, less evaporative, period. Based on multi-proxy data we describe five lacustrine lithofacies (2-5), and fluvial deposits (1) from sediment cores. The proposed conceptual lake margin model contains three main lake water stages repeated within the sedimentary succession and building up the characteristic lithofacies. Lake water stages refer to a flooding stage (influx &gt; outflux), high water stage (influx = outflux), and low water stage (influx &lt; outflux). The lithostratigraphy reveals a palaeohydrological record suggesting climate changes and associated lake level fluctuations. Lake level oscillations of different amplitudes have been identified. Low amplitude changes have been revealed for the periods from 28 ka cal BP to 17.5 ka cal BP and from 8.2 ka cal BP to present, whereas in between (17.5 ka cal BP to 8.2 ka cal BP) the Late Pleistocene/Holocene transition shows high amplitude lake level changes. The latter coincides with an increased influence of saline subsurface waters, due to groundwater level rising (sulfate signature). In contrast, the Holocene, records the low amplitude oscillations and a drop of the groundwater levels, which creates a less saline or fresher footprint in the sediments (carbonate signature). Thus, the periods of low amplitude lake level oscillations, low inputs of clastics and low groundwater levels (drier) coincide with periods of minimal seasonal insolation difference. In contrast, the period of higher amplitude lake level oscillations, higher input of clastics and higher groundwater table (wetter) is correlative to periods of maximum difference between summer and winter insolation.","author":[{"dropping-particle":"","family":"Höbig","given":"N.","non-dropping-particle":"","parse-names":false,"suffix":""},{"dropping-particle":"","family":"Mediavilla","given":"R.","non-dropping-particle":"","parse-names":false,"suffix":""},{"dropping-particle":"","family":"Gibert","given":"L.","non-dropping-particle":"","parse-names":false,"suffix":""},{"dropping-particle":"","family":"Santisteban","given":"J. I.","non-dropping-particle":"","parse-names":false,"suffix":""},{"dropping-particle":"","family":"Cendón","given":"D. I.","non-dropping-particle":"","parse-names":false,"suffix":""},{"dropping-particle":"","family":"Ibáñez","given":"J.","non-dropping-particle":"","parse-names":false,"suffix":""},{"dropping-particle":"","family":"Reicherter","given":"K.","non-dropping-particle":"","parse-names":false,"suffix":""}],"container-title":"Quaternary International","id":"ITEM-1","issued":{"date-parts":[["2016"]]},"page":"29-46","title":"Palaeohydrological evolution and implications for palaeoclimate since the Late Glacial at Laguna de Fuente de Piedra, southern Spain","type":"article-journal","volume":"407"},"uris":["http://www.mendeley.com/documents/?uuid=92fc280b-66e6-4a4e-865b-b57421fec5ea"]},{"id":"ITEM-2","itemData":{"DOI":"10.1016/j.scitotenv.2016.10.048","ISSN":"18791026","PMID":"27792952","abstract":"The Fuente de Piedra lake is a hypersaline wetland of great extension (13.5??km2) and rich in aquatic birds and other species. It became therefore the third Spanish wetland to be included in the Ramsar convention and has been a ???nature reserve??? since 1984. The lake has an endorheic basin (150??km2) with variable-density flows dominated by complex hydrogeological conditions. The traditional conceptualization of endorheic basins in semiarid climates considered that the brine in this hydric system was exclusively of evaporative origin and was placed only in the lake and its surrounding discharge area in the basin. Previous geophysical and hydrochemical studies identified different types of waters and brines. In this work, natural tracers (Cl???, Br???, Na+, Mg2+) and environmental isotopes (18O, 2H, 14C, 13C and 3H) were employed to a) discriminate different types of brines according to their degree of evaporation and genesis, and b) to estimate residence times of brine waters and identify recharge areas of the different flow subsystems. A conceptual model of the hydrogeological system of the lake basin and its links to a regional karst system is proposed.","author":[{"dropping-particle":"","family":"Montalván","given":"F. J.","non-dropping-particle":"","parse-names":false,"suffix":""},{"dropping-particle":"","family":"Heredia","given":"J.","non-dropping-particle":"","parse-names":false,"suffix":""},{"dropping-particle":"","family":"Ruiz","given":"J. M.","non-dropping-particle":"","parse-names":false,"suffix":""},{"dropping-particle":"","family":"Pardo-Iguzquiza","given":"E.","non-dropping-particle":"","parse-names":false,"suffix":""},{"dropping-particle":"","family":"García de Domingo","given":"A.","non-dropping-particle":"","parse-names":false,"suffix":""},{"dropping-particle":"","family":"Elorza","given":"F. J.","non-dropping-particle":"","parse-names":false,"suffix":""}],"container-title":"Science of the Total Environment","id":"ITEM-2","issued":{"date-parts":[["2017"]]},"page":"335-346","publisher":"Elsevier B.V.","title":"Hydrochemical and isotopes studies in a hypersaline wetland to define the hydrogeological conceptual model: Fuente de Piedra Lake (Malaga, Spain)","type":"article-journal","volume":"576"},"uris":["http://www.mendeley.com/documents/?uuid=95026b71-4795-45e1-833d-43a152f8995f"]}],"mendeley":{"formattedCitation":"(Höbig et al., 2016; Montalván et al., 2017)","manualFormatting":"Höbig et al., (2016) and Montalván et al., (2017)","plainTextFormattedCitation":"(Höbig et al., 2016; Montalván et al., 2017)","previouslyFormattedCitation":"(Höbig et al., 2016; Montalván et al., 2017)"},"properties":{"noteIndex":0},"schema":"https://github.com/citation-style-language/schema/raw/master/csl-citation.json"}</w:instrText>
      </w:r>
      <w:r w:rsidR="00C7164A" w:rsidRPr="00194419">
        <w:fldChar w:fldCharType="separate"/>
      </w:r>
      <w:r w:rsidR="00C7164A" w:rsidRPr="00194419">
        <w:rPr>
          <w:noProof/>
        </w:rPr>
        <w:t>Höbig et al., (2016) and Montalván et al., (2017)</w:t>
      </w:r>
      <w:r w:rsidR="00C7164A" w:rsidRPr="00194419">
        <w:fldChar w:fldCharType="end"/>
      </w:r>
      <w:r w:rsidR="00C7164A" w:rsidRPr="00194419">
        <w:t xml:space="preserve"> can be considered in agreement with this research and reinforce the idea of the contribution of old groundwater flow components towards discharge areas</w:t>
      </w:r>
      <w:r w:rsidR="00194419">
        <w:t xml:space="preserve"> in the CSC</w:t>
      </w:r>
      <w:r w:rsidR="00C7164A" w:rsidRPr="00194419">
        <w:t>.</w:t>
      </w:r>
    </w:p>
    <w:p w14:paraId="0BAEE200" w14:textId="587B04C1" w:rsidR="00735433" w:rsidRPr="00194419" w:rsidRDefault="00866A77" w:rsidP="008A3630">
      <w:pPr>
        <w:spacing w:line="480" w:lineRule="auto"/>
      </w:pPr>
      <w:r w:rsidRPr="00194419">
        <w:t xml:space="preserve">Nevertheless, this hydrogeological conceptual model is not completely replicable in every study area or </w:t>
      </w:r>
      <w:r w:rsidR="007751A9" w:rsidRPr="00194419">
        <w:t>spring</w:t>
      </w:r>
      <w:r w:rsidRPr="00194419">
        <w:t xml:space="preserve">, due to the high heterogeneity of the </w:t>
      </w:r>
      <w:r w:rsidR="00C13EF0" w:rsidRPr="00194419">
        <w:t xml:space="preserve">CSC </w:t>
      </w:r>
      <w:r w:rsidR="000A0288">
        <w:t>unit</w:t>
      </w:r>
      <w:r w:rsidR="007751A9" w:rsidRPr="00194419">
        <w:t>, which is enhanced by karstification</w:t>
      </w:r>
      <w:r w:rsidR="00C13EF0" w:rsidRPr="00194419">
        <w:t xml:space="preserve"> in evaporite rocks</w:t>
      </w:r>
      <w:r w:rsidR="007751A9" w:rsidRPr="00194419">
        <w:t>. Such is the case of Lower Anzur spring (J1)</w:t>
      </w:r>
      <w:r w:rsidR="00E34105">
        <w:t>. In that spring</w:t>
      </w:r>
      <w:r w:rsidR="007751A9" w:rsidRPr="00194419">
        <w:t xml:space="preserve">, the age distribution </w:t>
      </w:r>
      <w:r w:rsidR="00EE6262">
        <w:t>and the</w:t>
      </w:r>
      <w:r w:rsidR="007751A9" w:rsidRPr="00194419">
        <w:t xml:space="preserve"> </w:t>
      </w:r>
      <w:r w:rsidR="00C27C27">
        <w:t>environmental</w:t>
      </w:r>
      <w:r w:rsidR="00C27C27" w:rsidRPr="00194419">
        <w:t xml:space="preserve"> </w:t>
      </w:r>
      <w:r w:rsidR="007751A9" w:rsidRPr="00194419">
        <w:t xml:space="preserve">tracer concentration </w:t>
      </w:r>
      <w:r w:rsidR="00BC243F" w:rsidRPr="00194419">
        <w:t>(</w:t>
      </w:r>
      <w:r w:rsidR="00EE6262">
        <w:t xml:space="preserve">Fig. 8 and </w:t>
      </w:r>
      <w:r w:rsidR="00BC243F" w:rsidRPr="00194419">
        <w:t xml:space="preserve">Tab. </w:t>
      </w:r>
      <w:r w:rsidR="00E85DD6">
        <w:t>3</w:t>
      </w:r>
      <w:r w:rsidR="00BC243F" w:rsidRPr="00194419">
        <w:t xml:space="preserve">) </w:t>
      </w:r>
      <w:r w:rsidR="00EE6262" w:rsidRPr="00194419">
        <w:t xml:space="preserve">vary notably </w:t>
      </w:r>
      <w:r w:rsidR="007751A9" w:rsidRPr="00194419">
        <w:t>depending on the hydrodynamic state of the system</w:t>
      </w:r>
      <w:r w:rsidR="008605A9" w:rsidRPr="00194419">
        <w:t xml:space="preserve"> that</w:t>
      </w:r>
      <w:r w:rsidR="007751A9" w:rsidRPr="00194419">
        <w:t xml:space="preserve"> it drains. </w:t>
      </w:r>
      <w:r w:rsidR="00892933" w:rsidRPr="00194419">
        <w:t>Besides</w:t>
      </w:r>
      <w:r w:rsidR="007751A9" w:rsidRPr="00194419">
        <w:t xml:space="preserve">, the </w:t>
      </w:r>
      <w:r w:rsidR="00892933" w:rsidRPr="00194419">
        <w:t>number of samples considered in this study is limited compared to the great extension of the CSC so it would be necessary to confirm the drawn co</w:t>
      </w:r>
      <w:r w:rsidR="008605A9" w:rsidRPr="00194419">
        <w:t xml:space="preserve">nclusions with further analysis, in which specific measures must be taken to avoid degassing. Particularly, sampling should be performed in short-filter screen boreholes with different depth, drilled near the outlets. </w:t>
      </w:r>
      <w:r w:rsidR="00F951C4" w:rsidRPr="00194419">
        <w:t xml:space="preserve">Furthermore, the determination of </w:t>
      </w:r>
      <w:r w:rsidR="00F951C4" w:rsidRPr="00194419">
        <w:rPr>
          <w:vertAlign w:val="superscript"/>
        </w:rPr>
        <w:t>85</w:t>
      </w:r>
      <w:r w:rsidR="00F951C4" w:rsidRPr="00194419">
        <w:t>Kr</w:t>
      </w:r>
      <w:r w:rsidR="00AD0CE2" w:rsidRPr="00194419">
        <w:t xml:space="preserve"> would permit to include more bins in the Free-Shape Model </w:t>
      </w:r>
      <w:r w:rsidR="00F951C4" w:rsidRPr="00194419">
        <w:t xml:space="preserve">that </w:t>
      </w:r>
      <w:r w:rsidR="00AD0CE2" w:rsidRPr="00194419">
        <w:t>could help to</w:t>
      </w:r>
      <w:r w:rsidR="00F951C4" w:rsidRPr="00194419">
        <w:t xml:space="preserve"> better define the groundwater age distribution of the samples, while the use of </w:t>
      </w:r>
      <w:r w:rsidR="00F951C4" w:rsidRPr="00194419">
        <w:rPr>
          <w:vertAlign w:val="superscript"/>
        </w:rPr>
        <w:t>39</w:t>
      </w:r>
      <w:r w:rsidR="00F951C4" w:rsidRPr="00194419">
        <w:t xml:space="preserve">Ar would allow </w:t>
      </w:r>
      <w:r w:rsidR="00167C53" w:rsidRPr="00194419">
        <w:t>investigating</w:t>
      </w:r>
      <w:r w:rsidR="00F951C4" w:rsidRPr="00194419">
        <w:t xml:space="preserve"> a range of age (50 - 1,000 years) that the tracer</w:t>
      </w:r>
      <w:r w:rsidR="00167C53" w:rsidRPr="00194419">
        <w:t>s</w:t>
      </w:r>
      <w:r w:rsidR="00F951C4" w:rsidRPr="00194419">
        <w:t xml:space="preserve"> used in this study do not consider.</w:t>
      </w:r>
    </w:p>
    <w:p w14:paraId="0555FB7E" w14:textId="77777777" w:rsidR="003C3F1F" w:rsidRPr="00194419" w:rsidRDefault="003C3F1F" w:rsidP="00444A13">
      <w:pPr>
        <w:pStyle w:val="Prrafodelista"/>
        <w:keepNext/>
        <w:numPr>
          <w:ilvl w:val="0"/>
          <w:numId w:val="1"/>
        </w:numPr>
        <w:spacing w:line="480" w:lineRule="auto"/>
        <w:ind w:left="357" w:hanging="357"/>
        <w:rPr>
          <w:b/>
        </w:rPr>
      </w:pPr>
      <w:r w:rsidRPr="00194419">
        <w:rPr>
          <w:b/>
        </w:rPr>
        <w:lastRenderedPageBreak/>
        <w:t>CONCLUSIONS</w:t>
      </w:r>
    </w:p>
    <w:p w14:paraId="1C73B557" w14:textId="1FF25861" w:rsidR="00E271BB" w:rsidRDefault="00924158" w:rsidP="00EE6262">
      <w:pPr>
        <w:pStyle w:val="Prrafodelista"/>
        <w:spacing w:line="480" w:lineRule="auto"/>
        <w:ind w:left="0" w:firstLine="360"/>
      </w:pPr>
      <w:r w:rsidRPr="00194419">
        <w:rPr>
          <w:lang w:val="en"/>
        </w:rPr>
        <w:t xml:space="preserve">In this research, a multi-criteria approach coupling hydrochemical data and environmental </w:t>
      </w:r>
      <w:r w:rsidR="00BD3121" w:rsidRPr="00194419">
        <w:rPr>
          <w:lang w:val="en"/>
        </w:rPr>
        <w:t xml:space="preserve">dating </w:t>
      </w:r>
      <w:r w:rsidRPr="00194419">
        <w:rPr>
          <w:lang w:val="en"/>
        </w:rPr>
        <w:t xml:space="preserve">tracers </w:t>
      </w:r>
      <w:r w:rsidRPr="00194419">
        <w:t>(</w:t>
      </w:r>
      <w:r w:rsidR="005453F6" w:rsidRPr="00194419">
        <w:rPr>
          <w:vertAlign w:val="superscript"/>
        </w:rPr>
        <w:t>3</w:t>
      </w:r>
      <w:r w:rsidRPr="00194419">
        <w:t xml:space="preserve">H, </w:t>
      </w:r>
      <w:r w:rsidRPr="00194419">
        <w:rPr>
          <w:vertAlign w:val="superscript"/>
        </w:rPr>
        <w:t>3</w:t>
      </w:r>
      <w:r w:rsidRPr="00194419">
        <w:t xml:space="preserve">He, </w:t>
      </w:r>
      <w:r w:rsidRPr="00194419">
        <w:rPr>
          <w:vertAlign w:val="superscript"/>
        </w:rPr>
        <w:t>4</w:t>
      </w:r>
      <w:r w:rsidRPr="00194419">
        <w:t>He, CFC-12, SF</w:t>
      </w:r>
      <w:r w:rsidRPr="00194419">
        <w:rPr>
          <w:vertAlign w:val="subscript"/>
        </w:rPr>
        <w:t>6</w:t>
      </w:r>
      <w:r w:rsidRPr="00194419">
        <w:t>)</w:t>
      </w:r>
      <w:r w:rsidRPr="00194419">
        <w:rPr>
          <w:lang w:val="en"/>
        </w:rPr>
        <w:t xml:space="preserve"> is presented to investigate the hydrogeological functioning of complex evaporite-karst systems in </w:t>
      </w:r>
      <w:r w:rsidR="009F58A5">
        <w:rPr>
          <w:lang w:val="en"/>
        </w:rPr>
        <w:t>Southern</w:t>
      </w:r>
      <w:r w:rsidRPr="00194419">
        <w:rPr>
          <w:lang w:val="en"/>
        </w:rPr>
        <w:t xml:space="preserve"> Spain. </w:t>
      </w:r>
      <w:r w:rsidR="005453F6" w:rsidRPr="00194419">
        <w:rPr>
          <w:lang w:val="en"/>
        </w:rPr>
        <w:t>Binary Mixing Models</w:t>
      </w:r>
      <w:r w:rsidR="00E271BB">
        <w:rPr>
          <w:lang w:val="en"/>
        </w:rPr>
        <w:t>,</w:t>
      </w:r>
      <w:r w:rsidR="005453F6" w:rsidRPr="00194419">
        <w:rPr>
          <w:lang w:val="en"/>
        </w:rPr>
        <w:t xml:space="preserve"> Free-Shape Models</w:t>
      </w:r>
      <w:r w:rsidR="00E271BB">
        <w:rPr>
          <w:lang w:val="en"/>
        </w:rPr>
        <w:t xml:space="preserve"> and Lumped Parameter Models</w:t>
      </w:r>
      <w:r w:rsidR="005453F6" w:rsidRPr="00194419">
        <w:rPr>
          <w:lang w:val="en"/>
        </w:rPr>
        <w:t xml:space="preserve"> were created </w:t>
      </w:r>
      <w:r w:rsidR="005453F6" w:rsidRPr="00194419">
        <w:t>to define the age distribution of groundwater samples</w:t>
      </w:r>
      <w:r w:rsidR="001737E9" w:rsidRPr="00194419">
        <w:t xml:space="preserve"> collected in springs</w:t>
      </w:r>
      <w:r w:rsidR="005453F6" w:rsidRPr="00194419">
        <w:t>, which contained old and young fractions, as prove</w:t>
      </w:r>
      <w:r w:rsidR="008D7357" w:rsidRPr="00194419">
        <w:t xml:space="preserve">d by </w:t>
      </w:r>
      <w:r w:rsidR="005453F6" w:rsidRPr="00194419">
        <w:t xml:space="preserve">the coexistence of high concentrations of </w:t>
      </w:r>
      <w:r w:rsidR="005453F6" w:rsidRPr="00194419">
        <w:rPr>
          <w:vertAlign w:val="superscript"/>
        </w:rPr>
        <w:t>4</w:t>
      </w:r>
      <w:r w:rsidR="005453F6" w:rsidRPr="00194419">
        <w:t>He together with</w:t>
      </w:r>
      <w:r w:rsidR="008D7357" w:rsidRPr="00194419">
        <w:t xml:space="preserve"> the</w:t>
      </w:r>
      <w:r w:rsidR="005453F6" w:rsidRPr="00194419">
        <w:t xml:space="preserve"> presence of CFC-12 and </w:t>
      </w:r>
      <w:r w:rsidR="005453F6" w:rsidRPr="00194419">
        <w:rPr>
          <w:vertAlign w:val="superscript"/>
        </w:rPr>
        <w:t>3</w:t>
      </w:r>
      <w:r w:rsidR="005453F6" w:rsidRPr="00194419">
        <w:t xml:space="preserve">H. The information extracted from those models combined </w:t>
      </w:r>
      <w:r w:rsidR="00C27C27">
        <w:t>with</w:t>
      </w:r>
      <w:r w:rsidR="00C27C27" w:rsidRPr="00194419">
        <w:t xml:space="preserve"> </w:t>
      </w:r>
      <w:r w:rsidR="005453F6" w:rsidRPr="00194419">
        <w:t xml:space="preserve">hydrogeochemical data has permitted to </w:t>
      </w:r>
      <w:r w:rsidR="005A29E1" w:rsidRPr="00194419">
        <w:t>verify previous hypothesis about the hierarchization of groundwater flows in the considered aquitard forma</w:t>
      </w:r>
      <w:r w:rsidR="00167C53" w:rsidRPr="00194419">
        <w:t>ti</w:t>
      </w:r>
      <w:r w:rsidR="005A29E1" w:rsidRPr="00194419">
        <w:t>ons</w:t>
      </w:r>
      <w:r w:rsidR="00E271BB">
        <w:t>, in which</w:t>
      </w:r>
      <w:r w:rsidR="00E271BB">
        <w:t xml:space="preserve"> groundwater mineralization rises toward lower altitudes </w:t>
      </w:r>
      <w:r w:rsidR="000A0288">
        <w:t>where</w:t>
      </w:r>
      <w:r w:rsidR="00E271BB">
        <w:t xml:space="preserve"> the groundwater age distribution indicate the drainage of older groundwater</w:t>
      </w:r>
      <w:r w:rsidR="000A0288">
        <w:t>.</w:t>
      </w:r>
      <w:r w:rsidR="00E271BB">
        <w:t xml:space="preserve"> </w:t>
      </w:r>
    </w:p>
    <w:p w14:paraId="16B7C4C1" w14:textId="2F354A25" w:rsidR="00867A3A" w:rsidRDefault="00EE6262" w:rsidP="00EE6262">
      <w:pPr>
        <w:pStyle w:val="Prrafodelista"/>
        <w:spacing w:line="480" w:lineRule="auto"/>
        <w:ind w:left="0" w:firstLine="360"/>
      </w:pPr>
      <w:r>
        <w:t>T</w:t>
      </w:r>
      <w:r w:rsidRPr="00194419">
        <w:t xml:space="preserve">wo parameters </w:t>
      </w:r>
      <w:r>
        <w:t xml:space="preserve">were </w:t>
      </w:r>
      <w:r w:rsidRPr="00194419">
        <w:t>proposed</w:t>
      </w:r>
      <w:r>
        <w:t xml:space="preserve"> for: </w:t>
      </w:r>
      <w:r w:rsidRPr="00194419">
        <w:t>describing the age distribution</w:t>
      </w:r>
      <w:r>
        <w:t>: the median age (</w:t>
      </w:r>
      <w:r w:rsidRPr="00194419">
        <w:t>GA</w:t>
      </w:r>
      <w:r w:rsidRPr="00194419">
        <w:rPr>
          <w:vertAlign w:val="subscript"/>
        </w:rPr>
        <w:t>50</w:t>
      </w:r>
      <w:r>
        <w:t xml:space="preserve">) </w:t>
      </w:r>
      <w:r w:rsidRPr="00194419">
        <w:t xml:space="preserve">and </w:t>
      </w:r>
      <w:r>
        <w:t xml:space="preserve">the fraction of groundwater free of tritium </w:t>
      </w:r>
      <w:r w:rsidR="00B952D6">
        <w:t>and</w:t>
      </w:r>
      <w:r>
        <w:t xml:space="preserve"> CFC (</w:t>
      </w:r>
      <w:r w:rsidRPr="00194419">
        <w:t>&gt;70%)</w:t>
      </w:r>
      <w:r>
        <w:t>.</w:t>
      </w:r>
      <w:r w:rsidR="00A1727C">
        <w:t xml:space="preserve"> Particularly, </w:t>
      </w:r>
      <w:r w:rsidR="00A1727C" w:rsidRPr="00194419">
        <w:t>GA</w:t>
      </w:r>
      <w:r w:rsidR="00A1727C" w:rsidRPr="00194419">
        <w:rPr>
          <w:vertAlign w:val="subscript"/>
        </w:rPr>
        <w:t>50</w:t>
      </w:r>
      <w:r w:rsidR="00A1727C">
        <w:t xml:space="preserve"> </w:t>
      </w:r>
      <w:r w:rsidR="009E2DE3">
        <w:t xml:space="preserve">makes </w:t>
      </w:r>
      <w:r w:rsidR="008454BB">
        <w:t xml:space="preserve">it </w:t>
      </w:r>
      <w:r w:rsidR="009E2DE3">
        <w:t xml:space="preserve">possible to evaluate rapidly whether a sample is biased to younger or older ages, </w:t>
      </w:r>
      <w:r w:rsidR="00C27C27">
        <w:t>and</w:t>
      </w:r>
      <w:r w:rsidR="009E2DE3">
        <w:t xml:space="preserve"> compar</w:t>
      </w:r>
      <w:r w:rsidR="00C27C27">
        <w:t>ing</w:t>
      </w:r>
      <w:r w:rsidR="009E2DE3">
        <w:t xml:space="preserve"> different samples. In that way, </w:t>
      </w:r>
      <w:r w:rsidR="009E2DE3" w:rsidRPr="00194419">
        <w:t>GA</w:t>
      </w:r>
      <w:r w:rsidR="009E2DE3" w:rsidRPr="00194419">
        <w:rPr>
          <w:vertAlign w:val="subscript"/>
        </w:rPr>
        <w:t>50</w:t>
      </w:r>
      <w:r w:rsidR="009E2DE3">
        <w:t xml:space="preserve"> is presented as an easy way of interpreting mixed groundwater age data.</w:t>
      </w:r>
      <w:r w:rsidR="00E271BB">
        <w:t xml:space="preserve"> </w:t>
      </w:r>
    </w:p>
    <w:p w14:paraId="4E9DD52F" w14:textId="2A95296D" w:rsidR="00B56EED" w:rsidRPr="00194419" w:rsidRDefault="00CF6EAE" w:rsidP="008A3630">
      <w:pPr>
        <w:pStyle w:val="Prrafodelista"/>
        <w:spacing w:line="480" w:lineRule="auto"/>
        <w:ind w:left="0"/>
        <w:contextualSpacing w:val="0"/>
      </w:pPr>
      <w:r w:rsidRPr="00194419">
        <w:t xml:space="preserve">The joint use of several groundwater dating tools has allowed </w:t>
      </w:r>
      <w:r w:rsidR="00B952D6">
        <w:t xml:space="preserve">to </w:t>
      </w:r>
      <w:r w:rsidRPr="00194419">
        <w:t>t</w:t>
      </w:r>
      <w:r w:rsidR="00167C53" w:rsidRPr="00194419">
        <w:t>est</w:t>
      </w:r>
      <w:r w:rsidR="00B26CB4">
        <w:t xml:space="preserve"> </w:t>
      </w:r>
      <w:r w:rsidRPr="00194419">
        <w:t xml:space="preserve">the applicability of different techniques in unfavorable settings. </w:t>
      </w:r>
      <w:r w:rsidR="008D09E1" w:rsidRPr="00194419">
        <w:t>The high salinity of groundwater and the local development of karstification boost</w:t>
      </w:r>
      <w:r w:rsidR="00DC50CC" w:rsidRPr="00194419">
        <w:t>ed</w:t>
      </w:r>
      <w:r w:rsidR="008D09E1" w:rsidRPr="00194419">
        <w:t xml:space="preserve"> </w:t>
      </w:r>
      <w:r w:rsidR="006D4175">
        <w:t xml:space="preserve">the </w:t>
      </w:r>
      <w:r w:rsidR="008D09E1" w:rsidRPr="00194419">
        <w:t xml:space="preserve">degassing </w:t>
      </w:r>
      <w:r w:rsidR="006D4175">
        <w:t>of the</w:t>
      </w:r>
      <w:r w:rsidR="008D09E1" w:rsidRPr="00194419">
        <w:t xml:space="preserve"> </w:t>
      </w:r>
      <w:r w:rsidR="00263732" w:rsidRPr="00194419">
        <w:t>spring</w:t>
      </w:r>
      <w:r w:rsidR="006D4175">
        <w:t xml:space="preserve"> water</w:t>
      </w:r>
      <w:r w:rsidR="008D09E1" w:rsidRPr="00194419">
        <w:t xml:space="preserve">, where </w:t>
      </w:r>
      <w:r w:rsidR="006D4175">
        <w:t xml:space="preserve">flowpaths with </w:t>
      </w:r>
      <w:r w:rsidR="008D09E1" w:rsidRPr="00194419">
        <w:t>groundwater of different age converge.</w:t>
      </w:r>
      <w:r w:rsidR="00DC50CC" w:rsidRPr="00194419">
        <w:t xml:space="preserve"> All that together results in many uncertainties.</w:t>
      </w:r>
      <w:r w:rsidR="008D09E1" w:rsidRPr="00194419">
        <w:t xml:space="preserve"> </w:t>
      </w:r>
      <w:r w:rsidR="001737E9" w:rsidRPr="00194419">
        <w:t>However, c</w:t>
      </w:r>
      <w:r w:rsidRPr="00194419">
        <w:t xml:space="preserve">orrections in environmental tracers have been made according to the salinity and degassing of samples, which has permitted to obtain representative information of the </w:t>
      </w:r>
      <w:r w:rsidR="001737E9" w:rsidRPr="00194419">
        <w:t xml:space="preserve">studied </w:t>
      </w:r>
      <w:r w:rsidRPr="00194419">
        <w:t>system</w:t>
      </w:r>
      <w:r w:rsidR="001737E9" w:rsidRPr="00194419">
        <w:t>s</w:t>
      </w:r>
      <w:r w:rsidRPr="00194419">
        <w:t>.</w:t>
      </w:r>
      <w:r w:rsidR="008D09E1" w:rsidRPr="00194419">
        <w:t xml:space="preserve"> </w:t>
      </w:r>
      <w:r w:rsidR="00263732" w:rsidRPr="00194419">
        <w:t xml:space="preserve">Even so, the </w:t>
      </w:r>
      <w:r w:rsidR="00263732" w:rsidRPr="00194419">
        <w:rPr>
          <w:vertAlign w:val="superscript"/>
        </w:rPr>
        <w:t>3</w:t>
      </w:r>
      <w:r w:rsidR="00263732" w:rsidRPr="00194419">
        <w:t>H/</w:t>
      </w:r>
      <w:r w:rsidR="00263732" w:rsidRPr="00194419">
        <w:rPr>
          <w:vertAlign w:val="superscript"/>
        </w:rPr>
        <w:t>3</w:t>
      </w:r>
      <w:r w:rsidR="00263732" w:rsidRPr="00194419">
        <w:t>He</w:t>
      </w:r>
      <w:r w:rsidRPr="00194419">
        <w:t xml:space="preserve"> </w:t>
      </w:r>
      <w:r w:rsidR="00263732" w:rsidRPr="00194419">
        <w:t xml:space="preserve">was not valid in this context, where the high </w:t>
      </w:r>
      <w:r w:rsidR="00263732" w:rsidRPr="00194419">
        <w:rPr>
          <w:vertAlign w:val="superscript"/>
        </w:rPr>
        <w:t>4</w:t>
      </w:r>
      <w:r w:rsidR="00263732" w:rsidRPr="00194419">
        <w:t xml:space="preserve">He values </w:t>
      </w:r>
      <w:r w:rsidR="00263732" w:rsidRPr="00194419">
        <w:lastRenderedPageBreak/>
        <w:t xml:space="preserve">impeded to correctly estimate the contribution of different </w:t>
      </w:r>
      <w:r w:rsidR="00263732" w:rsidRPr="00194419">
        <w:rPr>
          <w:vertAlign w:val="superscript"/>
        </w:rPr>
        <w:t>3</w:t>
      </w:r>
      <w:r w:rsidR="00263732" w:rsidRPr="00194419">
        <w:t>He sources.</w:t>
      </w:r>
      <w:r w:rsidR="000A0288">
        <w:t xml:space="preserve"> On the other hand, sensitive analysis were made to test the effect of salinity and temperature variations on the dating results.</w:t>
      </w:r>
      <w:r w:rsidR="00263732" w:rsidRPr="00194419">
        <w:t xml:space="preserve"> </w:t>
      </w:r>
      <w:r w:rsidR="000A0288">
        <w:t>I</w:t>
      </w:r>
      <w:r w:rsidR="00263732" w:rsidRPr="00194419">
        <w:t>n future works, sampling from short-filtered boreholes it is highly advisable in order to avoid</w:t>
      </w:r>
      <w:r w:rsidR="000A0288">
        <w:t xml:space="preserve"> mixing and</w:t>
      </w:r>
      <w:r w:rsidR="00263732" w:rsidRPr="00194419">
        <w:t xml:space="preserve"> degassing, particularly if brine groundwater or karst flow are involved</w:t>
      </w:r>
      <w:r w:rsidR="0042150B" w:rsidRPr="00194419">
        <w:t>, but also to identif</w:t>
      </w:r>
      <w:r w:rsidR="00167C53" w:rsidRPr="00194419">
        <w:t>y</w:t>
      </w:r>
      <w:r w:rsidR="0042150B" w:rsidRPr="00194419">
        <w:t xml:space="preserve"> </w:t>
      </w:r>
      <w:r w:rsidR="00171100" w:rsidRPr="00194419">
        <w:t xml:space="preserve">the </w:t>
      </w:r>
      <w:r w:rsidR="0042150B" w:rsidRPr="00194419">
        <w:t>different flows</w:t>
      </w:r>
      <w:r w:rsidR="00171100" w:rsidRPr="00194419">
        <w:t xml:space="preserve"> with variable groundwater age that mix in spring</w:t>
      </w:r>
      <w:r w:rsidR="00167C53" w:rsidRPr="00194419">
        <w:t>s</w:t>
      </w:r>
      <w:r w:rsidR="00171100" w:rsidRPr="00194419">
        <w:t>.</w:t>
      </w:r>
      <w:r w:rsidR="00F951C4" w:rsidRPr="00194419">
        <w:t xml:space="preserve"> The inclusion of other environmental tracer</w:t>
      </w:r>
      <w:r w:rsidR="00167C53" w:rsidRPr="00194419">
        <w:t>s</w:t>
      </w:r>
      <w:r w:rsidR="00F951C4" w:rsidRPr="00194419">
        <w:t xml:space="preserve">, such as </w:t>
      </w:r>
      <w:r w:rsidR="00F951C4" w:rsidRPr="00194419">
        <w:rPr>
          <w:vertAlign w:val="superscript"/>
        </w:rPr>
        <w:t>85</w:t>
      </w:r>
      <w:r w:rsidR="00F951C4" w:rsidRPr="00194419">
        <w:t xml:space="preserve">Kr and </w:t>
      </w:r>
      <w:r w:rsidR="00F951C4" w:rsidRPr="00194419">
        <w:rPr>
          <w:vertAlign w:val="superscript"/>
        </w:rPr>
        <w:t>39</w:t>
      </w:r>
      <w:r w:rsidR="00F951C4" w:rsidRPr="00194419">
        <w:t>Ar, in the Shape-Free Models would also help to precise the groundwater age distribution of the samples.</w:t>
      </w:r>
    </w:p>
    <w:p w14:paraId="18083FB2" w14:textId="77777777" w:rsidR="008C4274" w:rsidRPr="00194419" w:rsidRDefault="008C4274" w:rsidP="00444A13">
      <w:pPr>
        <w:pStyle w:val="Prrafodelista"/>
        <w:keepNext/>
        <w:spacing w:line="480" w:lineRule="auto"/>
        <w:ind w:left="0" w:firstLine="0"/>
        <w:contextualSpacing w:val="0"/>
        <w:rPr>
          <w:b/>
        </w:rPr>
      </w:pPr>
      <w:r w:rsidRPr="00194419">
        <w:rPr>
          <w:b/>
        </w:rPr>
        <w:t>ACKNOWLEDGMENTS</w:t>
      </w:r>
    </w:p>
    <w:p w14:paraId="0F805E6B" w14:textId="37630DB2" w:rsidR="00995008" w:rsidRPr="00194419" w:rsidRDefault="008C4274" w:rsidP="008A3630">
      <w:pPr>
        <w:pStyle w:val="Prrafodelista"/>
        <w:spacing w:line="480" w:lineRule="auto"/>
        <w:ind w:left="0"/>
      </w:pPr>
      <w:r w:rsidRPr="00194419">
        <w:t>This work is a contribution to the Excellence Projects P11-RNM-8087 and P10-RNM-6895R of the Autonomous Government of Andalusia (Spain</w:t>
      </w:r>
      <w:r w:rsidRPr="00194419">
        <w:rPr>
          <w:noProof/>
        </w:rPr>
        <w:t>)</w:t>
      </w:r>
      <w:r w:rsidRPr="00194419">
        <w:t xml:space="preserve"> and to the Research Group RNM-308 of the Junta de Andalucía. </w:t>
      </w:r>
      <w:r w:rsidR="00995008" w:rsidRPr="00194419">
        <w:t>The authors greatly thank Klaus Bulsiewicz (</w:t>
      </w:r>
      <w:r w:rsidR="00FA33F8" w:rsidRPr="00194419">
        <w:t xml:space="preserve">the </w:t>
      </w:r>
      <w:r w:rsidR="00995008" w:rsidRPr="00194419">
        <w:rPr>
          <w:noProof/>
        </w:rPr>
        <w:t>University</w:t>
      </w:r>
      <w:r w:rsidR="00995008" w:rsidRPr="00194419">
        <w:t xml:space="preserve"> of Bremen, Institute of Environmental Physics, Department of Oceanography), who </w:t>
      </w:r>
      <w:r w:rsidR="00BD3121" w:rsidRPr="00194419">
        <w:t xml:space="preserve">ran </w:t>
      </w:r>
      <w:r w:rsidR="00995008" w:rsidRPr="00194419">
        <w:t xml:space="preserve">the samples for CFC-12 determinations and </w:t>
      </w:r>
      <w:r w:rsidR="00F16479" w:rsidRPr="00194419">
        <w:t>assist</w:t>
      </w:r>
      <w:r w:rsidR="00995008" w:rsidRPr="00194419">
        <w:t xml:space="preserve"> </w:t>
      </w:r>
      <w:r w:rsidR="00F16479" w:rsidRPr="00194419">
        <w:t>on</w:t>
      </w:r>
      <w:r w:rsidR="00995008" w:rsidRPr="00194419">
        <w:t xml:space="preserve"> </w:t>
      </w:r>
      <w:r w:rsidR="000A0288">
        <w:t xml:space="preserve">its </w:t>
      </w:r>
      <w:r w:rsidR="00995008" w:rsidRPr="00194419">
        <w:t xml:space="preserve">data treatment. They are </w:t>
      </w:r>
      <w:r w:rsidR="00495CF9" w:rsidRPr="00194419">
        <w:t xml:space="preserve">also </w:t>
      </w:r>
      <w:r w:rsidR="00995008" w:rsidRPr="00194419">
        <w:t>very grateful to Beatriz de la Torre</w:t>
      </w:r>
      <w:r w:rsidR="00F16479" w:rsidRPr="00194419">
        <w:t xml:space="preserve"> (CEHIUMA)</w:t>
      </w:r>
      <w:r w:rsidR="00995008" w:rsidRPr="00194419">
        <w:t xml:space="preserve"> </w:t>
      </w:r>
      <w:r w:rsidR="00F16479" w:rsidRPr="00194419">
        <w:t>for</w:t>
      </w:r>
      <w:r w:rsidR="00995008" w:rsidRPr="00194419">
        <w:t xml:space="preserve"> help</w:t>
      </w:r>
      <w:r w:rsidR="00F16479" w:rsidRPr="00194419">
        <w:t xml:space="preserve">ing </w:t>
      </w:r>
      <w:r w:rsidR="00995008" w:rsidRPr="00194419">
        <w:t>during several sampling campaigns.</w:t>
      </w:r>
    </w:p>
    <w:p w14:paraId="4B156857" w14:textId="77777777" w:rsidR="006F2E9E" w:rsidRPr="00194419" w:rsidRDefault="006F2E9E" w:rsidP="00536025">
      <w:pPr>
        <w:pStyle w:val="Prrafodelista"/>
        <w:keepNext/>
        <w:spacing w:line="480" w:lineRule="auto"/>
        <w:ind w:left="-142"/>
        <w:rPr>
          <w:b/>
        </w:rPr>
      </w:pPr>
      <w:r w:rsidRPr="00194419">
        <w:rPr>
          <w:b/>
        </w:rPr>
        <w:t>REFERENCES</w:t>
      </w:r>
    </w:p>
    <w:p w14:paraId="7F4AEAA8" w14:textId="5D3FB643" w:rsidR="00ED421F" w:rsidRPr="00ED421F" w:rsidRDefault="001612E2" w:rsidP="00ED421F">
      <w:pPr>
        <w:widowControl w:val="0"/>
        <w:autoSpaceDE w:val="0"/>
        <w:autoSpaceDN w:val="0"/>
        <w:adjustRightInd w:val="0"/>
        <w:spacing w:line="480" w:lineRule="auto"/>
        <w:ind w:left="480" w:hanging="480"/>
        <w:rPr>
          <w:noProof/>
          <w:szCs w:val="24"/>
        </w:rPr>
      </w:pPr>
      <w:r w:rsidRPr="00194419">
        <w:fldChar w:fldCharType="begin" w:fldLock="1"/>
      </w:r>
      <w:r w:rsidRPr="00444A13">
        <w:rPr>
          <w:lang w:val="en-GB"/>
        </w:rPr>
        <w:instrText xml:space="preserve">ADDIN Mendeley Bibliography CSL_BIBLIOGRAPHY </w:instrText>
      </w:r>
      <w:r w:rsidRPr="00194419">
        <w:fldChar w:fldCharType="separate"/>
      </w:r>
      <w:r w:rsidR="00ED421F" w:rsidRPr="00ED421F">
        <w:rPr>
          <w:noProof/>
          <w:szCs w:val="24"/>
        </w:rPr>
        <w:t>Aeschbach-Hertig, Peeters, F., Beyerle, U., Kipfer, R., 1999. Interpretation of dissolved atmospheric noble gases in natural waters. Water Resour. Res. 35, 2779–2792.</w:t>
      </w:r>
    </w:p>
    <w:p w14:paraId="78191A07"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Akesson, M., Suckow, A., Visser, A., Sültenfuss, J., Laier, T., Purtschert, R., Sparrenbom, C.J., 2015. Constraining age distributions of groundwater from public supply wells in diverse hydrogeological settings in Scania, Sweden. J. Hydrol. 528, 217–229. doi:10.1016/j.jhydrol.2015.06.022</w:t>
      </w:r>
    </w:p>
    <w:p w14:paraId="76086711" w14:textId="77777777" w:rsidR="00ED421F" w:rsidRPr="00444A13" w:rsidRDefault="00ED421F" w:rsidP="00ED421F">
      <w:pPr>
        <w:widowControl w:val="0"/>
        <w:autoSpaceDE w:val="0"/>
        <w:autoSpaceDN w:val="0"/>
        <w:adjustRightInd w:val="0"/>
        <w:spacing w:line="480" w:lineRule="auto"/>
        <w:ind w:left="480" w:hanging="480"/>
        <w:rPr>
          <w:noProof/>
          <w:szCs w:val="24"/>
          <w:lang w:val="es-ES_tradnl"/>
        </w:rPr>
      </w:pPr>
      <w:r w:rsidRPr="00ED421F">
        <w:rPr>
          <w:noProof/>
          <w:szCs w:val="24"/>
        </w:rPr>
        <w:lastRenderedPageBreak/>
        <w:t xml:space="preserve">Almécija, C., 1997. Hydrological and hydrochemical study of the wetland complexes at the north of the province of Malaga. </w:t>
      </w:r>
      <w:r w:rsidRPr="00444A13">
        <w:rPr>
          <w:noProof/>
          <w:szCs w:val="24"/>
          <w:lang w:val="es-ES_tradnl"/>
        </w:rPr>
        <w:t>Univ. Granada.</w:t>
      </w:r>
    </w:p>
    <w:p w14:paraId="3B66E000"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444A13">
        <w:rPr>
          <w:noProof/>
          <w:szCs w:val="24"/>
          <w:lang w:val="es-ES_tradnl"/>
        </w:rPr>
        <w:t xml:space="preserve">Andreo, B., Gil-Márquez, J.M., Mudarra, M., Linares, L., Carrasco, F., 2016. </w:t>
      </w:r>
      <w:r w:rsidRPr="00ED421F">
        <w:rPr>
          <w:noProof/>
          <w:szCs w:val="24"/>
        </w:rPr>
        <w:t>Hypothesis on the hydrogeological context of wetland areas and springs related to evaporitic karst aquifers (Málaga, Córdoba and Jaén provinces, Southern Spain). Environ. Earth Sci. 75, 1–19. doi:10.1007/s12665-016-5545-1</w:t>
      </w:r>
    </w:p>
    <w:p w14:paraId="74AC3E55"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Ballentine, C.J., Burnard, P.G., 2002. Production, Release and Transport of Noble Gases in the Continental Crust. Rev. Mineral. Geochemistry 47, 481–538. doi:10.2138/rmg.2002.47.12</w:t>
      </w:r>
    </w:p>
    <w:p w14:paraId="0EE03705"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Berger, P.M., 2008. An optimization approach to groundwater dating: How old is water in the Paris Basin? Univ. Illinois.</w:t>
      </w:r>
    </w:p>
    <w:p w14:paraId="4AAB8346"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Beyer, M., Jackson, B., Daughney, C., Morgenstern, U., Norton, K., 2016. Use of hydrochemistry as a standalone and complementary groundwater age tracer. J. Hydrol. 543, 127–144. doi:10.1016/j.jhydrol.2016.05.062</w:t>
      </w:r>
    </w:p>
    <w:p w14:paraId="30D7E0B5"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Beyerle, U., Aeschbach-Hertig, W., Hofer, M., Imboden, D.M., Baur, H., Kipfer, R., 1999. Infiltration of river water to a shallow aquifer investigated with H-3/He-3, noble gases and CFCs. J. Hydrol. 220, 169–185.</w:t>
      </w:r>
    </w:p>
    <w:p w14:paraId="64D45625"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Bohlke, J.K., Denver, J.M., 1995. Combined use of ground- water dating, chemical, and isotopic analyses to resolve the history and fate of nitrate contamination in two agricultural watersheds, atlantic coastal Plain, Maryland. Water Resour. Res. 31, 2319–2339. doi:10.1029/95WR01584</w:t>
      </w:r>
    </w:p>
    <w:p w14:paraId="40F9B3D7"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 xml:space="preserve">Bratton, J.F., Böhlke, J.K., Manheim, F.T., Krantz, D.E., 2004. Ground water beneath coastal </w:t>
      </w:r>
      <w:r w:rsidRPr="00ED421F">
        <w:rPr>
          <w:noProof/>
          <w:szCs w:val="24"/>
        </w:rPr>
        <w:lastRenderedPageBreak/>
        <w:t>bays of the Delmarva Peninsula: Ages and nutrients. Ground Water 42, 1021–1034. doi:10.1111/j.1745-6584.2004.tb02641.x</w:t>
      </w:r>
    </w:p>
    <w:p w14:paraId="4675163F"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Bullister, J.L., Tanhua, T., 2010. Sampling and Measurement of Chlorofluorocarbons and Sulfur, in: Hood, E.., Sabne, C.L., Sloyan, B.. (Eds.), The GO-SHIP Repeat Hydrography Manual: A Collection of Expert Reports and Guidelines. IOCCP Report Number 14, ICPO Public ation Series Number 134.</w:t>
      </w:r>
    </w:p>
    <w:p w14:paraId="14E3523F"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Bulsiewicz, K., Rose, H., Klatt, O., Putzka, A., Roether, W., 1998. A capillary-column chromatographic system for efficient chlorofluorocarbon measurement in ocean waters. J. Geophys. Res. 103, 15959–15970. doi:10.1029/98JC00140</w:t>
      </w:r>
    </w:p>
    <w:p w14:paraId="6FD6E8D1"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Busenberg, E., Plummer, L.N., 2000. Dating young groundwater with sulfur hexafluoride: Natural and anthropogenic sources of sulfur hexafluoride. Water Resour. Res. 36, 3011–3030.</w:t>
      </w:r>
    </w:p>
    <w:p w14:paraId="22AE8107"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Calaforra, J.M., Pulido-Bosch, A., 1999. Gypsum karst features as evidence of diapiric processes in the Betic Cordillera, Southern Spain. Geomorphology 29, 251–264.</w:t>
      </w:r>
    </w:p>
    <w:p w14:paraId="1B98C0FD" w14:textId="77777777" w:rsidR="00ED421F" w:rsidRPr="00444A13" w:rsidRDefault="00ED421F" w:rsidP="00ED421F">
      <w:pPr>
        <w:widowControl w:val="0"/>
        <w:autoSpaceDE w:val="0"/>
        <w:autoSpaceDN w:val="0"/>
        <w:adjustRightInd w:val="0"/>
        <w:spacing w:line="480" w:lineRule="auto"/>
        <w:ind w:left="480" w:hanging="480"/>
        <w:rPr>
          <w:noProof/>
          <w:szCs w:val="24"/>
          <w:lang w:val="es-ES_tradnl"/>
        </w:rPr>
      </w:pPr>
      <w:r w:rsidRPr="00ED421F">
        <w:rPr>
          <w:noProof/>
          <w:szCs w:val="24"/>
        </w:rPr>
        <w:t xml:space="preserve">Cardenas, M.B., Jiang, X.W., 2010. Groundwater flow, transport, and residence times through topography-driven basins with exponentially decreasing permeability and porosity. </w:t>
      </w:r>
      <w:r w:rsidRPr="00444A13">
        <w:rPr>
          <w:noProof/>
          <w:szCs w:val="24"/>
          <w:lang w:val="es-ES_tradnl"/>
        </w:rPr>
        <w:t>Water Resour. Res. 46, 1–9. doi:10.1029/2010WR009370</w:t>
      </w:r>
    </w:p>
    <w:p w14:paraId="4E305C69" w14:textId="77777777" w:rsidR="00ED421F" w:rsidRPr="00444A13" w:rsidRDefault="00ED421F" w:rsidP="00ED421F">
      <w:pPr>
        <w:widowControl w:val="0"/>
        <w:autoSpaceDE w:val="0"/>
        <w:autoSpaceDN w:val="0"/>
        <w:adjustRightInd w:val="0"/>
        <w:spacing w:line="480" w:lineRule="auto"/>
        <w:ind w:left="480" w:hanging="480"/>
        <w:rPr>
          <w:noProof/>
          <w:szCs w:val="24"/>
          <w:lang w:val="es-ES_tradnl"/>
        </w:rPr>
      </w:pPr>
      <w:r w:rsidRPr="00444A13">
        <w:rPr>
          <w:noProof/>
          <w:szCs w:val="24"/>
          <w:lang w:val="es-ES_tradnl"/>
        </w:rPr>
        <w:t>Carrasco, F., 1986. Contribucion al conocimiento de la cuenca alta del rio Guadalhorce. El medio físico. Hidrogeoquimica. Universidad de Granada.</w:t>
      </w:r>
    </w:p>
    <w:p w14:paraId="30561252"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444A13">
        <w:rPr>
          <w:noProof/>
          <w:szCs w:val="24"/>
          <w:lang w:val="es-ES_tradnl"/>
        </w:rPr>
        <w:t xml:space="preserve">Castaño, S., Rodríguez-Arévalo, J., 2019. </w:t>
      </w:r>
      <w:r w:rsidRPr="00ED421F">
        <w:rPr>
          <w:noProof/>
          <w:szCs w:val="24"/>
        </w:rPr>
        <w:t xml:space="preserve">Mapping environmental tritium activity concentration in recent precipitation in Spain to trace moisture sources in the hydrological cycle, in: Proceeding of the International Symposium on Isotope </w:t>
      </w:r>
      <w:r w:rsidRPr="00ED421F">
        <w:rPr>
          <w:noProof/>
          <w:szCs w:val="24"/>
        </w:rPr>
        <w:lastRenderedPageBreak/>
        <w:t>Hydrology. Advancing the Understanding of Water Cycle Processes. Vienna.</w:t>
      </w:r>
    </w:p>
    <w:p w14:paraId="71099606"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Chambers, L.A., Gooddy, D.C., Binley, A.M., 2018. Use and application of CFC-11, CFC-12, CFC-113 and SF</w:t>
      </w:r>
      <w:r w:rsidRPr="00ED421F">
        <w:rPr>
          <w:noProof/>
          <w:szCs w:val="24"/>
          <w:vertAlign w:val="subscript"/>
        </w:rPr>
        <w:t>6</w:t>
      </w:r>
      <w:r w:rsidRPr="00ED421F">
        <w:rPr>
          <w:noProof/>
          <w:szCs w:val="24"/>
        </w:rPr>
        <w:t xml:space="preserve"> as environmental tracers of groundwater residence time: A review. Geosci. Front. 1–10. doi:10.1016/j.gsf.2018.02.017</w:t>
      </w:r>
    </w:p>
    <w:p w14:paraId="17CD53E7"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Chebotarev, I.I., 1955. Metamorphism of natural waters in the crust of weathering-3. Geochim. Cosmochim. Acta 8, 198–212. doi:10.1016/0016-7037(55)90053-3</w:t>
      </w:r>
    </w:p>
    <w:p w14:paraId="3B1871CD"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Cherry, J.A., Parker, B.L., Bradbury, K.R., Eaton, T.T., Gotkowitz, M.B., Hart, D.J., Borchardt., M.A., 2006. Contaminant Transport Through Aquitards: A State-of-the-Science Review. Awwa Research Foundation; American Water Works Association; IWA Publishing, Denver, CO.</w:t>
      </w:r>
    </w:p>
    <w:p w14:paraId="33D297BF"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444A13">
        <w:rPr>
          <w:noProof/>
          <w:szCs w:val="24"/>
          <w:lang w:val="es-ES_tradnl"/>
        </w:rPr>
        <w:t xml:space="preserve">Chiesi, M., de Waele, J., Forti, P., 2010. </w:t>
      </w:r>
      <w:r w:rsidRPr="00ED421F">
        <w:rPr>
          <w:noProof/>
          <w:szCs w:val="24"/>
        </w:rPr>
        <w:t>Origin and evolution of a salty gypsum/anhydrite karst spring: The case of Poiano (Northern Apennines, Italy). Hydrogeol. J. 18, 1111–1124. doi:10.1007/s10040-010-0576-2</w:t>
      </w:r>
    </w:p>
    <w:p w14:paraId="31143ECC"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Clark, I.D., Fritz, P., 1997. Environmental Isotopes in Hydrogeology. CRC Press.</w:t>
      </w:r>
    </w:p>
    <w:p w14:paraId="70B9EBBA"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 xml:space="preserve">Clarke, W.B., Jenkins, W.J., Top, Z., 1976. Determination of tritium by mass-spectrometric measurement of </w:t>
      </w:r>
      <w:r w:rsidRPr="00ED421F">
        <w:rPr>
          <w:noProof/>
          <w:szCs w:val="24"/>
          <w:vertAlign w:val="superscript"/>
        </w:rPr>
        <w:t>3</w:t>
      </w:r>
      <w:r w:rsidRPr="00ED421F">
        <w:rPr>
          <w:noProof/>
          <w:szCs w:val="24"/>
        </w:rPr>
        <w:t>He. Int. J. Appl. Radiat. Isot. 27, 515–522. doi:DOI: 10.1016/0020-708X(76)90082-X</w:t>
      </w:r>
    </w:p>
    <w:p w14:paraId="279533AF"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Cook, P.G., Plummer, L.N., Solomon, D.K., Busenberg, E., Han, L.F., 2006. Effects and processes that can modify apparent CFC age, in: Use of Chlorofluorocarbons in Hydrology: A Guidebook. International Atomic Energy Agency, pp. 31–58.</w:t>
      </w:r>
    </w:p>
    <w:p w14:paraId="21EC96D2" w14:textId="77777777" w:rsid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Cook, P.G., Solomon, D.K., 1997. Recent advances in dating young groundwater: Chlorofluorocarbons, 3H/3He and 85Kr. J. Hydrol. 191, 245–265. doi:10.1016/S0022-</w:t>
      </w:r>
      <w:r w:rsidRPr="00ED421F">
        <w:rPr>
          <w:noProof/>
          <w:szCs w:val="24"/>
        </w:rPr>
        <w:lastRenderedPageBreak/>
        <w:t>1694(96)03051-X</w:t>
      </w:r>
    </w:p>
    <w:p w14:paraId="280E2BA2" w14:textId="47E478ED" w:rsidR="00F665AE" w:rsidRPr="00ED421F" w:rsidRDefault="00F665AE" w:rsidP="00F665AE">
      <w:pPr>
        <w:widowControl w:val="0"/>
        <w:autoSpaceDE w:val="0"/>
        <w:autoSpaceDN w:val="0"/>
        <w:adjustRightInd w:val="0"/>
        <w:spacing w:line="480" w:lineRule="auto"/>
        <w:ind w:left="480" w:hanging="480"/>
        <w:rPr>
          <w:noProof/>
          <w:szCs w:val="24"/>
        </w:rPr>
      </w:pPr>
      <w:r w:rsidRPr="00F665AE">
        <w:rPr>
          <w:noProof/>
          <w:szCs w:val="24"/>
        </w:rPr>
        <w:t>Cook, P.G., and Böhlke, J.K., 2000, Determining timescales</w:t>
      </w:r>
      <w:r>
        <w:rPr>
          <w:noProof/>
          <w:szCs w:val="24"/>
        </w:rPr>
        <w:t xml:space="preserve"> </w:t>
      </w:r>
      <w:r w:rsidRPr="00F665AE">
        <w:rPr>
          <w:noProof/>
          <w:szCs w:val="24"/>
        </w:rPr>
        <w:t xml:space="preserve">for groundwater flow and solute transport, chap. 1 </w:t>
      </w:r>
      <w:r w:rsidRPr="00F665AE">
        <w:rPr>
          <w:i/>
          <w:iCs/>
          <w:noProof/>
          <w:szCs w:val="24"/>
        </w:rPr>
        <w:t xml:space="preserve">in </w:t>
      </w:r>
      <w:r w:rsidRPr="00F665AE">
        <w:rPr>
          <w:noProof/>
          <w:szCs w:val="24"/>
        </w:rPr>
        <w:t>Cook,</w:t>
      </w:r>
      <w:r>
        <w:rPr>
          <w:noProof/>
          <w:szCs w:val="24"/>
        </w:rPr>
        <w:t xml:space="preserve"> </w:t>
      </w:r>
      <w:r w:rsidRPr="00F665AE">
        <w:rPr>
          <w:noProof/>
          <w:szCs w:val="24"/>
        </w:rPr>
        <w:t>P. G., and Herczeg, A. L., eds., Environmental tracers in</w:t>
      </w:r>
      <w:r>
        <w:rPr>
          <w:noProof/>
          <w:szCs w:val="24"/>
        </w:rPr>
        <w:t xml:space="preserve"> </w:t>
      </w:r>
      <w:r w:rsidRPr="00F665AE">
        <w:rPr>
          <w:noProof/>
          <w:szCs w:val="24"/>
        </w:rPr>
        <w:t>subsurface hydrology: Boston, Mass., Kluwer Academic</w:t>
      </w:r>
      <w:r>
        <w:rPr>
          <w:noProof/>
          <w:szCs w:val="24"/>
        </w:rPr>
        <w:t xml:space="preserve"> </w:t>
      </w:r>
      <w:r w:rsidRPr="00F665AE">
        <w:rPr>
          <w:noProof/>
          <w:szCs w:val="24"/>
        </w:rPr>
        <w:t>Publishers, p. 1–30.</w:t>
      </w:r>
    </w:p>
    <w:p w14:paraId="0C62AC64"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 xml:space="preserve">Corcho Alvarado, J.A., Purtschert, R., Barbecot, F., Chabault, C., Rueedi, J., Schneider, V., Aeschbach-Hertig, W., Kipfer, R., Loosli, H.H., 2007. Constraining the age distribution of highly mixed groundwater using </w:t>
      </w:r>
      <w:r w:rsidRPr="00ED421F">
        <w:rPr>
          <w:noProof/>
          <w:szCs w:val="24"/>
          <w:vertAlign w:val="superscript"/>
        </w:rPr>
        <w:t>39</w:t>
      </w:r>
      <w:r w:rsidRPr="00ED421F">
        <w:rPr>
          <w:noProof/>
          <w:szCs w:val="24"/>
        </w:rPr>
        <w:t>Ar: A multiple environmental tracer (</w:t>
      </w:r>
      <w:r w:rsidRPr="00ED421F">
        <w:rPr>
          <w:noProof/>
          <w:szCs w:val="24"/>
          <w:vertAlign w:val="superscript"/>
        </w:rPr>
        <w:t>3</w:t>
      </w:r>
      <w:r w:rsidRPr="00ED421F">
        <w:rPr>
          <w:noProof/>
          <w:szCs w:val="24"/>
        </w:rPr>
        <w:t>H/</w:t>
      </w:r>
      <w:r w:rsidRPr="00ED421F">
        <w:rPr>
          <w:noProof/>
          <w:szCs w:val="24"/>
          <w:vertAlign w:val="superscript"/>
        </w:rPr>
        <w:t>3</w:t>
      </w:r>
      <w:r w:rsidRPr="00ED421F">
        <w:rPr>
          <w:noProof/>
          <w:szCs w:val="24"/>
        </w:rPr>
        <w:t xml:space="preserve">He, </w:t>
      </w:r>
      <w:r w:rsidRPr="00ED421F">
        <w:rPr>
          <w:noProof/>
          <w:szCs w:val="24"/>
          <w:vertAlign w:val="superscript"/>
        </w:rPr>
        <w:t>85</w:t>
      </w:r>
      <w:r w:rsidRPr="00ED421F">
        <w:rPr>
          <w:noProof/>
          <w:szCs w:val="24"/>
        </w:rPr>
        <w:t xml:space="preserve">Kr, </w:t>
      </w:r>
      <w:r w:rsidRPr="00ED421F">
        <w:rPr>
          <w:noProof/>
          <w:szCs w:val="24"/>
          <w:vertAlign w:val="superscript"/>
        </w:rPr>
        <w:t>39</w:t>
      </w:r>
      <w:r w:rsidRPr="00ED421F">
        <w:rPr>
          <w:noProof/>
          <w:szCs w:val="24"/>
        </w:rPr>
        <w:t xml:space="preserve">Ar, and </w:t>
      </w:r>
      <w:r w:rsidRPr="00ED421F">
        <w:rPr>
          <w:noProof/>
          <w:szCs w:val="24"/>
          <w:vertAlign w:val="superscript"/>
        </w:rPr>
        <w:t>14</w:t>
      </w:r>
      <w:r w:rsidRPr="00ED421F">
        <w:rPr>
          <w:noProof/>
          <w:szCs w:val="24"/>
        </w:rPr>
        <w:t>C) study in the semiconfined Fontainebleau Sands Aquifer. Water Resour. Res. 43, 1–16. doi:10.1029/2006WR005096</w:t>
      </w:r>
    </w:p>
    <w:p w14:paraId="407C3159"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Darling, W.G., Gooddy, D.C., MacDonald, A.M., Morris, B.L., 2012. The practicalities of using CFCs and SF</w:t>
      </w:r>
      <w:r w:rsidRPr="00ED421F">
        <w:rPr>
          <w:noProof/>
          <w:szCs w:val="24"/>
          <w:vertAlign w:val="subscript"/>
        </w:rPr>
        <w:t>6</w:t>
      </w:r>
      <w:r w:rsidRPr="00ED421F">
        <w:rPr>
          <w:noProof/>
          <w:szCs w:val="24"/>
        </w:rPr>
        <w:t xml:space="preserve"> for groundwater dating and tracing. Appl. Geochemistry 27, 1688–1697. doi:10.1016/j.apgeochem.2012.02.005</w:t>
      </w:r>
    </w:p>
    <w:p w14:paraId="777E05EF"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Deeds, D.A., Vollmer, M.K., Kulongoski, J.T., Miller, B.R., Mühle, J., Harth, C.M., Izbicki, J.A., Hilton, D.R., Weiss, R.F., 2008. Evidence for crustal degassing of CF</w:t>
      </w:r>
      <w:r w:rsidRPr="00ED421F">
        <w:rPr>
          <w:noProof/>
          <w:szCs w:val="24"/>
          <w:vertAlign w:val="subscript"/>
        </w:rPr>
        <w:t>4</w:t>
      </w:r>
      <w:r w:rsidRPr="00ED421F">
        <w:rPr>
          <w:noProof/>
          <w:szCs w:val="24"/>
        </w:rPr>
        <w:t>and SF</w:t>
      </w:r>
      <w:r w:rsidRPr="00ED421F">
        <w:rPr>
          <w:noProof/>
          <w:szCs w:val="24"/>
          <w:vertAlign w:val="subscript"/>
        </w:rPr>
        <w:t>6</w:t>
      </w:r>
      <w:r w:rsidRPr="00ED421F">
        <w:rPr>
          <w:noProof/>
          <w:szCs w:val="24"/>
        </w:rPr>
        <w:t xml:space="preserve"> in Mojave Desert groundwaters. Geochim. Cosmochim. Acta 72, 999–1013. doi:10.1016/j.gca.2007.11.027</w:t>
      </w:r>
    </w:p>
    <w:p w14:paraId="38B6A387"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Delbart, C., Barbecot, F., Valdes, D., Tognelli, A., Fourre, E., Purtschert, R., Couchoux, L., Jean-Baptiste, P., 2014. Investigation of young water inflow in karst aquifers using SF</w:t>
      </w:r>
      <w:r w:rsidRPr="00ED421F">
        <w:rPr>
          <w:noProof/>
          <w:szCs w:val="24"/>
          <w:vertAlign w:val="subscript"/>
        </w:rPr>
        <w:t>6</w:t>
      </w:r>
      <w:r w:rsidRPr="00ED421F">
        <w:rPr>
          <w:noProof/>
          <w:szCs w:val="24"/>
        </w:rPr>
        <w:t>-CFC-</w:t>
      </w:r>
      <w:r w:rsidRPr="00ED421F">
        <w:rPr>
          <w:noProof/>
          <w:szCs w:val="24"/>
          <w:vertAlign w:val="superscript"/>
        </w:rPr>
        <w:t>3</w:t>
      </w:r>
      <w:r w:rsidRPr="00ED421F">
        <w:rPr>
          <w:noProof/>
          <w:szCs w:val="24"/>
        </w:rPr>
        <w:t>H/He-</w:t>
      </w:r>
      <w:r w:rsidRPr="00ED421F">
        <w:rPr>
          <w:noProof/>
          <w:szCs w:val="24"/>
          <w:vertAlign w:val="superscript"/>
        </w:rPr>
        <w:t>85</w:t>
      </w:r>
      <w:r w:rsidRPr="00ED421F">
        <w:rPr>
          <w:noProof/>
          <w:szCs w:val="24"/>
        </w:rPr>
        <w:t>Kr-</w:t>
      </w:r>
      <w:r w:rsidRPr="00ED421F">
        <w:rPr>
          <w:noProof/>
          <w:szCs w:val="24"/>
          <w:vertAlign w:val="superscript"/>
        </w:rPr>
        <w:t>39</w:t>
      </w:r>
      <w:r w:rsidRPr="00ED421F">
        <w:rPr>
          <w:noProof/>
          <w:szCs w:val="24"/>
        </w:rPr>
        <w:t>Ar and stable isotope components. Appl. Geochemistry 50, 164–176. doi:10.1016/j.apgeochem.2014.01.011</w:t>
      </w:r>
    </w:p>
    <w:p w14:paraId="51AC35B4"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 xml:space="preserve">Euliss, N.H., Labaugh, J.W., Fredrickson, L.H., Mushet, D.M., Laubhan, M.K., Swanson, G.A., Winter, T.C., Rosenberry, D.O., Nelson, R.D., 2004. the Wetland Continuum: a </w:t>
      </w:r>
      <w:r w:rsidRPr="00ED421F">
        <w:rPr>
          <w:noProof/>
          <w:szCs w:val="24"/>
        </w:rPr>
        <w:lastRenderedPageBreak/>
        <w:t>Conceptual Framework for Interpreting Biological Studies. Wetlands 24, 448–458. doi:10.1672/0277-5212(2004)024[0448:TWCACF]2.0.CO;2</w:t>
      </w:r>
    </w:p>
    <w:p w14:paraId="5695150E"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Ford, D., Williams, P., 2007. Karst Hydrogeology and Geomorphology. John Wiley &amp; Sons, Ltd, Chichester.</w:t>
      </w:r>
    </w:p>
    <w:p w14:paraId="30558BAF"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Frank, S., Goeppert, N., Ohmer, M., Goldscheider, N., 2019. Sulfate variations as a natural tracer for conduit-matrix interaction in a complex karst aquifer. Hydrol. Process. 1–12. doi:10.1002/hyp.13400</w:t>
      </w:r>
    </w:p>
    <w:p w14:paraId="5CDC8AFE"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Friedrich, R., Vero, G., von Rohden, C., Lessmann, B., Kipfer, R., Aeschbach-Hertig, W., 2013. Factors controlling terrigenic SF</w:t>
      </w:r>
      <w:r w:rsidRPr="00ED421F">
        <w:rPr>
          <w:noProof/>
          <w:szCs w:val="24"/>
          <w:vertAlign w:val="subscript"/>
        </w:rPr>
        <w:t>6</w:t>
      </w:r>
      <w:r w:rsidRPr="00ED421F">
        <w:rPr>
          <w:noProof/>
          <w:szCs w:val="24"/>
        </w:rPr>
        <w:t xml:space="preserve"> in young groundwater of the Odenwald region (Germany). Appl. Geochemistry 33, 318–329. doi:10.1016/j.apgeochem.2013.03.002</w:t>
      </w:r>
    </w:p>
    <w:p w14:paraId="13CD2AFC"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Gardner, P.M., Heilweil, V.M., 2014. A multiple-tracer approach to understanding regional groundwater flow in the Snake Valley area of the eastern Great Basin, USA. Appl. Geochemistry 45, 33–49. doi:10.1016/j.apgeochem.2014.02.010</w:t>
      </w:r>
    </w:p>
    <w:p w14:paraId="40F6D0ED"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Gardner, W.P., Hammond, G., Lichtner, P., 2015. High Performance Simulation of Environmental Tracers in Heterogeneous Domains. Groundwater. doi:10.1111/gwat.12148</w:t>
      </w:r>
    </w:p>
    <w:p w14:paraId="57B9E398"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Gassiat, C., Gleeson, T., Luijendijk, E., 2013. The location of old groundwater in hydrogeologic basins and layered aquifer systems. Geophys. Res. Lett. 40, 3042–3047. doi:10.1002/grl.50599</w:t>
      </w:r>
    </w:p>
    <w:p w14:paraId="115D33B6" w14:textId="77777777" w:rsidR="00ED421F" w:rsidRPr="00444A13" w:rsidRDefault="00ED421F" w:rsidP="00ED421F">
      <w:pPr>
        <w:widowControl w:val="0"/>
        <w:autoSpaceDE w:val="0"/>
        <w:autoSpaceDN w:val="0"/>
        <w:adjustRightInd w:val="0"/>
        <w:spacing w:line="480" w:lineRule="auto"/>
        <w:ind w:left="480" w:hanging="480"/>
        <w:rPr>
          <w:noProof/>
          <w:szCs w:val="24"/>
          <w:lang w:val="es-ES_tradnl"/>
        </w:rPr>
      </w:pPr>
      <w:r w:rsidRPr="00ED421F">
        <w:rPr>
          <w:noProof/>
          <w:szCs w:val="24"/>
        </w:rPr>
        <w:t xml:space="preserve">Gerber, C., Vaikmäe, R., Aeschbach, W., Babre, A., Jiang, W., Leuenberger, M., Lu, Z.T., Mokrik, R., Müller, P., Raidla, V., Saks, T., Waber, H.N., Weissbach, T., Zappala, J.C., Purtschert, R., 2017. Using </w:t>
      </w:r>
      <w:r w:rsidRPr="00ED421F">
        <w:rPr>
          <w:noProof/>
          <w:szCs w:val="24"/>
          <w:vertAlign w:val="superscript"/>
        </w:rPr>
        <w:t>81</w:t>
      </w:r>
      <w:r w:rsidRPr="00ED421F">
        <w:rPr>
          <w:noProof/>
          <w:szCs w:val="24"/>
        </w:rPr>
        <w:t xml:space="preserve">Kr and noble gases to characterize and date groundwater </w:t>
      </w:r>
      <w:r w:rsidRPr="00ED421F">
        <w:rPr>
          <w:noProof/>
          <w:szCs w:val="24"/>
        </w:rPr>
        <w:lastRenderedPageBreak/>
        <w:t xml:space="preserve">and brines in the Baltic Artesian Basin on the one-million-year timescale. </w:t>
      </w:r>
      <w:r w:rsidRPr="00444A13">
        <w:rPr>
          <w:noProof/>
          <w:szCs w:val="24"/>
          <w:lang w:val="es-ES_tradnl"/>
        </w:rPr>
        <w:t>Geochim. Cosmochim. Acta 205, 187–210. doi:10.1016/j.gca.2017.01.033</w:t>
      </w:r>
    </w:p>
    <w:p w14:paraId="3F957966"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444A13">
        <w:rPr>
          <w:noProof/>
          <w:szCs w:val="24"/>
          <w:lang w:val="es-ES_tradnl"/>
        </w:rPr>
        <w:t xml:space="preserve">Gil-Márquez, J.M., Andreo, B., Mudarra, M., 2019. </w:t>
      </w:r>
      <w:r w:rsidRPr="00ED421F">
        <w:rPr>
          <w:noProof/>
          <w:szCs w:val="24"/>
        </w:rPr>
        <w:t>Combining hydrodynamics, hydrochemistry, and environmental isotopes to understand the hydrogeological functioning of evaporite-karst springs. An example from southern Spain. J. Hydrol. 576, 299–314. doi:10.1016/j.jhydrol.2019.06.055</w:t>
      </w:r>
    </w:p>
    <w:p w14:paraId="645F254E"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444A13">
        <w:rPr>
          <w:noProof/>
          <w:szCs w:val="24"/>
          <w:lang w:val="es-ES_tradnl"/>
        </w:rPr>
        <w:t xml:space="preserve">Gil-Márquez, J.M., Barberá, J.A., Andreo, B., Mudarra, M., 2017. </w:t>
      </w:r>
      <w:r w:rsidRPr="00ED421F">
        <w:rPr>
          <w:noProof/>
          <w:szCs w:val="24"/>
        </w:rPr>
        <w:t>Hydrological and geochemical processes constraining groundwater salinity in wetland areas related to evaporitic (karst) systems. A case study from Southern Spain. J. Hydrol. 544, 538–554. doi:10.1016/j.jhydrol.2016.11.062</w:t>
      </w:r>
    </w:p>
    <w:p w14:paraId="312706B7"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444A13">
        <w:rPr>
          <w:noProof/>
          <w:szCs w:val="24"/>
          <w:lang w:val="es-ES_tradnl"/>
        </w:rPr>
        <w:t xml:space="preserve">Gil-Márquez, José Manuel, Barberá, J.A., Mudarra, M., Andreo, B., Prieto-Mera, J., Sánchez, D., Rizo-Decelis, L.D., Argamasilla, M., Nieto, J.M., De la Torre, B., 2017. </w:t>
      </w:r>
      <w:r w:rsidRPr="00ED421F">
        <w:rPr>
          <w:noProof/>
          <w:szCs w:val="24"/>
        </w:rPr>
        <w:t>Karst development of an evaporitic system and its hydrogeological implications inferred from GIS-based analysis and tracing techniques. Int. J. Speleol. 46, 219–235. doi:https://doi.org/10.5038/1827-806X.46.2.2115</w:t>
      </w:r>
    </w:p>
    <w:p w14:paraId="41396B1B" w14:textId="77777777" w:rsidR="00ED421F" w:rsidRPr="00444A13" w:rsidRDefault="00ED421F" w:rsidP="00ED421F">
      <w:pPr>
        <w:widowControl w:val="0"/>
        <w:autoSpaceDE w:val="0"/>
        <w:autoSpaceDN w:val="0"/>
        <w:adjustRightInd w:val="0"/>
        <w:spacing w:line="480" w:lineRule="auto"/>
        <w:ind w:left="480" w:hanging="480"/>
        <w:rPr>
          <w:noProof/>
          <w:szCs w:val="24"/>
          <w:lang w:val="es-ES_tradnl"/>
        </w:rPr>
      </w:pPr>
      <w:r w:rsidRPr="00ED421F">
        <w:rPr>
          <w:noProof/>
          <w:szCs w:val="24"/>
        </w:rPr>
        <w:t xml:space="preserve">Gil-Márquez, J.M., Mudarra, M., Andreo, B., 2017. Analysis of natural response and hydrochemical data by statistical approaches to characterize the hydrogeological functioning of a highly karstified evaporitic system in south Spain, in: Renard, P., Bertrand, C. (Eds.), Eurokarst 2016, Neuchâtel: Advances in the Hydrogeology of Karst and Carbonate Reservoirs. </w:t>
      </w:r>
      <w:r w:rsidRPr="00444A13">
        <w:rPr>
          <w:noProof/>
          <w:szCs w:val="24"/>
          <w:lang w:val="es-ES_tradnl"/>
        </w:rPr>
        <w:t>Springer, Heidelberg, pp. 335–343. doi:10.1007/978-3-319-45465-8</w:t>
      </w:r>
    </w:p>
    <w:p w14:paraId="52CEAF5E" w14:textId="77777777" w:rsidR="00ED421F" w:rsidRPr="00444A13" w:rsidRDefault="00ED421F" w:rsidP="00ED421F">
      <w:pPr>
        <w:widowControl w:val="0"/>
        <w:autoSpaceDE w:val="0"/>
        <w:autoSpaceDN w:val="0"/>
        <w:adjustRightInd w:val="0"/>
        <w:spacing w:line="480" w:lineRule="auto"/>
        <w:ind w:left="480" w:hanging="480"/>
        <w:rPr>
          <w:noProof/>
          <w:szCs w:val="24"/>
          <w:lang w:val="es-ES_tradnl"/>
        </w:rPr>
      </w:pPr>
      <w:r w:rsidRPr="00444A13">
        <w:rPr>
          <w:noProof/>
          <w:szCs w:val="24"/>
          <w:lang w:val="es-ES_tradnl"/>
        </w:rPr>
        <w:t xml:space="preserve">Gil-Márquez, J.M., Mudarra, M., Andreo, B., Linares, L., Carrasco, F., Benavente, J., 2016. </w:t>
      </w:r>
      <w:r w:rsidRPr="00ED421F">
        <w:rPr>
          <w:noProof/>
          <w:szCs w:val="24"/>
        </w:rPr>
        <w:lastRenderedPageBreak/>
        <w:t xml:space="preserve">Hydrogeological characterization of the Salinas- Los Hoyos evaporitic karst ( Malaga province , S Spain ) using topographic , hydrodynamic , hydrochemical and isotopic methods. </w:t>
      </w:r>
      <w:r w:rsidRPr="00444A13">
        <w:rPr>
          <w:noProof/>
          <w:szCs w:val="24"/>
          <w:lang w:val="es-ES_tradnl"/>
        </w:rPr>
        <w:t>Acta carsologica 45, 147–160.</w:t>
      </w:r>
    </w:p>
    <w:p w14:paraId="5E2A8AB4" w14:textId="77777777" w:rsidR="00ED421F" w:rsidRPr="00444A13" w:rsidRDefault="00ED421F" w:rsidP="00ED421F">
      <w:pPr>
        <w:widowControl w:val="0"/>
        <w:autoSpaceDE w:val="0"/>
        <w:autoSpaceDN w:val="0"/>
        <w:adjustRightInd w:val="0"/>
        <w:spacing w:line="480" w:lineRule="auto"/>
        <w:ind w:left="480" w:hanging="480"/>
        <w:rPr>
          <w:noProof/>
          <w:szCs w:val="24"/>
          <w:lang w:val="es-ES_tradnl"/>
        </w:rPr>
      </w:pPr>
      <w:r w:rsidRPr="00444A13">
        <w:rPr>
          <w:noProof/>
          <w:szCs w:val="24"/>
          <w:lang w:val="es-ES_tradnl"/>
        </w:rPr>
        <w:t>Gil Márquez, J.M., 2018. Caracterización hidrogeológica de humedales y manantiales salinos asociados a acuíferos kársticos evaporíticos del sector central del subbético. Universidad de Granada.</w:t>
      </w:r>
    </w:p>
    <w:p w14:paraId="21180843"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444A13">
        <w:rPr>
          <w:noProof/>
          <w:szCs w:val="24"/>
          <w:lang w:val="es-ES_tradnl"/>
        </w:rPr>
        <w:t xml:space="preserve">Goldscheider, N., Mádl-Szőnyi, J., Erőss, A., Schill, E., 2010. </w:t>
      </w:r>
      <w:r w:rsidRPr="00ED421F">
        <w:rPr>
          <w:noProof/>
          <w:szCs w:val="24"/>
        </w:rPr>
        <w:t>Review: Thermal water resources in carbonate rock aquifers. Hydrogeol. J. 18, 1303–1318. doi:10.1007/s10040-010-0611-3</w:t>
      </w:r>
    </w:p>
    <w:p w14:paraId="3201C942" w14:textId="77777777" w:rsidR="00ED421F" w:rsidRPr="00444A13" w:rsidRDefault="00ED421F" w:rsidP="00ED421F">
      <w:pPr>
        <w:widowControl w:val="0"/>
        <w:autoSpaceDE w:val="0"/>
        <w:autoSpaceDN w:val="0"/>
        <w:adjustRightInd w:val="0"/>
        <w:spacing w:line="480" w:lineRule="auto"/>
        <w:ind w:left="480" w:hanging="480"/>
        <w:rPr>
          <w:noProof/>
          <w:szCs w:val="24"/>
          <w:lang w:val="es-ES_tradnl"/>
        </w:rPr>
      </w:pPr>
      <w:r w:rsidRPr="00ED421F">
        <w:rPr>
          <w:noProof/>
          <w:szCs w:val="24"/>
        </w:rPr>
        <w:t xml:space="preserve">Gunn, J., 2004. Encyclopedia of Caves and Karst Science. </w:t>
      </w:r>
      <w:r w:rsidRPr="00444A13">
        <w:rPr>
          <w:noProof/>
          <w:szCs w:val="24"/>
          <w:lang w:val="es-ES_tradnl"/>
        </w:rPr>
        <w:t>Taylor &amp; Francis, New York.</w:t>
      </w:r>
    </w:p>
    <w:p w14:paraId="0992B76E"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444A13">
        <w:rPr>
          <w:noProof/>
          <w:szCs w:val="24"/>
          <w:lang w:val="es-ES_tradnl"/>
        </w:rPr>
        <w:t xml:space="preserve">Gutiérrez, F., Calaforra, J.M., Cardona, F., Ortí, F., Durán, J.J., Garay, P., 2008. </w:t>
      </w:r>
      <w:r w:rsidRPr="00ED421F">
        <w:rPr>
          <w:noProof/>
          <w:szCs w:val="24"/>
        </w:rPr>
        <w:t>Geological and environmental implications of the evaporite karst in Spain. Environ. Geol. 53, 951–965. doi:10.1007/s00254-007-0721-y</w:t>
      </w:r>
    </w:p>
    <w:p w14:paraId="5C93B141"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Han, L.F., Gröning, M., Plummer, L.N., Solomon, D.K., 2006. Comparison of the CFC technique with other techniques (</w:t>
      </w:r>
      <w:r w:rsidRPr="00ED421F">
        <w:rPr>
          <w:noProof/>
          <w:szCs w:val="24"/>
          <w:vertAlign w:val="superscript"/>
        </w:rPr>
        <w:t>3</w:t>
      </w:r>
      <w:r w:rsidRPr="00ED421F">
        <w:rPr>
          <w:noProof/>
          <w:szCs w:val="24"/>
        </w:rPr>
        <w:t xml:space="preserve">H, </w:t>
      </w:r>
      <w:r w:rsidRPr="00ED421F">
        <w:rPr>
          <w:noProof/>
          <w:szCs w:val="24"/>
          <w:vertAlign w:val="superscript"/>
        </w:rPr>
        <w:t>3</w:t>
      </w:r>
      <w:r w:rsidRPr="00ED421F">
        <w:rPr>
          <w:noProof/>
          <w:szCs w:val="24"/>
        </w:rPr>
        <w:t>H/</w:t>
      </w:r>
      <w:r w:rsidRPr="00ED421F">
        <w:rPr>
          <w:noProof/>
          <w:szCs w:val="24"/>
          <w:vertAlign w:val="superscript"/>
        </w:rPr>
        <w:t>3</w:t>
      </w:r>
      <w:r w:rsidRPr="00ED421F">
        <w:rPr>
          <w:noProof/>
          <w:szCs w:val="24"/>
        </w:rPr>
        <w:t xml:space="preserve">He, </w:t>
      </w:r>
      <w:r w:rsidRPr="00ED421F">
        <w:rPr>
          <w:noProof/>
          <w:szCs w:val="24"/>
          <w:vertAlign w:val="superscript"/>
        </w:rPr>
        <w:t>85</w:t>
      </w:r>
      <w:r w:rsidRPr="00ED421F">
        <w:rPr>
          <w:noProof/>
          <w:szCs w:val="24"/>
        </w:rPr>
        <w:t>Kr), in: Use of Chlorofluorocarbons in Hydrology: A Guidebook. IAEA, pp. 191–198.</w:t>
      </w:r>
    </w:p>
    <w:p w14:paraId="2903F098"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Harnisch, J., Eisenhauer, A., 1998. Natural CF</w:t>
      </w:r>
      <w:r w:rsidRPr="00ED421F">
        <w:rPr>
          <w:noProof/>
          <w:szCs w:val="24"/>
          <w:vertAlign w:val="subscript"/>
        </w:rPr>
        <w:t>4</w:t>
      </w:r>
      <w:r w:rsidRPr="00ED421F">
        <w:rPr>
          <w:noProof/>
          <w:szCs w:val="24"/>
        </w:rPr>
        <w:t xml:space="preserve"> and SF</w:t>
      </w:r>
      <w:r w:rsidRPr="00ED421F">
        <w:rPr>
          <w:noProof/>
          <w:szCs w:val="24"/>
          <w:vertAlign w:val="subscript"/>
        </w:rPr>
        <w:t>6</w:t>
      </w:r>
      <w:r w:rsidRPr="00ED421F">
        <w:rPr>
          <w:noProof/>
          <w:szCs w:val="24"/>
        </w:rPr>
        <w:t xml:space="preserve"> on Earth. Geophys. Res. Lett. 25, 2401–2404. doi:10.1029/98GL01779</w:t>
      </w:r>
    </w:p>
    <w:p w14:paraId="1731B2DD"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Hart, D.J., Bradbury, K.R., Feinstein, D.T., 2006. The vertical hydraulic conductivity of an aquitard at two spatial scales. Ground Water 44, 201–211. doi:10.1111/j.1745-6584.2005.00125.x</w:t>
      </w:r>
    </w:p>
    <w:p w14:paraId="68A7923D"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 xml:space="preserve">Höbig, N., Mediavilla, R., Gibert, L., Santisteban, J.I., Cendón, D.I., Ibáñez, J., Reicherter, </w:t>
      </w:r>
      <w:r w:rsidRPr="00ED421F">
        <w:rPr>
          <w:noProof/>
          <w:szCs w:val="24"/>
        </w:rPr>
        <w:lastRenderedPageBreak/>
        <w:t>K., 2016. Palaeohydrological evolution and implications for palaeoclimate since the Late Glacial at Laguna de Fuente de Piedra, southern Spain. Quat. Int. 407, 29–46. doi:10.1016/j.quaint.2016.02.051</w:t>
      </w:r>
    </w:p>
    <w:p w14:paraId="7FA212B6"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Hunkeler, D., Mudry, J., 2007. Hydrochemical methods, in: Goldscheider, N., Drew, D. (Eds.), Methods in Karst Hydrogeology. CRC Press, London, pp. 93–121.</w:t>
      </w:r>
    </w:p>
    <w:p w14:paraId="07B4C72F"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IAEA/WMO, 2018. Global Network of Isotopes in Precipitation. The GNIP Database. [WWW Document]. https://nucleus.iaea.org/wiser/index.aspx.</w:t>
      </w:r>
    </w:p>
    <w:p w14:paraId="3D49FB50"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IAEA, 2013. Isotope methords for dating old groundwater. International Atomic Energy Agency, Vienna.</w:t>
      </w:r>
    </w:p>
    <w:p w14:paraId="5A3B1077"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IAEA, 2006. Use of Chlorofluorocarbons in Hydrology: a guidebook, International Atomic Energy Agency. International Atomic Energy Agency, Vienna.</w:t>
      </w:r>
    </w:p>
    <w:p w14:paraId="26F38E5B" w14:textId="77777777" w:rsidR="00ED421F" w:rsidRPr="00444A13" w:rsidRDefault="00ED421F" w:rsidP="00ED421F">
      <w:pPr>
        <w:widowControl w:val="0"/>
        <w:autoSpaceDE w:val="0"/>
        <w:autoSpaceDN w:val="0"/>
        <w:adjustRightInd w:val="0"/>
        <w:spacing w:line="480" w:lineRule="auto"/>
        <w:ind w:left="480" w:hanging="480"/>
        <w:rPr>
          <w:noProof/>
          <w:szCs w:val="24"/>
          <w:lang w:val="es-ES_tradnl"/>
        </w:rPr>
      </w:pPr>
      <w:r w:rsidRPr="00ED421F">
        <w:rPr>
          <w:noProof/>
          <w:szCs w:val="24"/>
        </w:rPr>
        <w:t xml:space="preserve">Jankowski, J., Jacobson, G., 1989. Hydrochemical evolution of regional groundwaters to playa brines in central Australia. </w:t>
      </w:r>
      <w:r w:rsidRPr="00444A13">
        <w:rPr>
          <w:noProof/>
          <w:szCs w:val="24"/>
          <w:lang w:val="es-ES_tradnl"/>
        </w:rPr>
        <w:t>J. Hydrol. 108, 123–173. doi:10.1016/0022-1694(89)90281-3</w:t>
      </w:r>
    </w:p>
    <w:p w14:paraId="68A90CD4"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444A13">
        <w:rPr>
          <w:noProof/>
          <w:szCs w:val="24"/>
          <w:lang w:val="es-ES_tradnl"/>
        </w:rPr>
        <w:t xml:space="preserve">Jaunat, J., Huneau, F., Dupuy, A., Celle-Jeanton, H., Vergnaud-Ayraud, V., Aquilina, L., Labasque, T., Le Coustumer, P., 2012. </w:t>
      </w:r>
      <w:r w:rsidRPr="00ED421F">
        <w:rPr>
          <w:noProof/>
          <w:szCs w:val="24"/>
        </w:rPr>
        <w:t>Hydrochemical data and groundwater dating to infer differential flowpaths through weathered profiles of a fractured aquifer. Appl. Geochemistry 27, 2053–2067. doi:10.1016/j.apgeochem.2012.06.009</w:t>
      </w:r>
    </w:p>
    <w:p w14:paraId="172FA9DC" w14:textId="77777777" w:rsidR="009B338F" w:rsidRPr="009B338F" w:rsidRDefault="009B338F" w:rsidP="009B338F">
      <w:pPr>
        <w:widowControl w:val="0"/>
        <w:autoSpaceDE w:val="0"/>
        <w:autoSpaceDN w:val="0"/>
        <w:adjustRightInd w:val="0"/>
        <w:spacing w:line="480" w:lineRule="auto"/>
        <w:ind w:left="480" w:hanging="480"/>
        <w:rPr>
          <w:noProof/>
          <w:szCs w:val="24"/>
        </w:rPr>
      </w:pPr>
      <w:r w:rsidRPr="009B338F">
        <w:rPr>
          <w:noProof/>
          <w:szCs w:val="24"/>
        </w:rPr>
        <w:t xml:space="preserve">Jurgens, B. C., Böhlke, J. K., Eberts, S. M., &amp; Survey, U. S. G. (2012). TracerLPM (Version 1): An Excel® workbook for interpreting groundwater age distributions from environmental tracer data. </w:t>
      </w:r>
      <w:r w:rsidRPr="009B338F">
        <w:rPr>
          <w:i/>
          <w:iCs/>
          <w:noProof/>
          <w:szCs w:val="24"/>
        </w:rPr>
        <w:t>Techniques and Methods</w:t>
      </w:r>
      <w:r w:rsidRPr="009B338F">
        <w:rPr>
          <w:noProof/>
          <w:szCs w:val="24"/>
        </w:rPr>
        <w:t>, (Version 1). Retrieved from http://pubs.er.usgs.gov/publication/tm4F3</w:t>
      </w:r>
    </w:p>
    <w:p w14:paraId="385DFDB4"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444A13">
        <w:rPr>
          <w:noProof/>
          <w:szCs w:val="24"/>
          <w:lang w:val="es-ES_tradnl"/>
        </w:rPr>
        <w:lastRenderedPageBreak/>
        <w:t xml:space="preserve">Jódar, J., Lambán, L.J., Medina, A., Custodio, E., 2014. </w:t>
      </w:r>
      <w:r w:rsidRPr="00ED421F">
        <w:rPr>
          <w:noProof/>
          <w:szCs w:val="24"/>
        </w:rPr>
        <w:t>Exact analytical solution of the convolution integral for classical hydrogeological lumped-parameter models and typical input tracer functions in natural gradient systems. J. Hydrol. 519, 3275–3289. doi:10.1016/j.jhydrol.2014.10.027</w:t>
      </w:r>
    </w:p>
    <w:p w14:paraId="08DAB052"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Katz, B.G., McBride, W.S., Hunt, A.G., Crandall, C.A., Metz, P.A., Eberts, S.M., Berndt, M.P., 2009. Vulnerability of a public supply well in a karstic aquifer to contamination. Ground Water 47, 438–452. doi:10.1111/j.1745-6584.2008.00504.x</w:t>
      </w:r>
    </w:p>
    <w:p w14:paraId="48AAE9AB"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Koh, D.C., Plummer, L.N., Busenberg, E., Kim, Y., 2007. Evidence for terrigenic SF6in groundwater from basaltic aquifers, Jeju Island, Korea: Implications for groundwater dating. J. Hydrol. 339, 93–104. doi:10.1016/j.jhydrol.2007.03.011</w:t>
      </w:r>
    </w:p>
    <w:p w14:paraId="5FD32195"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Koh, E.H., Lee, E., Kaown, D., Green, C.T., Koh, D.C., Lee, K.K., Lee, S.H., 2018. Comparison of groundwater age models for assessing nitrate loading, transport pathways, and management options in a complex aquifer system. Hydrol. Process. 32, 923–938. doi:10.1002/hyp.11465</w:t>
      </w:r>
    </w:p>
    <w:p w14:paraId="41BC3083"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Kohfahl, C., Rodriguez, M., Fenk, C., Menz, C., Benavente, J., Hubberten, H., Meyer, H., Paul, L., Knappe, A., López-Geta, J.A., Pekdeger, A., 2008. Characterising flow regime and interrelation between surface-water and ground-water in the Fuente de Piedra salt lake basin by means of stable isotopes, hydrogeochemical and hydraulic data. J. Hydrol. 351, 170–187. doi:10.1016/j.jhydrol.2007.12.008</w:t>
      </w:r>
    </w:p>
    <w:p w14:paraId="6B9DF431"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Konikow, L.F., Neuzil, C.E., 2007. A method to estimate groundwater depletion from confining layers. Water Resour. Res. 43, 1–15. doi:10.1029/2006WR005597</w:t>
      </w:r>
    </w:p>
    <w:p w14:paraId="25ADFD81"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 xml:space="preserve">Kralik, M., Humer, F., Fank, J., Harum, T., Klammler, G., Gooddy, D., Sültenfuss, J., Gerber, </w:t>
      </w:r>
      <w:r w:rsidRPr="00ED421F">
        <w:rPr>
          <w:noProof/>
          <w:szCs w:val="24"/>
        </w:rPr>
        <w:lastRenderedPageBreak/>
        <w:t>C., Purtschert, R., 2014. Using 18O/2H, 3H/3He, 85Kr and CFCs to determine mean residence times and water origin in the Grazer and Leibnitzer Feld groundwater bodies (Austria). Appl. Geochemistry 50, 150–163. doi:10.1016/j.apgeochem.2014.04.001</w:t>
      </w:r>
    </w:p>
    <w:p w14:paraId="1EE30187"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Kreitler, C.W., 1989. Hydrogeology of sedimentary basins. J. Hydrol. 106, 29–53. doi:10.1016/0022-1694(89)90165-0</w:t>
      </w:r>
    </w:p>
    <w:p w14:paraId="05BE4C59"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Labasque, T., Aquilina, L., Vergnaud, V., Hochreutener, R., Barbecot, F., Casile, G., 2014. Inter-comparison exercises on dissolved gases for groundwater dating – (1) Goals of the exercise and site choice, validation of the sampling strategy. Appl. Geochemistry 40, 119–125. doi:10.1016/j.apgeochem.2013.11.007</w:t>
      </w:r>
    </w:p>
    <w:p w14:paraId="70839D90"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 xml:space="preserve">Lehmann, B.E., Love, A., Purtschert, R., Collon, P., Loosli, H.H., Kutschera, W., Beyerle, U., Aeschbach-Hertig, W., Kipfer, R., Frape, S.K., Herczeg, A., Moran, J., Tolstikhin, I.N., Gröning, M., 2003. A comparison of groundwater dating with </w:t>
      </w:r>
      <w:r w:rsidRPr="00ED421F">
        <w:rPr>
          <w:noProof/>
          <w:szCs w:val="24"/>
          <w:vertAlign w:val="superscript"/>
        </w:rPr>
        <w:t>81</w:t>
      </w:r>
      <w:r w:rsidRPr="00ED421F">
        <w:rPr>
          <w:noProof/>
          <w:szCs w:val="24"/>
        </w:rPr>
        <w:t xml:space="preserve">Kr, </w:t>
      </w:r>
      <w:r w:rsidRPr="00ED421F">
        <w:rPr>
          <w:noProof/>
          <w:szCs w:val="24"/>
          <w:vertAlign w:val="superscript"/>
        </w:rPr>
        <w:t>36</w:t>
      </w:r>
      <w:r w:rsidRPr="00ED421F">
        <w:rPr>
          <w:noProof/>
          <w:szCs w:val="24"/>
        </w:rPr>
        <w:t xml:space="preserve">Cl and </w:t>
      </w:r>
      <w:r w:rsidRPr="00ED421F">
        <w:rPr>
          <w:noProof/>
          <w:szCs w:val="24"/>
          <w:vertAlign w:val="superscript"/>
        </w:rPr>
        <w:t>4</w:t>
      </w:r>
      <w:r w:rsidRPr="00ED421F">
        <w:rPr>
          <w:noProof/>
          <w:szCs w:val="24"/>
        </w:rPr>
        <w:t>He in four wells of the Great Artesian Basin, Australia. Earth Planet. Sci. Lett. 211, 237–250. doi:10.1016/S0012-821X(03)00206-1</w:t>
      </w:r>
    </w:p>
    <w:p w14:paraId="0440961A"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Linares, L., 1990. Hydrogeology of Fuente de Piedra Wetland (Málaga). Univ. Granada.</w:t>
      </w:r>
    </w:p>
    <w:p w14:paraId="3CCB0F6E"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 xml:space="preserve">Lippmann, J., Stute, M., Torgersen, T., Moser, D.P., Hall, J.A., Lin, L., Borcsik, M., Bellamy, R.E.S., Onstott, T.C., 2003. Dating ultra-deep mine waters with noble gases and </w:t>
      </w:r>
      <w:r w:rsidRPr="00ED421F">
        <w:rPr>
          <w:noProof/>
          <w:szCs w:val="24"/>
          <w:vertAlign w:val="superscript"/>
        </w:rPr>
        <w:t>36</w:t>
      </w:r>
      <w:r w:rsidRPr="00ED421F">
        <w:rPr>
          <w:noProof/>
          <w:szCs w:val="24"/>
        </w:rPr>
        <w:t>Cl, Witwatersrand Basin, South Africa. Geochim. Cosmochim. Acta 67, 4597–4619. doi:10.1016/S0016-7037(03)00414-9</w:t>
      </w:r>
    </w:p>
    <w:p w14:paraId="551BBA56"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Lissey, A., 1971. Depression-focused transient groundwater flow patterns in Manitoba. Spec. Pap. Geol. Assoc. Canada 333–3411971.</w:t>
      </w:r>
    </w:p>
    <w:p w14:paraId="23C86B1B"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 xml:space="preserve">Mádl-Szőnyi, J., Tóth, Á., 2015. Basin-scale conceptual groundwater flow model for an </w:t>
      </w:r>
      <w:r w:rsidRPr="00ED421F">
        <w:rPr>
          <w:noProof/>
          <w:szCs w:val="24"/>
        </w:rPr>
        <w:lastRenderedPageBreak/>
        <w:t>unconfined and confined thick carbonate region. Hydrogeol. J. 23, 1359–1380. doi:10.1007/s10040-015-1274-x</w:t>
      </w:r>
    </w:p>
    <w:p w14:paraId="5AC1B9EE"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 xml:space="preserve">Mahara, Y., Habermehl, M.A., Hasegawa, T., Nakata, K., Ransley, T.R., Hatano, T., Mizuochi, Y., Kobayashi, H., Ninomiya, A., Senior, B.R., Yasuda, H., Ohta, T., 2009. Groundwater dating by estimation of groundwater flow velocity and dissolved </w:t>
      </w:r>
      <w:r w:rsidRPr="00ED421F">
        <w:rPr>
          <w:noProof/>
          <w:szCs w:val="24"/>
          <w:vertAlign w:val="superscript"/>
        </w:rPr>
        <w:t>4</w:t>
      </w:r>
      <w:r w:rsidRPr="00ED421F">
        <w:rPr>
          <w:noProof/>
          <w:szCs w:val="24"/>
        </w:rPr>
        <w:t xml:space="preserve">He accumulation rate calibrated by </w:t>
      </w:r>
      <w:r w:rsidRPr="00ED421F">
        <w:rPr>
          <w:noProof/>
          <w:szCs w:val="24"/>
          <w:vertAlign w:val="superscript"/>
        </w:rPr>
        <w:t>36</w:t>
      </w:r>
      <w:r w:rsidRPr="00ED421F">
        <w:rPr>
          <w:noProof/>
          <w:szCs w:val="24"/>
        </w:rPr>
        <w:t>Cl in the Great Artesian Basin, Australia. Earth Planet. Sci. Lett. 287, 43–56. doi:10.1016/j.epsl.2009.07.034</w:t>
      </w:r>
    </w:p>
    <w:p w14:paraId="5506D878"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Maloszewski, P., Zuber, A., 1982. Determining the turnover time of groundwater systems with the aid of environmental tracers. Jounal Hydrol. 57, 207–231.</w:t>
      </w:r>
    </w:p>
    <w:p w14:paraId="02AB5AD9"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Massmann, G., Sültenfuß, J., Dünnbier, U., Knappe, A., Taute, T., Pekdeger, A., 2008. Investigation of groundwater residence times during bank filtration in Berlin: a multi-tracer apporach. Hydrol. Process. 22, 788–801. doi:10.1002/hyp</w:t>
      </w:r>
    </w:p>
    <w:p w14:paraId="02C8F5DA"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Massoudieh, A., Visser, A., Sharifi, S., Broers, H.P., 2014. A Bayesian modeling approach for estimation of a shape-free groundwater age distribution using multiple tracers. Appl. Geochemistry 50, 252–264. doi:10.1016/j.apgeochem.2013.10.004</w:t>
      </w:r>
    </w:p>
    <w:p w14:paraId="728C5674"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Mayer, A., Sültenfuss, J., Travi, Y., Rebeix, R., Purtschert, R., Claude, C., Le Gal La Salle, C., Miche, H., Conchetto, E., 2014. A multi-tracer study of groundwater origin and transit-time in the aquifers of the Venice region (Italy). Appl. Geochemistry 50, 177–198. doi:10.1016/j.apgeochem.2013.10.009</w:t>
      </w:r>
    </w:p>
    <w:p w14:paraId="0CDDA211"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Mccallum, J.L., Cook, P.G., Dogramaci, S., Purtschert, R., Simmons, C.T., Burk, L., 2017. Identifying modern and historic recharge events from tracer- derived groundwater age distributions. Water Resour. Res. 53, 1039–1056. doi:10.1002/2013WR014979.Reply</w:t>
      </w:r>
    </w:p>
    <w:p w14:paraId="2D9F10D0"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lastRenderedPageBreak/>
        <w:t>McMahon, P.B., Carney, C.P., Poeter, E.P., Peterson, S.M., 2010. Use of geochemical, isotopic, and age tracer data to develop models of groundwater flow for the purpose of water management, northern High Plains aquifer, USA. Appl. Geochemistry 25, 910–922. doi:10.1016/j.apgeochem.2010.04.001</w:t>
      </w:r>
    </w:p>
    <w:p w14:paraId="4A54BC9A"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Mejías, M., Renard, P., Glenz, D., 2009. Hydraulic testing of low-permeability formations. A case study in the granite of Cadalso de los Vidrios, Spain. Eng. Geol. 107, 88–97. doi:10.1016/j.enggeo.2009.05.010</w:t>
      </w:r>
    </w:p>
    <w:p w14:paraId="2FD42CE6" w14:textId="77777777" w:rsidR="00ED421F" w:rsidRPr="00444A13" w:rsidRDefault="00ED421F" w:rsidP="00ED421F">
      <w:pPr>
        <w:widowControl w:val="0"/>
        <w:autoSpaceDE w:val="0"/>
        <w:autoSpaceDN w:val="0"/>
        <w:adjustRightInd w:val="0"/>
        <w:spacing w:line="480" w:lineRule="auto"/>
        <w:ind w:left="480" w:hanging="480"/>
        <w:rPr>
          <w:noProof/>
          <w:szCs w:val="24"/>
          <w:lang w:val="es-ES_tradnl"/>
        </w:rPr>
      </w:pPr>
      <w:r w:rsidRPr="00ED421F">
        <w:rPr>
          <w:noProof/>
          <w:szCs w:val="24"/>
        </w:rPr>
        <w:t xml:space="preserve">Michel, R.L., 2004. Tritium hydrology of the Mississippi River basin. </w:t>
      </w:r>
      <w:r w:rsidRPr="00444A13">
        <w:rPr>
          <w:noProof/>
          <w:szCs w:val="24"/>
          <w:lang w:val="es-ES_tradnl"/>
        </w:rPr>
        <w:t>Hydrol. Process. 18, 1255–1269. doi:10.1002/hyp.1403</w:t>
      </w:r>
    </w:p>
    <w:p w14:paraId="79CB3BEF"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444A13">
        <w:rPr>
          <w:noProof/>
          <w:szCs w:val="24"/>
          <w:lang w:val="es-ES_tradnl"/>
        </w:rPr>
        <w:t xml:space="preserve">Montalván, F.J., Heredia, J., Ruiz, J.M., Pardo-Iguzquiza, E., García de Domingo, A., Elorza, F.J., 2017. </w:t>
      </w:r>
      <w:r w:rsidRPr="00ED421F">
        <w:rPr>
          <w:noProof/>
          <w:szCs w:val="24"/>
        </w:rPr>
        <w:t>Hydrochemical and isotopes studies in a hypersaline wetland to define the hydrogeological conceptual model: Fuente de Piedra Lake (Malaga, Spain). Sci. Total Environ. 576, 335–346. doi:10.1016/j.scitotenv.2016.10.048</w:t>
      </w:r>
    </w:p>
    <w:p w14:paraId="04C72B80"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Müller, T., Osenbrück, K., Strauch, G., Pavetich, S., Al-Mashaikhi, K.S., Herb, C., Merchel, S., Rugel, G., Aeschbach, W., Sanford, W., 2016. Use of multiple age tracers to estimate groundwater residence times and long-term recharge rates in arid southern Oman. Appl. Geochemistry 74, 67–83. doi:10.1016/j.apgeochem.2016.08.012</w:t>
      </w:r>
    </w:p>
    <w:p w14:paraId="67DC81B9"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Neuzil, C.E., 1986. Groundwater Flow in Low</w:t>
      </w:r>
      <w:r w:rsidRPr="00ED421F">
        <w:rPr>
          <w:rFonts w:ascii="Cambria Math" w:hAnsi="Cambria Math" w:cs="Cambria Math"/>
          <w:noProof/>
          <w:szCs w:val="24"/>
        </w:rPr>
        <w:t>‐</w:t>
      </w:r>
      <w:r w:rsidRPr="00ED421F">
        <w:rPr>
          <w:noProof/>
          <w:szCs w:val="24"/>
        </w:rPr>
        <w:t>Permeability Environments. Water Resour. Res. 22, 1163–1195. doi:10.1029/WR022i008p01163</w:t>
      </w:r>
    </w:p>
    <w:p w14:paraId="11698734"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Ozima, M., Podosek, F.A., 1983. Noble Gas Geochemistry. Cambridge University Press, Cambridge.</w:t>
      </w:r>
    </w:p>
    <w:p w14:paraId="18748612"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 xml:space="preserve">Parkhurst, D.L., Appelo, C.A.J., 2013. Description of Input and Examples for PHREEQC </w:t>
      </w:r>
      <w:r w:rsidRPr="00ED421F">
        <w:rPr>
          <w:noProof/>
          <w:szCs w:val="24"/>
        </w:rPr>
        <w:lastRenderedPageBreak/>
        <w:t>Version 3—A Computer Program for Speciation, Batch-Reaction, One-Dimensional Transport, and Inverse Geochemical Calculations, in: Modelling Techniques.</w:t>
      </w:r>
    </w:p>
    <w:p w14:paraId="49483283"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Plummer, L.N., Busenberg, E., Han, L.F., 2006. CFCs in binary mixture of young and old groundwater., in: Use of Chlorofluorocarbons in Hydrology: A Guidebook. International Atomic Energy Agency, pp. 72–59.</w:t>
      </w:r>
    </w:p>
    <w:p w14:paraId="71C69A7D"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Poreda, R.J., Cerling, T.E., Salomon, D.K., 1988. Tritium and helium isotopes as hydrologic tracers in a shallow unconfined aquifer. J. Hydrol. 103, 1–9. doi:10.1016/0022-1694(88)90002-9</w:t>
      </w:r>
    </w:p>
    <w:p w14:paraId="6B219183"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Randal, M.A., 1967. Groundwater in the Barkly Tableland, N.T: Camberra.</w:t>
      </w:r>
    </w:p>
    <w:p w14:paraId="01D84235" w14:textId="77777777" w:rsidR="00ED421F" w:rsidRPr="00444A13" w:rsidRDefault="00ED421F" w:rsidP="00ED421F">
      <w:pPr>
        <w:widowControl w:val="0"/>
        <w:autoSpaceDE w:val="0"/>
        <w:autoSpaceDN w:val="0"/>
        <w:adjustRightInd w:val="0"/>
        <w:spacing w:line="480" w:lineRule="auto"/>
        <w:ind w:left="480" w:hanging="480"/>
        <w:rPr>
          <w:noProof/>
          <w:szCs w:val="24"/>
          <w:lang w:val="es-ES_tradnl"/>
        </w:rPr>
      </w:pPr>
      <w:r w:rsidRPr="00444A13">
        <w:rPr>
          <w:noProof/>
          <w:szCs w:val="24"/>
          <w:lang w:val="es-ES_tradnl"/>
        </w:rPr>
        <w:t xml:space="preserve">Rodríguez-Rodríguez, M., Benavente, J., Cruz-San Julián, J.J., Moral Martos, F., 2006. </w:t>
      </w:r>
      <w:r w:rsidRPr="00ED421F">
        <w:rPr>
          <w:noProof/>
          <w:szCs w:val="24"/>
        </w:rPr>
        <w:t xml:space="preserve">Estimation of ground-water exchange with semi-arid playa lakes (Antequera region, southern Spain). </w:t>
      </w:r>
      <w:r w:rsidRPr="00444A13">
        <w:rPr>
          <w:noProof/>
          <w:szCs w:val="24"/>
          <w:lang w:val="es-ES_tradnl"/>
        </w:rPr>
        <w:t>J. Arid Environ. 66, 272–289. doi:10.1016/j.jaridenv.2005.10.018</w:t>
      </w:r>
    </w:p>
    <w:p w14:paraId="6070A938" w14:textId="77777777" w:rsidR="00ED421F" w:rsidRPr="00444A13" w:rsidRDefault="00ED421F" w:rsidP="00ED421F">
      <w:pPr>
        <w:widowControl w:val="0"/>
        <w:autoSpaceDE w:val="0"/>
        <w:autoSpaceDN w:val="0"/>
        <w:adjustRightInd w:val="0"/>
        <w:spacing w:line="480" w:lineRule="auto"/>
        <w:ind w:left="480" w:hanging="480"/>
        <w:rPr>
          <w:noProof/>
          <w:szCs w:val="24"/>
          <w:lang w:val="es-ES_tradnl"/>
        </w:rPr>
      </w:pPr>
      <w:r w:rsidRPr="00444A13">
        <w:rPr>
          <w:noProof/>
          <w:szCs w:val="24"/>
          <w:lang w:val="es-ES_tradnl"/>
        </w:rPr>
        <w:t xml:space="preserve">Rodríguez-Rodríguez, M., Moral, F., Benavente, J., 2007. </w:t>
      </w:r>
      <w:r w:rsidRPr="00ED421F">
        <w:rPr>
          <w:noProof/>
          <w:szCs w:val="24"/>
        </w:rPr>
        <w:t xml:space="preserve">Hydro-morphological characteristics and hydrogeological functioning of a wetland system: a case study in southern Spain. </w:t>
      </w:r>
      <w:r w:rsidRPr="00444A13">
        <w:rPr>
          <w:noProof/>
          <w:szCs w:val="24"/>
          <w:lang w:val="es-ES_tradnl"/>
        </w:rPr>
        <w:t>Environ. Geol. 52, 1375–1386. doi:10.1007/s00254-006-0580-y</w:t>
      </w:r>
    </w:p>
    <w:p w14:paraId="5D18AB80" w14:textId="77777777" w:rsidR="00ED421F" w:rsidRPr="00444A13" w:rsidRDefault="00ED421F" w:rsidP="00ED421F">
      <w:pPr>
        <w:widowControl w:val="0"/>
        <w:autoSpaceDE w:val="0"/>
        <w:autoSpaceDN w:val="0"/>
        <w:adjustRightInd w:val="0"/>
        <w:spacing w:line="480" w:lineRule="auto"/>
        <w:ind w:left="480" w:hanging="480"/>
        <w:rPr>
          <w:noProof/>
          <w:szCs w:val="24"/>
          <w:lang w:val="es-ES_tradnl"/>
        </w:rPr>
      </w:pPr>
      <w:r w:rsidRPr="00444A13">
        <w:rPr>
          <w:noProof/>
          <w:szCs w:val="24"/>
          <w:lang w:val="es-ES_tradnl"/>
        </w:rPr>
        <w:t xml:space="preserve">Rodríguez-Rodríguez, M., Moral, F., Benavente, J., Beltrán, M., 2010. </w:t>
      </w:r>
      <w:r w:rsidRPr="00ED421F">
        <w:rPr>
          <w:noProof/>
          <w:szCs w:val="24"/>
        </w:rPr>
        <w:t xml:space="preserve">Developing hydrological indices in semi-arid playa-lakes by analyzing their main morphometric, climatic and hydrochemical characteristics. </w:t>
      </w:r>
      <w:r w:rsidRPr="00444A13">
        <w:rPr>
          <w:noProof/>
          <w:szCs w:val="24"/>
          <w:lang w:val="es-ES_tradnl"/>
        </w:rPr>
        <w:t>J. Arid Environ. 74, 1478–1486. doi:10.1016/j.jaridenv.2010.03.018</w:t>
      </w:r>
    </w:p>
    <w:p w14:paraId="16783C66"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444A13">
        <w:rPr>
          <w:noProof/>
          <w:szCs w:val="24"/>
          <w:lang w:val="es-ES_tradnl"/>
        </w:rPr>
        <w:t xml:space="preserve">Rowe, R.K., Nadarajah, P., 1993. </w:t>
      </w:r>
      <w:r w:rsidRPr="00ED421F">
        <w:rPr>
          <w:noProof/>
          <w:szCs w:val="24"/>
        </w:rPr>
        <w:t>Evaluation of the hydraulic conductivity of aquitards. Can. Geotech. J. 30, 781–800. doi:10.1139/t93-070</w:t>
      </w:r>
    </w:p>
    <w:p w14:paraId="1DB1C1F0"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 xml:space="preserve">Schlosser, P., Stute, M., Dörr, H., Sonntag, C., Münnich, K.O., 1988. Tritium / </w:t>
      </w:r>
      <w:r w:rsidRPr="00ED421F">
        <w:rPr>
          <w:noProof/>
          <w:szCs w:val="24"/>
          <w:vertAlign w:val="superscript"/>
        </w:rPr>
        <w:t>3</w:t>
      </w:r>
      <w:r w:rsidRPr="00ED421F">
        <w:rPr>
          <w:noProof/>
          <w:szCs w:val="24"/>
        </w:rPr>
        <w:t xml:space="preserve">He dating of </w:t>
      </w:r>
      <w:r w:rsidRPr="00ED421F">
        <w:rPr>
          <w:noProof/>
          <w:szCs w:val="24"/>
        </w:rPr>
        <w:lastRenderedPageBreak/>
        <w:t>shallow groundwater. Earth Planet. Sci. Lett. 89, 353–362.</w:t>
      </w:r>
    </w:p>
    <w:p w14:paraId="4769E675"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 xml:space="preserve">Schlosser, P., Stute, M., Sonntag, C., Munnich, K.O., 1989. Tritogenic </w:t>
      </w:r>
      <w:r w:rsidRPr="00ED421F">
        <w:rPr>
          <w:noProof/>
          <w:szCs w:val="24"/>
          <w:vertAlign w:val="superscript"/>
        </w:rPr>
        <w:t>3</w:t>
      </w:r>
      <w:r w:rsidRPr="00ED421F">
        <w:rPr>
          <w:noProof/>
          <w:szCs w:val="24"/>
        </w:rPr>
        <w:t>He in shallow groundwater. Earth Planet. Sci. Lett. 94, 245–256.</w:t>
      </w:r>
    </w:p>
    <w:p w14:paraId="44BB0147"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Schwartz, F.W., Domenico, P.A., 1973. Simulation of Hydrochemical Patterns in Regional Groundwater Flow. Water Resour. Res. 9, 707–720.</w:t>
      </w:r>
    </w:p>
    <w:p w14:paraId="552CD469"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 xml:space="preserve">Solomon, D.K., 2000. </w:t>
      </w:r>
      <w:r w:rsidRPr="00ED421F">
        <w:rPr>
          <w:noProof/>
          <w:szCs w:val="24"/>
          <w:vertAlign w:val="superscript"/>
        </w:rPr>
        <w:t>4</w:t>
      </w:r>
      <w:r w:rsidRPr="00ED421F">
        <w:rPr>
          <w:noProof/>
          <w:szCs w:val="24"/>
        </w:rPr>
        <w:t>He in groundwater, in: Cook, P.G., Herczeg, A.L. (Eds.), Environmental Tracers in Subsurface Hydrology. Springer Science+Business Media.</w:t>
      </w:r>
    </w:p>
    <w:p w14:paraId="33DDB542"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 xml:space="preserve">Solomon, D.K., Cook, Peter G., 2000. </w:t>
      </w:r>
      <w:r w:rsidRPr="00ED421F">
        <w:rPr>
          <w:noProof/>
          <w:szCs w:val="24"/>
          <w:vertAlign w:val="superscript"/>
        </w:rPr>
        <w:t>3</w:t>
      </w:r>
      <w:r w:rsidRPr="00ED421F">
        <w:rPr>
          <w:noProof/>
          <w:szCs w:val="24"/>
        </w:rPr>
        <w:t xml:space="preserve">H and </w:t>
      </w:r>
      <w:r w:rsidRPr="00ED421F">
        <w:rPr>
          <w:noProof/>
          <w:szCs w:val="24"/>
          <w:vertAlign w:val="superscript"/>
        </w:rPr>
        <w:t>3</w:t>
      </w:r>
      <w:r w:rsidRPr="00ED421F">
        <w:rPr>
          <w:noProof/>
          <w:szCs w:val="24"/>
        </w:rPr>
        <w:t>He, in: Cook, P.G., Herczeg, A.L. (Eds.), Environmental Tracers in Subsurface Hydrology. Springer Science+Business Media.</w:t>
      </w:r>
    </w:p>
    <w:p w14:paraId="5B7F7B25"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Solomon, D.K., Genereux, D.P., Plummer, L.N., Busenberg, E., 2010. Testing mixing models of old and young groundwater in a tropical lowland rain forest with environmental tracers. Water Resour. Res. 46, 1–14. doi:10.1029/2009WR008341</w:t>
      </w:r>
    </w:p>
    <w:p w14:paraId="44A40FEF"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Solomon, D.K., Hunt, A., Poreda, R.J., 1996. Source of radiogenic helium 4 in shallow aquifers: Implications for dating young groundwater. Water Resour. Res. 32, 1805–1813. doi:10.1029/96WR00600</w:t>
      </w:r>
    </w:p>
    <w:p w14:paraId="65042754"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Stanton, J.S., Landon, M.K., Turco, M.J., 2007. Ground-Water Age and Quality in the High Plains Aquifer near Seward, Nebraska, 2003–04. Reston, Virginia.</w:t>
      </w:r>
    </w:p>
    <w:p w14:paraId="6B65A3BF"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Stolp, B.J., Solomon, D.K., Suckow, A., Vitvar, T., Rank, D., Aggarwal, P.K., Han, L.F., 2010. Age dating base flow at springs and gaining streams using helium-3 and tritium: Fischa-Dagnitz system, southern Vienna Basin, Austria. Water Resour. Res. 46, 1–13. doi:10.1029/2009WR008006</w:t>
      </w:r>
    </w:p>
    <w:p w14:paraId="3547B53F"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 xml:space="preserve">Suckow, A., 2014. The age of groundwater - Definitions, models and why we do not need </w:t>
      </w:r>
      <w:r w:rsidRPr="00ED421F">
        <w:rPr>
          <w:noProof/>
          <w:szCs w:val="24"/>
        </w:rPr>
        <w:lastRenderedPageBreak/>
        <w:t>this term. Appl. Geochemistry 50, 222–230. doi:10.1016/j.apgeochem.2014.04.016</w:t>
      </w:r>
    </w:p>
    <w:p w14:paraId="1B010A3B"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 xml:space="preserve">Sültenfuss, J., Purtschert, R., Führböter, J.F., 2011. Age structure and recharge conditions of a coastal aquifer ( northern Germany ) investigated with </w:t>
      </w:r>
      <w:r w:rsidRPr="00ED421F">
        <w:rPr>
          <w:noProof/>
          <w:szCs w:val="24"/>
          <w:vertAlign w:val="superscript"/>
        </w:rPr>
        <w:t>39</w:t>
      </w:r>
      <w:r w:rsidRPr="00ED421F">
        <w:rPr>
          <w:noProof/>
          <w:szCs w:val="24"/>
        </w:rPr>
        <w:t xml:space="preserve">Ar, </w:t>
      </w:r>
      <w:r w:rsidRPr="00ED421F">
        <w:rPr>
          <w:noProof/>
          <w:szCs w:val="24"/>
          <w:vertAlign w:val="superscript"/>
        </w:rPr>
        <w:t>14</w:t>
      </w:r>
      <w:r w:rsidRPr="00ED421F">
        <w:rPr>
          <w:noProof/>
          <w:szCs w:val="24"/>
        </w:rPr>
        <w:t xml:space="preserve">C, </w:t>
      </w:r>
      <w:r w:rsidRPr="00ED421F">
        <w:rPr>
          <w:noProof/>
          <w:szCs w:val="24"/>
          <w:vertAlign w:val="superscript"/>
        </w:rPr>
        <w:t>3</w:t>
      </w:r>
      <w:r w:rsidRPr="00ED421F">
        <w:rPr>
          <w:noProof/>
          <w:szCs w:val="24"/>
        </w:rPr>
        <w:t>H, He isotopes and Ne. Hydrogeol. J. 19, 221–236. doi:10.1007/s10040-010-0663-4</w:t>
      </w:r>
    </w:p>
    <w:p w14:paraId="11F232D5"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Sültenfuss, J., Roether, W., Rhein, M., 2009. The Bremen mass spectrometric facility for the measurement of helium isotopes, neon, and tritium in water. Isotopes Environ. Health Stud. 45, 83–95. doi:10.1080/10256010902871929</w:t>
      </w:r>
    </w:p>
    <w:p w14:paraId="1394CE1A"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Thomas, J.M., Hudson, G.B., Stute, M., Clark, J.F., 2003. Noble gas loss may indicate groundwater flow across flow barriers in Southern Nevada. Environ. Geol. 43, 568–579. doi:DOI 10.1007/s00254-002-0681-1</w:t>
      </w:r>
    </w:p>
    <w:p w14:paraId="4EB3822D"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 xml:space="preserve">Torgersen, T., Clarke, W.B., 1985. Helium accumulation in groundwater I: An evaluation of sources and the continental flux of crustal </w:t>
      </w:r>
      <w:r w:rsidRPr="00ED421F">
        <w:rPr>
          <w:noProof/>
          <w:szCs w:val="24"/>
          <w:vertAlign w:val="superscript"/>
        </w:rPr>
        <w:t>4</w:t>
      </w:r>
      <w:r w:rsidRPr="00ED421F">
        <w:rPr>
          <w:noProof/>
          <w:szCs w:val="24"/>
        </w:rPr>
        <w:t>He in the Great Artesian Basin, Australia. Geochim. Cosmochim. Acta 49, 1211–1218. doi:10.1016/0016-7037(85)90244-3</w:t>
      </w:r>
    </w:p>
    <w:p w14:paraId="5795E42B"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Torgersen, T., Clarke, W.B., Jenkins, W.J., 1978. The tritium/helium-3 method in hydrology, in: Isotope Hydrology 1978, IAEA Symposium. Neuherberg, Germany.</w:t>
      </w:r>
    </w:p>
    <w:p w14:paraId="2C5F2E13"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Torgersen, T., Stute, M., 2013. Helium (and other noble gases) as a tool for understanding long timescale groundwater transport, in: Isotope Methods for Dating Old Groundwater. International Atomic Energy Agency.</w:t>
      </w:r>
    </w:p>
    <w:p w14:paraId="5A774A52"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Toth, J., 1963. A Theoretical Analysis of Groundwater Flow in Small Drainage Basins. J. Geophys. Res. 68, 4795–4812. doi:10.1029/JZ068i016p04795</w:t>
      </w:r>
    </w:p>
    <w:p w14:paraId="2D6B0734"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Tóth, J., 1999. Groundwater as a geologic agent: An overview of the causes, processes, and manifestations. Hydrogeol. J. 7, 1–14. doi:10.1007/s100400050176</w:t>
      </w:r>
    </w:p>
    <w:p w14:paraId="7E002071"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lastRenderedPageBreak/>
        <w:t>Tóth, J., 1970. A conceptual model of the groundwater regime and the hydrogeologic environment. J. Hydrol. 10, 164–176. doi:10.1016/0022-1694(70)90186-1</w:t>
      </w:r>
    </w:p>
    <w:p w14:paraId="65E984FC"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Turnadge, C., Smerdon, B.D., 2014. A review of methods for modelling environmental tracers in groundwater: Advantages of tracer concentration simulation. J. Hydrol. 519, 3674–3689. doi:10.1016/j.jhydrol.2014.10.056</w:t>
      </w:r>
    </w:p>
    <w:p w14:paraId="4A9FB427"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UNEP, 1987. Montreal Protocol on Substances that Deplete the Ozone Layer. United Nations Environ. Program. doi:10.1163/15718069620847781</w:t>
      </w:r>
    </w:p>
    <w:p w14:paraId="6BCF18A1"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USGS, 2018. Atmospheric mixing ratios of CFC-11, CFC-12, CFC-113, SF</w:t>
      </w:r>
      <w:r w:rsidRPr="00ED421F">
        <w:rPr>
          <w:noProof/>
          <w:szCs w:val="24"/>
          <w:vertAlign w:val="subscript"/>
        </w:rPr>
        <w:t>6</w:t>
      </w:r>
      <w:r w:rsidRPr="00ED421F">
        <w:rPr>
          <w:noProof/>
          <w:szCs w:val="24"/>
        </w:rPr>
        <w:t xml:space="preserve"> x100, and tritium in precipitations for Northern Hemisphere atmosphere. [WWW Document]. USGS GW Dating Lab Group.</w:t>
      </w:r>
    </w:p>
    <w:p w14:paraId="02F0B7E0" w14:textId="6E1129FF" w:rsidR="00ED421F" w:rsidRPr="00444A13" w:rsidRDefault="00974BD3" w:rsidP="00ED421F">
      <w:pPr>
        <w:widowControl w:val="0"/>
        <w:autoSpaceDE w:val="0"/>
        <w:autoSpaceDN w:val="0"/>
        <w:adjustRightInd w:val="0"/>
        <w:spacing w:line="480" w:lineRule="auto"/>
        <w:ind w:left="480" w:hanging="480"/>
        <w:rPr>
          <w:noProof/>
          <w:szCs w:val="24"/>
          <w:lang w:val="es-ES_tradnl"/>
        </w:rPr>
      </w:pPr>
      <w:r>
        <w:rPr>
          <w:noProof/>
          <w:szCs w:val="24"/>
        </w:rPr>
        <w:t>V</w:t>
      </w:r>
      <w:r w:rsidRPr="00ED421F">
        <w:rPr>
          <w:noProof/>
          <w:szCs w:val="24"/>
        </w:rPr>
        <w:t xml:space="preserve">an </w:t>
      </w:r>
      <w:r w:rsidR="00ED421F" w:rsidRPr="00ED421F">
        <w:rPr>
          <w:noProof/>
          <w:szCs w:val="24"/>
        </w:rPr>
        <w:t xml:space="preserve">Engelen, J., Oude Essink, G.H.P., Kooi, H., Bierkens, M.F.P., 2018. On the origins of hypersaline groundwater in the Nile Delta aquifer. </w:t>
      </w:r>
      <w:r w:rsidR="00ED421F" w:rsidRPr="00444A13">
        <w:rPr>
          <w:noProof/>
          <w:szCs w:val="24"/>
          <w:lang w:val="es-ES_tradnl"/>
        </w:rPr>
        <w:t>J. Hydrol. 560, 301–317. doi:10.1016/j.jhydrol.2018.03.029</w:t>
      </w:r>
    </w:p>
    <w:p w14:paraId="67CAC8B1"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444A13">
        <w:rPr>
          <w:noProof/>
          <w:szCs w:val="24"/>
          <w:lang w:val="es-ES_tradnl"/>
        </w:rPr>
        <w:t xml:space="preserve">Vera, J.A., Martín-Algarra, A., 2004. Cordillera Bética, in: Vera, J.A. (Ed.), Geología de España. </w:t>
      </w:r>
      <w:r w:rsidRPr="00ED421F">
        <w:rPr>
          <w:noProof/>
          <w:szCs w:val="24"/>
        </w:rPr>
        <w:t>IGME-SGE, Madrid, pp. 345–464.</w:t>
      </w:r>
    </w:p>
    <w:p w14:paraId="6982109B"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Visser, A., Broers, H.P., Purtschert, R., Sültenfuß, J., de Jonge, M., 2013. Groundwater age distributions at a public drinking water supply well field derived from multiple age tracers (</w:t>
      </w:r>
      <w:r w:rsidRPr="00ED421F">
        <w:rPr>
          <w:noProof/>
          <w:szCs w:val="24"/>
          <w:vertAlign w:val="superscript"/>
        </w:rPr>
        <w:t>85</w:t>
      </w:r>
      <w:r w:rsidRPr="00ED421F">
        <w:rPr>
          <w:noProof/>
          <w:szCs w:val="24"/>
        </w:rPr>
        <w:t xml:space="preserve">Kr, </w:t>
      </w:r>
      <w:r w:rsidRPr="00ED421F">
        <w:rPr>
          <w:noProof/>
          <w:szCs w:val="24"/>
          <w:vertAlign w:val="superscript"/>
        </w:rPr>
        <w:t>3</w:t>
      </w:r>
      <w:r w:rsidRPr="00ED421F">
        <w:rPr>
          <w:noProof/>
          <w:szCs w:val="24"/>
        </w:rPr>
        <w:t>H/</w:t>
      </w:r>
      <w:r w:rsidRPr="00ED421F">
        <w:rPr>
          <w:noProof/>
          <w:szCs w:val="24"/>
          <w:vertAlign w:val="superscript"/>
        </w:rPr>
        <w:t>3</w:t>
      </w:r>
      <w:r w:rsidRPr="00ED421F">
        <w:rPr>
          <w:noProof/>
          <w:szCs w:val="24"/>
        </w:rPr>
        <w:t xml:space="preserve">He, and </w:t>
      </w:r>
      <w:r w:rsidRPr="00ED421F">
        <w:rPr>
          <w:noProof/>
          <w:szCs w:val="24"/>
          <w:vertAlign w:val="superscript"/>
        </w:rPr>
        <w:t>39</w:t>
      </w:r>
      <w:r w:rsidRPr="00ED421F">
        <w:rPr>
          <w:noProof/>
          <w:szCs w:val="24"/>
        </w:rPr>
        <w:t>Ar). Water Resour. Res. 49, 7778–7796. doi:10.1002/2013WR014012</w:t>
      </w:r>
    </w:p>
    <w:p w14:paraId="3DC40724" w14:textId="23850EA7" w:rsidR="00ED421F" w:rsidRPr="00ED421F" w:rsidRDefault="00974BD3" w:rsidP="00ED421F">
      <w:pPr>
        <w:widowControl w:val="0"/>
        <w:autoSpaceDE w:val="0"/>
        <w:autoSpaceDN w:val="0"/>
        <w:adjustRightInd w:val="0"/>
        <w:spacing w:line="480" w:lineRule="auto"/>
        <w:ind w:left="480" w:hanging="480"/>
        <w:rPr>
          <w:noProof/>
          <w:szCs w:val="24"/>
        </w:rPr>
      </w:pPr>
      <w:r>
        <w:rPr>
          <w:noProof/>
          <w:szCs w:val="24"/>
        </w:rPr>
        <w:t>V</w:t>
      </w:r>
      <w:r w:rsidRPr="00ED421F">
        <w:rPr>
          <w:noProof/>
          <w:szCs w:val="24"/>
        </w:rPr>
        <w:t xml:space="preserve">on </w:t>
      </w:r>
      <w:r w:rsidR="00ED421F" w:rsidRPr="00ED421F">
        <w:rPr>
          <w:noProof/>
          <w:szCs w:val="24"/>
        </w:rPr>
        <w:t>Rohden, C., Kreuzer, A., Chen Zongyu, Z., Aeschbach-Hertig, W., 2010. Accumulation of natural SF</w:t>
      </w:r>
      <w:r w:rsidR="00ED421F" w:rsidRPr="00444A13">
        <w:rPr>
          <w:noProof/>
          <w:szCs w:val="24"/>
          <w:vertAlign w:val="subscript"/>
        </w:rPr>
        <w:t>6</w:t>
      </w:r>
      <w:r>
        <w:rPr>
          <w:noProof/>
          <w:szCs w:val="24"/>
        </w:rPr>
        <w:t xml:space="preserve"> </w:t>
      </w:r>
      <w:r w:rsidR="00ED421F" w:rsidRPr="00ED421F">
        <w:rPr>
          <w:noProof/>
          <w:szCs w:val="24"/>
        </w:rPr>
        <w:t xml:space="preserve">in the sedimentary aquifers of the North China Plain as a restriction on groundwater dating. Isotopes Environ. Health Stud. 46, 279–290. </w:t>
      </w:r>
      <w:r w:rsidR="00ED421F" w:rsidRPr="00ED421F">
        <w:rPr>
          <w:noProof/>
          <w:szCs w:val="24"/>
        </w:rPr>
        <w:lastRenderedPageBreak/>
        <w:t>doi:10.1080/10256016.2010.494771</w:t>
      </w:r>
    </w:p>
    <w:p w14:paraId="2452BB15"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Wanninkhof, R., Ledwell, J.R., Watson, A.J., 1991. Analysis of sulfur hexafluoride in seawater. J. Geophys. Res. 96, 8733. doi:10.1029/91JC00104</w:t>
      </w:r>
    </w:p>
    <w:p w14:paraId="14DFE7A7"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Warner, M.J., Weiss, R.F., 1985. Solubilities of chlorofluorocarbons 11 and 12 in water and seawater. Deep Sea Res. Part A. Oceanogr. Res. Pap. 32, 1485–1497. doi:10.1016/0198-0149(85)90099-8</w:t>
      </w:r>
    </w:p>
    <w:p w14:paraId="6CC6AF08"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Waugh, D.W., Hall, T.M., Haine, T.W.N., 2003. Relationships among tracer ages. J. Geophys. Res. 108, 3138. doi:10.1029/2002JC001325</w:t>
      </w:r>
    </w:p>
    <w:p w14:paraId="1D35BD0B"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Wei, W., Aeschbach-Hertig, W., Chen, Z., 2015. Identification of He sources and estimation of He ages in groundwater of the North China Plain. Appl. Geochemistry 63, 182–189. doi:10.1016/j.apgeochem.2015.08.010</w:t>
      </w:r>
    </w:p>
    <w:p w14:paraId="31A221A5"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Weiss, R.F., 1971. Solubility of Helium and Neon in Water and Seawater. J. Chem. Eng. Dta 16, 235–241.</w:t>
      </w:r>
    </w:p>
    <w:p w14:paraId="33F177D5"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White, W.B., 1988. Geomorphology and Hydrology of Karst Terrains.</w:t>
      </w:r>
    </w:p>
    <w:p w14:paraId="518EE565"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Winter, T.C., 1999. Relation of streams, lakes, and wetlands to groundwater flow systems. Hydrogeol. J. 7, 28–45. doi:10.1007/s100400050178</w:t>
      </w:r>
    </w:p>
    <w:p w14:paraId="72032450"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Xu, N., Gong, J., Yang, G., 2018. Using environmental isotopes along with major hydro-geochemical compositions to assess deep groundwater formation and evolution in eastern coastal China. J. Contam. Hydrol. 208, 1–9. doi:10.1016/j.jconhyd.2017.11.003</w:t>
      </w:r>
    </w:p>
    <w:p w14:paraId="7D94FBFB" w14:textId="77777777" w:rsidR="00ED421F" w:rsidRPr="00ED421F" w:rsidRDefault="00ED421F" w:rsidP="00ED421F">
      <w:pPr>
        <w:widowControl w:val="0"/>
        <w:autoSpaceDE w:val="0"/>
        <w:autoSpaceDN w:val="0"/>
        <w:adjustRightInd w:val="0"/>
        <w:spacing w:line="480" w:lineRule="auto"/>
        <w:ind w:left="480" w:hanging="480"/>
        <w:rPr>
          <w:noProof/>
          <w:szCs w:val="24"/>
        </w:rPr>
      </w:pPr>
      <w:r w:rsidRPr="00ED421F">
        <w:rPr>
          <w:noProof/>
          <w:szCs w:val="24"/>
        </w:rPr>
        <w:t>Zen, E.-A., 1965. Solubility Measurements in the System CaSO</w:t>
      </w:r>
      <w:r w:rsidRPr="00ED421F">
        <w:rPr>
          <w:noProof/>
          <w:szCs w:val="24"/>
          <w:vertAlign w:val="subscript"/>
        </w:rPr>
        <w:t>4</w:t>
      </w:r>
      <w:r w:rsidRPr="00ED421F">
        <w:rPr>
          <w:noProof/>
          <w:szCs w:val="24"/>
        </w:rPr>
        <w:t>-NaCl-H</w:t>
      </w:r>
      <w:r w:rsidRPr="00ED421F">
        <w:rPr>
          <w:noProof/>
          <w:szCs w:val="24"/>
          <w:vertAlign w:val="subscript"/>
        </w:rPr>
        <w:t>2</w:t>
      </w:r>
      <w:r w:rsidRPr="00ED421F">
        <w:rPr>
          <w:noProof/>
          <w:szCs w:val="24"/>
        </w:rPr>
        <w:t>O at 35</w:t>
      </w:r>
      <w:r w:rsidRPr="00ED421F">
        <w:rPr>
          <w:noProof/>
          <w:szCs w:val="24"/>
          <w:vertAlign w:val="superscript"/>
        </w:rPr>
        <w:t>o</w:t>
      </w:r>
      <w:r w:rsidRPr="00ED421F">
        <w:rPr>
          <w:noProof/>
          <w:szCs w:val="24"/>
        </w:rPr>
        <w:t>, 50</w:t>
      </w:r>
      <w:r w:rsidRPr="00ED421F">
        <w:rPr>
          <w:noProof/>
          <w:szCs w:val="24"/>
          <w:vertAlign w:val="superscript"/>
        </w:rPr>
        <w:t>o</w:t>
      </w:r>
      <w:r w:rsidRPr="00ED421F">
        <w:rPr>
          <w:noProof/>
          <w:szCs w:val="24"/>
        </w:rPr>
        <w:t xml:space="preserve"> y 70</w:t>
      </w:r>
      <w:r w:rsidRPr="00ED421F">
        <w:rPr>
          <w:noProof/>
          <w:szCs w:val="24"/>
          <w:vertAlign w:val="superscript"/>
        </w:rPr>
        <w:t>o</w:t>
      </w:r>
      <w:r w:rsidRPr="00ED421F">
        <w:rPr>
          <w:noProof/>
          <w:szCs w:val="24"/>
        </w:rPr>
        <w:t>C at one atmosphere pressure. J. Petrol. 6, 1–41.</w:t>
      </w:r>
    </w:p>
    <w:p w14:paraId="5793D42D" w14:textId="77777777" w:rsidR="00ED421F" w:rsidRPr="00ED421F" w:rsidRDefault="00ED421F" w:rsidP="00ED421F">
      <w:pPr>
        <w:widowControl w:val="0"/>
        <w:autoSpaceDE w:val="0"/>
        <w:autoSpaceDN w:val="0"/>
        <w:adjustRightInd w:val="0"/>
        <w:spacing w:line="480" w:lineRule="auto"/>
        <w:ind w:left="480" w:hanging="480"/>
        <w:rPr>
          <w:noProof/>
        </w:rPr>
      </w:pPr>
      <w:r w:rsidRPr="00ED421F">
        <w:rPr>
          <w:noProof/>
          <w:szCs w:val="24"/>
        </w:rPr>
        <w:lastRenderedPageBreak/>
        <w:t>Zhou, Y., Li, W., 2011. A review of regional groundwater flow modeling. Geosci. Front. 2, 205–214. doi:10.1016/J.GSF.2011.03.003</w:t>
      </w:r>
    </w:p>
    <w:p w14:paraId="2DE6D71E" w14:textId="30ABBFF5" w:rsidR="00BB7183" w:rsidRPr="00194419" w:rsidRDefault="001612E2" w:rsidP="008A3630">
      <w:pPr>
        <w:spacing w:line="480" w:lineRule="auto"/>
        <w:ind w:firstLine="0"/>
      </w:pPr>
      <w:r w:rsidRPr="00194419">
        <w:fldChar w:fldCharType="end"/>
      </w:r>
    </w:p>
    <w:p w14:paraId="5B0BE70B" w14:textId="77777777" w:rsidR="00536025" w:rsidRPr="00194419" w:rsidRDefault="00536025" w:rsidP="008A3630">
      <w:pPr>
        <w:spacing w:line="480" w:lineRule="auto"/>
        <w:ind w:firstLine="0"/>
      </w:pPr>
    </w:p>
    <w:p w14:paraId="6071A80E" w14:textId="77777777" w:rsidR="00194419" w:rsidRPr="00EF5A07" w:rsidRDefault="00194419" w:rsidP="00194419">
      <w:pPr>
        <w:spacing w:line="480" w:lineRule="auto"/>
        <w:rPr>
          <w:szCs w:val="24"/>
        </w:rPr>
      </w:pPr>
      <w:r w:rsidRPr="00194419">
        <w:t xml:space="preserve">Figure 1. (A) Geological sketch of the main units of the Betic Cordillera (S Andalusia), showing the spatial distribution of CSC outcrops and the four study areas selected in this work. Geological-hydrogeological map of Jarales (B), Trias of Antequera (C) and Brujuelo </w:t>
      </w:r>
      <w:r w:rsidRPr="00EF5A07">
        <w:rPr>
          <w:szCs w:val="24"/>
        </w:rPr>
        <w:t>(D) areas.</w:t>
      </w:r>
    </w:p>
    <w:p w14:paraId="3F9AF772" w14:textId="77777777" w:rsidR="00194419" w:rsidRPr="00EF5A07" w:rsidRDefault="00194419" w:rsidP="00194419">
      <w:pPr>
        <w:spacing w:line="480" w:lineRule="auto"/>
        <w:rPr>
          <w:szCs w:val="24"/>
        </w:rPr>
      </w:pPr>
      <w:r w:rsidRPr="00EF5A07">
        <w:rPr>
          <w:szCs w:val="24"/>
        </w:rPr>
        <w:t>Figure 2. Boxplots of EC, T, Cl</w:t>
      </w:r>
      <w:r w:rsidRPr="00EF5A07">
        <w:rPr>
          <w:szCs w:val="24"/>
          <w:vertAlign w:val="superscript"/>
        </w:rPr>
        <w:t>-</w:t>
      </w:r>
      <w:r w:rsidRPr="00EF5A07">
        <w:rPr>
          <w:szCs w:val="24"/>
        </w:rPr>
        <w:t>, SO</w:t>
      </w:r>
      <w:r w:rsidRPr="00EF5A07">
        <w:rPr>
          <w:szCs w:val="24"/>
          <w:vertAlign w:val="subscript"/>
        </w:rPr>
        <w:t>4</w:t>
      </w:r>
      <w:r w:rsidRPr="00EF5A07">
        <w:rPr>
          <w:szCs w:val="24"/>
          <w:vertAlign w:val="superscript"/>
        </w:rPr>
        <w:t>2-</w:t>
      </w:r>
      <w:r w:rsidRPr="00EF5A07">
        <w:rPr>
          <w:szCs w:val="24"/>
        </w:rPr>
        <w:t xml:space="preserve"> and rCl</w:t>
      </w:r>
      <w:r w:rsidRPr="00EF5A07">
        <w:rPr>
          <w:szCs w:val="24"/>
          <w:vertAlign w:val="superscript"/>
        </w:rPr>
        <w:t>-</w:t>
      </w:r>
      <w:r w:rsidRPr="00EF5A07">
        <w:rPr>
          <w:szCs w:val="24"/>
        </w:rPr>
        <w:t>/SO</w:t>
      </w:r>
      <w:r w:rsidRPr="00EF5A07">
        <w:rPr>
          <w:szCs w:val="24"/>
          <w:vertAlign w:val="subscript"/>
        </w:rPr>
        <w:t>4</w:t>
      </w:r>
      <w:r w:rsidRPr="00EF5A07">
        <w:rPr>
          <w:szCs w:val="24"/>
          <w:vertAlign w:val="superscript"/>
        </w:rPr>
        <w:t>2-</w:t>
      </w:r>
      <w:r w:rsidRPr="00EF5A07">
        <w:rPr>
          <w:szCs w:val="24"/>
        </w:rPr>
        <w:t xml:space="preserve"> data of spring waters, classified by study area and sorted by decreasing altitude (m a.s.l.), indicated in brackets. Mean air T values (</w:t>
      </w:r>
      <w:r w:rsidRPr="00EF5A07">
        <w:rPr>
          <w:szCs w:val="24"/>
        </w:rPr>
        <w:fldChar w:fldCharType="begin" w:fldLock="1"/>
      </w:r>
      <w:r w:rsidRPr="00EF5A07">
        <w:rPr>
          <w:szCs w:val="24"/>
        </w:rPr>
        <w:instrText>ADDIN CSL_CITATION {"citationItems":[{"id":"ITEM-1","itemData":{"ISBN":"9788491639114","abstract":"Tesis Univ. Granada.","author":[{"dropping-particle":"","family":"Gil Márquez","given":"José Manuel","non-dropping-particle":"","parse-names":false,"suffix":""}],"id":"ITEM-1","issued":{"date-parts":[["2018","6","26"]]},"number-of-pages":"490","publisher":"Universidad de Granada","title":"Caracterización hidrogeológica de humedales y manantiales salinos asociados a acuíferos kársticos evaporíticos del sector central del subbético","type":"thesis"},"uris":["http://www.mendeley.com/documents/?uuid=a7565c0a-b396-37e7-bd01-51c24dd13f06"]}],"mendeley":{"formattedCitation":"(Gil Márquez, 2018)","manualFormatting":"Gil Márquez, 2018)","plainTextFormattedCitation":"(Gil Márquez, 2018)","previouslyFormattedCitation":"(Gil Márquez, 2018)"},"properties":{"noteIndex":0},"schema":"https://github.com/citation-style-language/schema/raw/master/csl-citation.json"}</w:instrText>
      </w:r>
      <w:r w:rsidRPr="00EF5A07">
        <w:rPr>
          <w:szCs w:val="24"/>
        </w:rPr>
        <w:fldChar w:fldCharType="separate"/>
      </w:r>
      <w:r w:rsidRPr="00EF5A07">
        <w:rPr>
          <w:noProof/>
          <w:szCs w:val="24"/>
        </w:rPr>
        <w:t>Gil Márquez, 2018)</w:t>
      </w:r>
      <w:r w:rsidRPr="00EF5A07">
        <w:rPr>
          <w:szCs w:val="24"/>
        </w:rPr>
        <w:fldChar w:fldCharType="end"/>
      </w:r>
      <w:r w:rsidRPr="00EF5A07">
        <w:rPr>
          <w:szCs w:val="24"/>
        </w:rPr>
        <w:t xml:space="preserve"> are represented by dashed red lines.</w:t>
      </w:r>
    </w:p>
    <w:p w14:paraId="37F7ED6B" w14:textId="26E836CC" w:rsidR="00194419" w:rsidRPr="00EF5A07" w:rsidRDefault="00194419" w:rsidP="00194419">
      <w:pPr>
        <w:spacing w:line="480" w:lineRule="auto"/>
        <w:rPr>
          <w:szCs w:val="24"/>
        </w:rPr>
      </w:pPr>
      <w:r w:rsidRPr="00EF5A07">
        <w:rPr>
          <w:szCs w:val="24"/>
        </w:rPr>
        <w:t xml:space="preserve">Figure 3. </w:t>
      </w:r>
      <w:r w:rsidRPr="00EF5A07">
        <w:rPr>
          <w:szCs w:val="24"/>
          <w:vertAlign w:val="superscript"/>
        </w:rPr>
        <w:t>3</w:t>
      </w:r>
      <w:r w:rsidRPr="00EF5A07">
        <w:rPr>
          <w:szCs w:val="24"/>
        </w:rPr>
        <w:t>H concentration in spring water samples and corresponding sampling date (</w:t>
      </w:r>
      <w:r w:rsidR="007613C8">
        <w:rPr>
          <w:szCs w:val="24"/>
        </w:rPr>
        <w:t>right box</w:t>
      </w:r>
      <w:r w:rsidRPr="00EF5A07">
        <w:rPr>
          <w:szCs w:val="24"/>
        </w:rPr>
        <w:t xml:space="preserve">) or </w:t>
      </w:r>
      <w:r w:rsidRPr="00EF5A07">
        <w:rPr>
          <w:szCs w:val="24"/>
          <w:vertAlign w:val="superscript"/>
        </w:rPr>
        <w:t>3</w:t>
      </w:r>
      <w:r w:rsidRPr="00EF5A07">
        <w:rPr>
          <w:szCs w:val="24"/>
        </w:rPr>
        <w:t>H/</w:t>
      </w:r>
      <w:r w:rsidRPr="00EF5A07">
        <w:rPr>
          <w:szCs w:val="24"/>
          <w:vertAlign w:val="superscript"/>
        </w:rPr>
        <w:t>3</w:t>
      </w:r>
      <w:r w:rsidRPr="00EF5A07">
        <w:rPr>
          <w:szCs w:val="24"/>
        </w:rPr>
        <w:t>He ages (</w:t>
      </w:r>
      <w:r w:rsidR="007613C8">
        <w:rPr>
          <w:szCs w:val="24"/>
        </w:rPr>
        <w:t>left box</w:t>
      </w:r>
      <w:r w:rsidRPr="00EF5A07">
        <w:rPr>
          <w:szCs w:val="24"/>
        </w:rPr>
        <w:t xml:space="preserve">). Note that there are less </w:t>
      </w:r>
      <w:r w:rsidRPr="00EF5A07">
        <w:rPr>
          <w:szCs w:val="24"/>
          <w:vertAlign w:val="superscript"/>
        </w:rPr>
        <w:t>3</w:t>
      </w:r>
      <w:r w:rsidRPr="00EF5A07">
        <w:rPr>
          <w:szCs w:val="24"/>
        </w:rPr>
        <w:t>H/</w:t>
      </w:r>
      <w:r w:rsidRPr="00EF5A07">
        <w:rPr>
          <w:szCs w:val="24"/>
          <w:vertAlign w:val="superscript"/>
        </w:rPr>
        <w:t>3</w:t>
      </w:r>
      <w:r w:rsidRPr="00EF5A07">
        <w:rPr>
          <w:szCs w:val="24"/>
        </w:rPr>
        <w:t xml:space="preserve">He data, as they were only calculated if </w:t>
      </w:r>
      <w:r w:rsidRPr="00EF5A07">
        <w:rPr>
          <w:szCs w:val="24"/>
          <w:vertAlign w:val="superscript"/>
        </w:rPr>
        <w:t>3</w:t>
      </w:r>
      <w:r w:rsidRPr="00EF5A07">
        <w:rPr>
          <w:szCs w:val="24"/>
        </w:rPr>
        <w:t xml:space="preserve">He samples were </w:t>
      </w:r>
      <w:r w:rsidRPr="00EF5A07">
        <w:rPr>
          <w:noProof/>
          <w:szCs w:val="24"/>
        </w:rPr>
        <w:t>collected. The</w:t>
      </w:r>
      <w:r w:rsidRPr="00EF5A07">
        <w:rPr>
          <w:szCs w:val="24"/>
        </w:rPr>
        <w:t xml:space="preserve"> decay corrected input function obtain for S Spain is included</w:t>
      </w:r>
      <w:r w:rsidRPr="00EF5A07">
        <w:rPr>
          <w:noProof/>
          <w:szCs w:val="24"/>
        </w:rPr>
        <w:t xml:space="preserve">, together with the used GNIP data and the </w:t>
      </w:r>
      <w:r w:rsidRPr="00444A13">
        <w:rPr>
          <w:noProof/>
          <w:szCs w:val="24"/>
          <w:vertAlign w:val="superscript"/>
        </w:rPr>
        <w:t>3</w:t>
      </w:r>
      <w:r w:rsidRPr="00EF5A07">
        <w:rPr>
          <w:noProof/>
          <w:szCs w:val="24"/>
        </w:rPr>
        <w:t>H activity in the collected rain samples.</w:t>
      </w:r>
      <w:r w:rsidRPr="00EF5A07">
        <w:rPr>
          <w:szCs w:val="24"/>
        </w:rPr>
        <w:t xml:space="preserve"> </w:t>
      </w:r>
    </w:p>
    <w:p w14:paraId="70791249" w14:textId="77777777" w:rsidR="00EF5A07" w:rsidRPr="00EF5A07" w:rsidRDefault="00EF5A07" w:rsidP="00EF5A07">
      <w:pPr>
        <w:spacing w:line="480" w:lineRule="auto"/>
        <w:rPr>
          <w:szCs w:val="24"/>
        </w:rPr>
      </w:pPr>
      <w:r w:rsidRPr="00EF5A07">
        <w:rPr>
          <w:szCs w:val="24"/>
        </w:rPr>
        <w:t xml:space="preserve">Figure 4. </w:t>
      </w:r>
      <w:r w:rsidRPr="00EF5A07">
        <w:rPr>
          <w:szCs w:val="24"/>
          <w:vertAlign w:val="superscript"/>
        </w:rPr>
        <w:t>4</w:t>
      </w:r>
      <w:r w:rsidRPr="00EF5A07">
        <w:rPr>
          <w:szCs w:val="24"/>
        </w:rPr>
        <w:t>He vs Ne contents of samples. Equilibrium concentrations of both gases for freshwater at 0, 5, 10, 15 and 20ºC are displayed (red crosses), as well as for water with the same NaCl concentration than the samples (colored circles) at 20ºC. Red and blue lines indicate two supposed path of groundwater degassing during infiltration and at the spring, respectively.</w:t>
      </w:r>
    </w:p>
    <w:p w14:paraId="5F9E0A08" w14:textId="77777777" w:rsidR="00EF5A07" w:rsidRPr="00EF5A07" w:rsidRDefault="00EF5A07" w:rsidP="00EF5A07">
      <w:pPr>
        <w:spacing w:line="480" w:lineRule="auto"/>
      </w:pPr>
      <w:r w:rsidRPr="00EF5A07">
        <w:lastRenderedPageBreak/>
        <w:t xml:space="preserve">Figure 5. Ne/He </w:t>
      </w:r>
      <w:r w:rsidRPr="00EF5A07">
        <w:rPr>
          <w:i/>
        </w:rPr>
        <w:t>vs</w:t>
      </w:r>
      <w:r w:rsidRPr="00EF5A07">
        <w:t xml:space="preserve"> </w:t>
      </w:r>
      <w:r w:rsidRPr="00EF5A07">
        <w:rPr>
          <w:vertAlign w:val="superscript"/>
        </w:rPr>
        <w:t>3</w:t>
      </w:r>
      <w:r w:rsidRPr="00EF5A07">
        <w:t>He/</w:t>
      </w:r>
      <w:r w:rsidRPr="00EF5A07">
        <w:rPr>
          <w:vertAlign w:val="superscript"/>
        </w:rPr>
        <w:t>4</w:t>
      </w:r>
      <w:r w:rsidRPr="00EF5A07">
        <w:t xml:space="preserve">He ratios, and representation of the main processes affecting them. Radiogenic He production lines are drawn from equilibrium values (air saturated water) to </w:t>
      </w:r>
      <w:r w:rsidRPr="00EF5A07">
        <w:rPr>
          <w:vertAlign w:val="superscript"/>
        </w:rPr>
        <w:t>3</w:t>
      </w:r>
      <w:r w:rsidRPr="00EF5A07">
        <w:t>He/</w:t>
      </w:r>
      <w:r w:rsidRPr="00EF5A07">
        <w:rPr>
          <w:vertAlign w:val="superscript"/>
        </w:rPr>
        <w:t>4</w:t>
      </w:r>
      <w:r w:rsidRPr="00EF5A07">
        <w:t>He ratios of 2·10</w:t>
      </w:r>
      <w:r w:rsidRPr="00EF5A07">
        <w:rPr>
          <w:vertAlign w:val="superscript"/>
        </w:rPr>
        <w:t>-8</w:t>
      </w:r>
      <w:r w:rsidRPr="00EF5A07">
        <w:t xml:space="preserve"> </w:t>
      </w:r>
      <w:r w:rsidRPr="00EF5A07">
        <w:fldChar w:fldCharType="begin" w:fldLock="1"/>
      </w:r>
      <w:r w:rsidRPr="00EF5A07">
        <w:instrText>ADDIN CSL_CITATION {"citationItems":[{"id":"ITEM-1","itemData":{"DOI":"10.2138/rmg.2002.47.12","ISBN":"1529-6466\\r0-939950-59-6","ISSN":"1529-6466","author":[{"dropping-particle":"","family":"Ballentine","given":"C. J.","non-dropping-particle":"","parse-names":false,"suffix":""},{"dropping-particle":"","family":"Burnard","given":"P. G.","non-dropping-particle":"","parse-names":false,"suffix":""}],"container-title":"Reviews in Mineralogy and Geochemistry","id":"ITEM-1","issue":"1","issued":{"date-parts":[["2002"]]},"page":"481-538","title":"Production, Release and Transport of Noble Gases in the Continental Crust","type":"article-journal","volume":"47"},"uris":["http://www.mendeley.com/documents/?uuid=e2b0c05d-0262-4f18-b510-d842b4746df2"]}],"mendeley":{"formattedCitation":"(Ballentine and Burnard, 2002)","plainTextFormattedCitation":"(Ballentine and Burnard, 2002)","previouslyFormattedCitation":"(Ballentine and Burnard, 2002)"},"properties":{"noteIndex":0},"schema":"https://github.com/citation-style-language/schema/raw/master/csl-citation.json"}</w:instrText>
      </w:r>
      <w:r w:rsidRPr="00EF5A07">
        <w:fldChar w:fldCharType="separate"/>
      </w:r>
      <w:r w:rsidRPr="00EF5A07">
        <w:rPr>
          <w:noProof/>
        </w:rPr>
        <w:t>(Ballentine and Burnard, 2002)</w:t>
      </w:r>
      <w:r w:rsidRPr="00EF5A07">
        <w:fldChar w:fldCharType="end"/>
      </w:r>
      <w:r w:rsidRPr="00EF5A07">
        <w:t xml:space="preserve"> and 1·10</w:t>
      </w:r>
      <w:r w:rsidRPr="00EF5A07">
        <w:rPr>
          <w:vertAlign w:val="superscript"/>
        </w:rPr>
        <w:t>-7</w:t>
      </w:r>
      <w:r w:rsidRPr="00EF5A07">
        <w:t xml:space="preserve"> </w:t>
      </w:r>
      <w:r w:rsidRPr="00EF5A07">
        <w:fldChar w:fldCharType="begin" w:fldLock="1"/>
      </w:r>
      <w:r w:rsidRPr="00EF5A07">
        <w:instrText>ADDIN CSL_CITATION {"citationItems":[{"id":"ITEM-1","itemData":{"DOI":"10.1016/j.jhydrol.2015.06.022","ISBN":"00221694 (ISSN)","ISSN":"00221694","abstract":"Twenty-five public supply wells throughout the hydrogeologically diverse region of Scania, southern Sweden are subjected to environmental tracer analysis (3H-3He, 4He, CFCs, SF6 and for one well only also 85Kr and 39Ar) to study well and aquifer vulnerability and evaluate possibilities of groundwater age distribution assessment. We find CFC and SF6 concentrations well above solubility equilibrium with modern atmosphere, indicating local contamination, as well as indications of CFC degradation. The tracer-specific complications considerably constrain possibilities for sound quantitative regional groundwater age distribution assessments and demonstrate the importance of initial qualitative assessment of tracer-specific reliability, as well a need for additional, complementary tracers (e.g. 85Kr, 39Ar and potentially also 14C). Lumped parameter modelling yields credible age distribution assessments for representative wells in four type aquifers. Pollution vulnerability of the aquifer types was based on the selected LPM models and qualitative age characterisation. Most vulnerable are unconfined dual porosity and fractured bedrock aquifers, due to a large component of very young groundwater. Unconfined sedimentary aquifers are vulnerable due to young groundwater and a small pre-modern component. Less vulnerable are semi-confined sedimentary or dual-porosity aquifers, due to older age of the modern component and a larger pre-modern component. Confined aquifers appear least vulnerable, due an entirely pre-modern groundwater age distribution (recharged before 1963). Tracer complications aside, environmental tracer analyses and lumped parameter modelling aid in vulnerability assessment and protection of regional groundwater resources.","author":[{"dropping-particle":"","family":"Akesson","given":"Maria","non-dropping-particle":"","parse-names":false,"suffix":""},{"dropping-particle":"","family":"Suckow","given":"Axel","non-dropping-particle":"","parse-names":false,"suffix":""},{"dropping-particle":"","family":"Visser","given":"Ate","non-dropping-particle":"","parse-names":false,"suffix":""},{"dropping-particle":"","family":"Sültenfuss","given":"Jürgen","non-dropping-particle":"","parse-names":false,"suffix":""},{"dropping-particle":"","family":"Laier","given":"Troels","non-dropping-particle":"","parse-names":false,"suffix":""},{"dropping-particle":"","family":"Purtschert","given":"Roland","non-dropping-particle":"","parse-names":false,"suffix":""},{"dropping-particle":"","family":"Sparrenbom","given":"Charlotte J.","non-dropping-particle":"","parse-names":false,"suffix":""}],"container-title":"Journal of Hydrology","id":"ITEM-1","issued":{"date-parts":[["2015"]]},"page":"217-229","title":"Constraining age distributions of groundwater from public supply wells in diverse hydrogeological settings in Scania, Sweden","type":"article-journal","volume":"528"},"uris":["http://www.mendeley.com/documents/?uuid=4b567828-885e-4748-8e47-eca1aa20883f"]}],"mendeley":{"formattedCitation":"(Akesson et al., 2015)","plainTextFormattedCitation":"(Akesson et al., 2015)","previouslyFormattedCitation":"(Akesson et al., 2015)"},"properties":{"noteIndex":0},"schema":"https://github.com/citation-style-language/schema/raw/master/csl-citation.json"}</w:instrText>
      </w:r>
      <w:r w:rsidRPr="00EF5A07">
        <w:fldChar w:fldCharType="separate"/>
      </w:r>
      <w:r w:rsidRPr="00EF5A07">
        <w:rPr>
          <w:noProof/>
        </w:rPr>
        <w:t>(Akesson et al., 2015)</w:t>
      </w:r>
      <w:r w:rsidRPr="00EF5A07">
        <w:fldChar w:fldCharType="end"/>
      </w:r>
      <w:r w:rsidRPr="00EF5A07">
        <w:t xml:space="preserve"> for infinite radiogenic He contents (red and blue lines, respectively).</w:t>
      </w:r>
    </w:p>
    <w:p w14:paraId="002B3F42" w14:textId="7709017C" w:rsidR="00EF5A07" w:rsidRDefault="00EF5A07" w:rsidP="00EF5A07">
      <w:pPr>
        <w:spacing w:line="480" w:lineRule="auto"/>
      </w:pPr>
      <w:r w:rsidRPr="00EF5A07">
        <w:t>Figure 6. CFC-12 and SF</w:t>
      </w:r>
      <w:r w:rsidRPr="00EF5A07">
        <w:rPr>
          <w:vertAlign w:val="subscript"/>
        </w:rPr>
        <w:t>6</w:t>
      </w:r>
      <w:r w:rsidRPr="00EF5A07">
        <w:t xml:space="preserve"> dating results. Input function data from USGS (2018). Observations align along the right y-axis represent SF</w:t>
      </w:r>
      <w:r w:rsidRPr="00EF5A07">
        <w:rPr>
          <w:vertAlign w:val="subscript"/>
        </w:rPr>
        <w:t>6</w:t>
      </w:r>
      <w:r w:rsidRPr="00EF5A07">
        <w:t xml:space="preserve"> sample without a correspondent infiltration date, as they exceed atmospheric values considerably.</w:t>
      </w:r>
    </w:p>
    <w:p w14:paraId="084D5E0E" w14:textId="77777777" w:rsidR="00EF5A07" w:rsidRPr="00EF5A07" w:rsidRDefault="00EF5A07" w:rsidP="00EF5A07">
      <w:pPr>
        <w:pStyle w:val="Subttulo"/>
        <w:spacing w:line="480" w:lineRule="auto"/>
        <w:rPr>
          <w:rFonts w:ascii="Times New Roman" w:eastAsiaTheme="minorHAnsi" w:hAnsi="Times New Roman" w:cs="Times New Roman"/>
          <w:i w:val="0"/>
          <w:iCs w:val="0"/>
          <w:szCs w:val="22"/>
          <w:lang w:val="en-US"/>
        </w:rPr>
      </w:pPr>
      <w:r w:rsidRPr="00EF5A07">
        <w:rPr>
          <w:rFonts w:ascii="Times New Roman" w:eastAsiaTheme="minorHAnsi" w:hAnsi="Times New Roman" w:cs="Times New Roman"/>
          <w:i w:val="0"/>
          <w:iCs w:val="0"/>
          <w:szCs w:val="22"/>
          <w:lang w:val="en-US"/>
        </w:rPr>
        <w:t>Figure 7. CFC-12 vs ³H input functions scaled to 2016 (100% F</w:t>
      </w:r>
      <w:r w:rsidRPr="00EF5A07">
        <w:rPr>
          <w:rFonts w:ascii="Times New Roman" w:eastAsiaTheme="minorHAnsi" w:hAnsi="Times New Roman" w:cs="Times New Roman"/>
          <w:i w:val="0"/>
          <w:iCs w:val="0"/>
          <w:szCs w:val="22"/>
          <w:vertAlign w:val="subscript"/>
          <w:lang w:val="en-US"/>
        </w:rPr>
        <w:t>young</w:t>
      </w:r>
      <w:r w:rsidRPr="00EF5A07">
        <w:rPr>
          <w:rFonts w:ascii="Times New Roman" w:eastAsiaTheme="minorHAnsi" w:hAnsi="Times New Roman" w:cs="Times New Roman"/>
          <w:i w:val="0"/>
          <w:iCs w:val="0"/>
          <w:szCs w:val="22"/>
          <w:lang w:val="en-US"/>
        </w:rPr>
        <w:t>) and mixed with 50% F</w:t>
      </w:r>
      <w:r w:rsidRPr="00EF5A07">
        <w:rPr>
          <w:rFonts w:ascii="Times New Roman" w:eastAsiaTheme="minorHAnsi" w:hAnsi="Times New Roman" w:cs="Times New Roman"/>
          <w:i w:val="0"/>
          <w:iCs w:val="0"/>
          <w:szCs w:val="22"/>
          <w:vertAlign w:val="subscript"/>
          <w:lang w:val="en-US"/>
        </w:rPr>
        <w:t>old</w:t>
      </w:r>
      <w:r w:rsidRPr="00EF5A07">
        <w:rPr>
          <w:rFonts w:ascii="Times New Roman" w:eastAsiaTheme="minorHAnsi" w:hAnsi="Times New Roman" w:cs="Times New Roman"/>
          <w:i w:val="0"/>
          <w:iCs w:val="0"/>
          <w:szCs w:val="22"/>
          <w:lang w:val="en-US"/>
        </w:rPr>
        <w:t xml:space="preserve"> (i.e. It contains no </w:t>
      </w:r>
      <w:r w:rsidRPr="00EF5A07">
        <w:rPr>
          <w:rFonts w:ascii="Times New Roman" w:eastAsiaTheme="minorHAnsi" w:hAnsi="Times New Roman" w:cs="Times New Roman"/>
          <w:i w:val="0"/>
          <w:iCs w:val="0"/>
          <w:szCs w:val="22"/>
          <w:vertAlign w:val="superscript"/>
          <w:lang w:val="en-US"/>
        </w:rPr>
        <w:t>3</w:t>
      </w:r>
      <w:r w:rsidRPr="00EF5A07">
        <w:rPr>
          <w:rFonts w:ascii="Times New Roman" w:eastAsiaTheme="minorHAnsi" w:hAnsi="Times New Roman" w:cs="Times New Roman"/>
          <w:i w:val="0"/>
          <w:iCs w:val="0"/>
          <w:szCs w:val="22"/>
          <w:lang w:val="en-US"/>
        </w:rPr>
        <w:t>H nor CFC-12). The concentration of the degassing corrected samples (cross) is represented, as well as the CFC-12 and ³H content of their modern fractions -F</w:t>
      </w:r>
      <w:r w:rsidRPr="00EF5A07">
        <w:rPr>
          <w:rFonts w:ascii="Times New Roman" w:eastAsiaTheme="minorHAnsi" w:hAnsi="Times New Roman" w:cs="Times New Roman"/>
          <w:i w:val="0"/>
          <w:iCs w:val="0"/>
          <w:szCs w:val="22"/>
          <w:vertAlign w:val="subscript"/>
          <w:lang w:val="en-US"/>
        </w:rPr>
        <w:t>young</w:t>
      </w:r>
      <w:r w:rsidRPr="00EF5A07">
        <w:rPr>
          <w:rFonts w:ascii="Times New Roman" w:eastAsiaTheme="minorHAnsi" w:hAnsi="Times New Roman" w:cs="Times New Roman"/>
          <w:i w:val="0"/>
          <w:iCs w:val="0"/>
          <w:szCs w:val="22"/>
          <w:lang w:val="en-US"/>
        </w:rPr>
        <w:t>- (circles) and the binary mixing lines that connect both.</w:t>
      </w:r>
    </w:p>
    <w:p w14:paraId="0F2D3510" w14:textId="4C8900A6" w:rsidR="00EF5A07" w:rsidRPr="00EF5A07" w:rsidRDefault="00EF5A07" w:rsidP="00EF5A07">
      <w:pPr>
        <w:pStyle w:val="Subttulo"/>
        <w:spacing w:line="480" w:lineRule="auto"/>
        <w:rPr>
          <w:rStyle w:val="nfasissutil"/>
          <w:rFonts w:ascii="Times New Roman" w:hAnsi="Times New Roman" w:cs="Times New Roman"/>
          <w:i w:val="0"/>
          <w:lang w:val="en-US"/>
        </w:rPr>
      </w:pPr>
      <w:r w:rsidRPr="00EF5A07">
        <w:rPr>
          <w:rStyle w:val="nfasissutil"/>
          <w:rFonts w:ascii="Times New Roman" w:hAnsi="Times New Roman" w:cs="Times New Roman"/>
          <w:i w:val="0"/>
          <w:lang w:val="en-US"/>
        </w:rPr>
        <w:t xml:space="preserve">Figure 8. Groundwater age distribution and cumulative age distribution of the spring samples described by binary mixing models (BMM) and discrete models (SFM) of 3 bins made based on CFC-12 and </w:t>
      </w:r>
      <w:r w:rsidRPr="00EF5A07">
        <w:rPr>
          <w:rStyle w:val="nfasissutil"/>
          <w:rFonts w:ascii="Times New Roman" w:hAnsi="Times New Roman" w:cs="Times New Roman"/>
          <w:i w:val="0"/>
          <w:vertAlign w:val="superscript"/>
          <w:lang w:val="en-US"/>
        </w:rPr>
        <w:t>3</w:t>
      </w:r>
      <w:r w:rsidRPr="00EF5A07">
        <w:rPr>
          <w:rStyle w:val="nfasissutil"/>
          <w:rFonts w:ascii="Times New Roman" w:hAnsi="Times New Roman" w:cs="Times New Roman"/>
          <w:i w:val="0"/>
          <w:lang w:val="en-US"/>
        </w:rPr>
        <w:t>H concentrations.</w:t>
      </w:r>
      <w:r w:rsidR="001662E9">
        <w:rPr>
          <w:rStyle w:val="nfasissutil"/>
          <w:rFonts w:ascii="Times New Roman" w:hAnsi="Times New Roman" w:cs="Times New Roman"/>
          <w:i w:val="0"/>
          <w:lang w:val="en-US"/>
        </w:rPr>
        <w:t xml:space="preserve"> Note that </w:t>
      </w:r>
      <w:r w:rsidR="0048693F">
        <w:rPr>
          <w:rStyle w:val="nfasissutil"/>
          <w:rFonts w:ascii="Times New Roman" w:hAnsi="Times New Roman" w:cs="Times New Roman"/>
          <w:i w:val="0"/>
          <w:lang w:val="en-US"/>
        </w:rPr>
        <w:t xml:space="preserve">there are </w:t>
      </w:r>
      <w:r w:rsidR="001662E9">
        <w:rPr>
          <w:rStyle w:val="nfasissutil"/>
          <w:rFonts w:ascii="Times New Roman" w:hAnsi="Times New Roman" w:cs="Times New Roman"/>
          <w:i w:val="0"/>
          <w:lang w:val="en-US"/>
        </w:rPr>
        <w:t xml:space="preserve">two binary mixing models </w:t>
      </w:r>
      <w:r w:rsidR="0048693F">
        <w:rPr>
          <w:rStyle w:val="nfasissutil"/>
          <w:rFonts w:ascii="Times New Roman" w:hAnsi="Times New Roman" w:cs="Times New Roman"/>
          <w:i w:val="0"/>
          <w:lang w:val="en-US"/>
        </w:rPr>
        <w:t xml:space="preserve">for both J1 samples and H3, due to the slight variations of the </w:t>
      </w:r>
      <w:r w:rsidR="0048693F" w:rsidRPr="00444A13">
        <w:rPr>
          <w:rStyle w:val="nfasissutil"/>
          <w:rFonts w:ascii="Times New Roman" w:hAnsi="Times New Roman" w:cs="Times New Roman"/>
          <w:i w:val="0"/>
          <w:vertAlign w:val="superscript"/>
          <w:lang w:val="en-US"/>
        </w:rPr>
        <w:t>3</w:t>
      </w:r>
      <w:r w:rsidR="0048693F">
        <w:rPr>
          <w:rStyle w:val="nfasissutil"/>
          <w:rFonts w:ascii="Times New Roman" w:hAnsi="Times New Roman" w:cs="Times New Roman"/>
          <w:i w:val="0"/>
          <w:lang w:val="en-US"/>
        </w:rPr>
        <w:t>H and CFC-12 input functions since 1985 (see figure 7).</w:t>
      </w:r>
      <w:r w:rsidR="001662E9">
        <w:rPr>
          <w:rStyle w:val="nfasissutil"/>
          <w:rFonts w:ascii="Times New Roman" w:hAnsi="Times New Roman" w:cs="Times New Roman"/>
          <w:i w:val="0"/>
          <w:lang w:val="en-US"/>
        </w:rPr>
        <w:t xml:space="preserve"> </w:t>
      </w:r>
    </w:p>
    <w:p w14:paraId="5FC4B255" w14:textId="77777777" w:rsidR="00EF5A07" w:rsidRPr="00EF5A07" w:rsidRDefault="00EF5A07" w:rsidP="00EF5A07">
      <w:pPr>
        <w:pStyle w:val="Subttulo"/>
        <w:spacing w:line="480" w:lineRule="auto"/>
        <w:rPr>
          <w:rStyle w:val="nfasissutil"/>
          <w:rFonts w:ascii="Times New Roman" w:hAnsi="Times New Roman" w:cs="Times New Roman"/>
          <w:i w:val="0"/>
          <w:szCs w:val="22"/>
          <w:lang w:val="en-US"/>
        </w:rPr>
      </w:pPr>
      <w:r w:rsidRPr="00EF5A07">
        <w:rPr>
          <w:rStyle w:val="nfasissutil"/>
          <w:rFonts w:ascii="Times New Roman" w:hAnsi="Times New Roman" w:cs="Times New Roman"/>
          <w:i w:val="0"/>
          <w:szCs w:val="22"/>
          <w:lang w:val="en-US"/>
        </w:rPr>
        <w:t xml:space="preserve">Figure 9. Biplots showing </w:t>
      </w:r>
      <w:r w:rsidRPr="00EF5A07">
        <w:rPr>
          <w:rFonts w:ascii="Times New Roman" w:hAnsi="Times New Roman" w:cs="Times New Roman"/>
          <w:i w:val="0"/>
          <w:szCs w:val="22"/>
          <w:lang w:val="en-US"/>
        </w:rPr>
        <w:t xml:space="preserve">EC compared to </w:t>
      </w:r>
      <w:r w:rsidRPr="00EF5A07">
        <w:rPr>
          <w:rFonts w:ascii="Times New Roman" w:hAnsi="Times New Roman" w:cs="Times New Roman"/>
          <w:i w:val="0"/>
          <w:szCs w:val="22"/>
          <w:vertAlign w:val="superscript"/>
          <w:lang w:val="en-US"/>
        </w:rPr>
        <w:t>3</w:t>
      </w:r>
      <w:r w:rsidRPr="00EF5A07">
        <w:rPr>
          <w:rFonts w:ascii="Times New Roman" w:hAnsi="Times New Roman" w:cs="Times New Roman"/>
          <w:i w:val="0"/>
          <w:szCs w:val="22"/>
          <w:lang w:val="en-US"/>
        </w:rPr>
        <w:t xml:space="preserve">H values (A) and to degassing corrected </w:t>
      </w:r>
      <w:r w:rsidRPr="00EF5A07">
        <w:rPr>
          <w:rFonts w:ascii="Times New Roman" w:hAnsi="Times New Roman" w:cs="Times New Roman"/>
          <w:i w:val="0"/>
          <w:szCs w:val="22"/>
          <w:vertAlign w:val="superscript"/>
          <w:lang w:val="en-US"/>
        </w:rPr>
        <w:t>4</w:t>
      </w:r>
      <w:r w:rsidRPr="00EF5A07">
        <w:rPr>
          <w:rFonts w:ascii="Times New Roman" w:hAnsi="Times New Roman" w:cs="Times New Roman"/>
          <w:i w:val="0"/>
          <w:szCs w:val="22"/>
          <w:lang w:val="en-US"/>
        </w:rPr>
        <w:t xml:space="preserve">He contents and calculated </w:t>
      </w:r>
      <w:r w:rsidRPr="00EF5A07">
        <w:rPr>
          <w:rFonts w:ascii="Times New Roman" w:hAnsi="Times New Roman" w:cs="Times New Roman"/>
          <w:i w:val="0"/>
          <w:szCs w:val="22"/>
          <w:vertAlign w:val="superscript"/>
          <w:lang w:val="en-US"/>
        </w:rPr>
        <w:t>4</w:t>
      </w:r>
      <w:r w:rsidRPr="00EF5A07">
        <w:rPr>
          <w:rFonts w:ascii="Times New Roman" w:hAnsi="Times New Roman" w:cs="Times New Roman"/>
          <w:i w:val="0"/>
          <w:szCs w:val="22"/>
          <w:lang w:val="en-US"/>
        </w:rPr>
        <w:t xml:space="preserve">He ages (B). The first one includes the </w:t>
      </w:r>
      <w:r w:rsidRPr="00EF5A07">
        <w:rPr>
          <w:rFonts w:ascii="Times New Roman" w:hAnsi="Times New Roman" w:cs="Times New Roman"/>
          <w:i w:val="0"/>
          <w:noProof/>
          <w:szCs w:val="22"/>
          <w:lang w:val="en-US"/>
        </w:rPr>
        <w:t>linear</w:t>
      </w:r>
      <w:r w:rsidRPr="00EF5A07">
        <w:rPr>
          <w:rFonts w:ascii="Times New Roman" w:hAnsi="Times New Roman" w:cs="Times New Roman"/>
          <w:i w:val="0"/>
          <w:szCs w:val="22"/>
          <w:lang w:val="en-US"/>
        </w:rPr>
        <w:t xml:space="preserve"> regressions obtained for all brine springs together, for each study area, and for the springs with higher hydrochemical variability (J1, B3, </w:t>
      </w:r>
      <w:r w:rsidRPr="00EF5A07">
        <w:rPr>
          <w:rFonts w:ascii="Times New Roman" w:hAnsi="Times New Roman" w:cs="Times New Roman"/>
          <w:i w:val="0"/>
          <w:noProof/>
          <w:szCs w:val="22"/>
          <w:lang w:val="en-US"/>
        </w:rPr>
        <w:t>and</w:t>
      </w:r>
      <w:r w:rsidRPr="00EF5A07">
        <w:rPr>
          <w:rFonts w:ascii="Times New Roman" w:hAnsi="Times New Roman" w:cs="Times New Roman"/>
          <w:i w:val="0"/>
          <w:szCs w:val="22"/>
          <w:lang w:val="en-US"/>
        </w:rPr>
        <w:t xml:space="preserve"> T3). </w:t>
      </w:r>
    </w:p>
    <w:p w14:paraId="591AF6B6" w14:textId="0152DC17" w:rsidR="00EF5A07" w:rsidRPr="00EF5A07" w:rsidRDefault="00EF5A07" w:rsidP="00EF5A07">
      <w:pPr>
        <w:pStyle w:val="Subttulo"/>
        <w:spacing w:line="480" w:lineRule="auto"/>
        <w:rPr>
          <w:rFonts w:ascii="Times New Roman" w:hAnsi="Times New Roman" w:cs="Times New Roman"/>
          <w:i w:val="0"/>
          <w:szCs w:val="22"/>
          <w:lang w:val="en-US"/>
        </w:rPr>
      </w:pPr>
      <w:r w:rsidRPr="00EF5A07">
        <w:rPr>
          <w:rStyle w:val="nfasissutil"/>
          <w:rFonts w:ascii="Times New Roman" w:hAnsi="Times New Roman" w:cs="Times New Roman"/>
          <w:i w:val="0"/>
          <w:szCs w:val="22"/>
          <w:lang w:val="en-US"/>
        </w:rPr>
        <w:t xml:space="preserve">Figure 10. </w:t>
      </w:r>
      <w:r w:rsidRPr="00EF5A07">
        <w:rPr>
          <w:rFonts w:ascii="Times New Roman" w:hAnsi="Times New Roman" w:cs="Times New Roman"/>
          <w:i w:val="0"/>
          <w:szCs w:val="22"/>
          <w:lang w:val="en-US"/>
        </w:rPr>
        <w:t>(A) EC vs the groundwater age of the cumulative 50% of each sample (GA</w:t>
      </w:r>
      <w:r w:rsidRPr="00EF5A07">
        <w:rPr>
          <w:rFonts w:ascii="Times New Roman" w:hAnsi="Times New Roman" w:cs="Times New Roman"/>
          <w:i w:val="0"/>
          <w:szCs w:val="22"/>
          <w:vertAlign w:val="subscript"/>
          <w:lang w:val="en-US"/>
        </w:rPr>
        <w:t>50</w:t>
      </w:r>
      <w:r w:rsidRPr="00EF5A07">
        <w:rPr>
          <w:rFonts w:ascii="Times New Roman" w:hAnsi="Times New Roman" w:cs="Times New Roman"/>
          <w:i w:val="0"/>
          <w:szCs w:val="22"/>
          <w:lang w:val="en-US"/>
        </w:rPr>
        <w:t xml:space="preserve">), and (B) the degassing corrected CFC-12 concentration. (D) Degassing corrected CFC-12 </w:t>
      </w:r>
      <w:r w:rsidRPr="00EF5A07">
        <w:rPr>
          <w:rFonts w:ascii="Times New Roman" w:hAnsi="Times New Roman" w:cs="Times New Roman"/>
          <w:i w:val="0"/>
          <w:szCs w:val="22"/>
          <w:lang w:val="en-US"/>
        </w:rPr>
        <w:lastRenderedPageBreak/>
        <w:t>concentration vs EC, (E) GA</w:t>
      </w:r>
      <w:r w:rsidRPr="00EF5A07">
        <w:rPr>
          <w:rFonts w:ascii="Times New Roman" w:hAnsi="Times New Roman" w:cs="Times New Roman"/>
          <w:i w:val="0"/>
          <w:szCs w:val="22"/>
          <w:vertAlign w:val="subscript"/>
          <w:lang w:val="en-US"/>
        </w:rPr>
        <w:t>50</w:t>
      </w:r>
      <w:r w:rsidRPr="00EF5A07">
        <w:rPr>
          <w:rFonts w:ascii="Times New Roman" w:hAnsi="Times New Roman" w:cs="Times New Roman"/>
          <w:i w:val="0"/>
          <w:szCs w:val="22"/>
          <w:lang w:val="en-US"/>
        </w:rPr>
        <w:t>, and (F) the fraction of sample older than 75 years. (G) rCl</w:t>
      </w:r>
      <w:r w:rsidRPr="00EF5A07">
        <w:rPr>
          <w:rFonts w:ascii="Times New Roman" w:hAnsi="Times New Roman" w:cs="Times New Roman"/>
          <w:i w:val="0"/>
          <w:szCs w:val="22"/>
          <w:vertAlign w:val="superscript"/>
          <w:lang w:val="en-US"/>
        </w:rPr>
        <w:t>-</w:t>
      </w:r>
      <w:r w:rsidRPr="00EF5A07">
        <w:rPr>
          <w:rFonts w:ascii="Times New Roman" w:hAnsi="Times New Roman" w:cs="Times New Roman"/>
          <w:i w:val="0"/>
          <w:szCs w:val="22"/>
          <w:lang w:val="en-US"/>
        </w:rPr>
        <w:t>/SO</w:t>
      </w:r>
      <w:r w:rsidRPr="00EF5A07">
        <w:rPr>
          <w:rFonts w:ascii="Times New Roman" w:hAnsi="Times New Roman" w:cs="Times New Roman"/>
          <w:i w:val="0"/>
          <w:szCs w:val="22"/>
          <w:vertAlign w:val="subscript"/>
          <w:lang w:val="en-US"/>
        </w:rPr>
        <w:t>4</w:t>
      </w:r>
      <w:r w:rsidRPr="00EF5A07">
        <w:rPr>
          <w:rFonts w:ascii="Times New Roman" w:hAnsi="Times New Roman" w:cs="Times New Roman"/>
          <w:i w:val="0"/>
          <w:szCs w:val="22"/>
          <w:vertAlign w:val="superscript"/>
          <w:lang w:val="en-US"/>
        </w:rPr>
        <w:t>2-</w:t>
      </w:r>
      <w:r w:rsidRPr="00EF5A07">
        <w:rPr>
          <w:rFonts w:ascii="Times New Roman" w:hAnsi="Times New Roman" w:cs="Times New Roman"/>
          <w:i w:val="0"/>
          <w:szCs w:val="22"/>
          <w:lang w:val="en-US"/>
        </w:rPr>
        <w:t xml:space="preserve"> vs EC, (H) GA</w:t>
      </w:r>
      <w:r w:rsidRPr="00EF5A07">
        <w:rPr>
          <w:rFonts w:ascii="Times New Roman" w:hAnsi="Times New Roman" w:cs="Times New Roman"/>
          <w:i w:val="0"/>
          <w:szCs w:val="22"/>
          <w:vertAlign w:val="subscript"/>
          <w:lang w:val="en-US"/>
        </w:rPr>
        <w:t>50</w:t>
      </w:r>
      <w:r w:rsidRPr="00EF5A07">
        <w:rPr>
          <w:rFonts w:ascii="Times New Roman" w:hAnsi="Times New Roman" w:cs="Times New Roman"/>
          <w:i w:val="0"/>
          <w:szCs w:val="22"/>
          <w:lang w:val="en-US"/>
        </w:rPr>
        <w:t>, and (I) the fraction of sample older than 75 years corrected CFC-12 concentration. Regression lines are calculated using all the samples (continuous line), the samples without the J1 during discharge rise (dashed line), or without H2 in panels including rCl</w:t>
      </w:r>
      <w:r w:rsidRPr="00EF5A07">
        <w:rPr>
          <w:rFonts w:ascii="Times New Roman" w:hAnsi="Times New Roman" w:cs="Times New Roman"/>
          <w:i w:val="0"/>
          <w:szCs w:val="22"/>
          <w:vertAlign w:val="superscript"/>
          <w:lang w:val="en-US"/>
        </w:rPr>
        <w:t>-</w:t>
      </w:r>
      <w:r w:rsidRPr="00EF5A07">
        <w:rPr>
          <w:rFonts w:ascii="Times New Roman" w:hAnsi="Times New Roman" w:cs="Times New Roman"/>
          <w:i w:val="0"/>
          <w:szCs w:val="22"/>
          <w:lang w:val="en-US"/>
        </w:rPr>
        <w:t>/SO</w:t>
      </w:r>
      <w:r w:rsidRPr="00EF5A07">
        <w:rPr>
          <w:rFonts w:ascii="Times New Roman" w:hAnsi="Times New Roman" w:cs="Times New Roman"/>
          <w:i w:val="0"/>
          <w:szCs w:val="22"/>
          <w:vertAlign w:val="subscript"/>
          <w:lang w:val="en-US"/>
        </w:rPr>
        <w:t>4</w:t>
      </w:r>
      <w:r w:rsidRPr="00EF5A07">
        <w:rPr>
          <w:rFonts w:ascii="Times New Roman" w:hAnsi="Times New Roman" w:cs="Times New Roman"/>
          <w:i w:val="0"/>
          <w:szCs w:val="22"/>
          <w:vertAlign w:val="superscript"/>
          <w:lang w:val="en-US"/>
        </w:rPr>
        <w:t>2-</w:t>
      </w:r>
      <w:r w:rsidRPr="00EF5A07">
        <w:rPr>
          <w:rFonts w:ascii="Times New Roman" w:hAnsi="Times New Roman" w:cs="Times New Roman"/>
          <w:i w:val="0"/>
          <w:szCs w:val="22"/>
          <w:lang w:val="en-US"/>
        </w:rPr>
        <w:t xml:space="preserve"> (blue lines).</w:t>
      </w:r>
      <w:r w:rsidR="0020254F">
        <w:rPr>
          <w:rFonts w:ascii="Times New Roman" w:hAnsi="Times New Roman" w:cs="Times New Roman"/>
          <w:i w:val="0"/>
          <w:szCs w:val="22"/>
          <w:lang w:val="en-US"/>
        </w:rPr>
        <w:t xml:space="preserve"> Note: this graph only show the results from the Free-Shaped Model. </w:t>
      </w:r>
      <w:r w:rsidR="009F6EDB">
        <w:rPr>
          <w:rFonts w:ascii="Times New Roman" w:hAnsi="Times New Roman" w:cs="Times New Roman"/>
          <w:i w:val="0"/>
          <w:szCs w:val="22"/>
          <w:lang w:val="en-US"/>
        </w:rPr>
        <w:t>T</w:t>
      </w:r>
      <w:r w:rsidR="0020254F">
        <w:rPr>
          <w:rFonts w:ascii="Times New Roman" w:hAnsi="Times New Roman" w:cs="Times New Roman"/>
          <w:i w:val="0"/>
          <w:szCs w:val="22"/>
          <w:lang w:val="en-US"/>
        </w:rPr>
        <w:t xml:space="preserve">he correlation coefficient obtained from data derived of the Exponential Piston </w:t>
      </w:r>
      <w:r w:rsidR="009F6EDB">
        <w:rPr>
          <w:rFonts w:ascii="Times New Roman" w:hAnsi="Times New Roman" w:cs="Times New Roman"/>
          <w:i w:val="0"/>
          <w:szCs w:val="22"/>
          <w:lang w:val="en-US"/>
        </w:rPr>
        <w:t>Model</w:t>
      </w:r>
      <w:r w:rsidR="0020254F">
        <w:rPr>
          <w:rFonts w:ascii="Times New Roman" w:hAnsi="Times New Roman" w:cs="Times New Roman"/>
          <w:i w:val="0"/>
          <w:szCs w:val="22"/>
          <w:lang w:val="en-US"/>
        </w:rPr>
        <w:t xml:space="preserve"> and the Dispersion Model </w:t>
      </w:r>
      <w:r w:rsidR="009F6EDB">
        <w:rPr>
          <w:rFonts w:ascii="Times New Roman" w:hAnsi="Times New Roman" w:cs="Times New Roman"/>
          <w:i w:val="0"/>
          <w:szCs w:val="22"/>
          <w:lang w:val="en-US"/>
        </w:rPr>
        <w:t>are summarized in</w:t>
      </w:r>
      <w:r w:rsidR="0020254F">
        <w:rPr>
          <w:rFonts w:ascii="Times New Roman" w:hAnsi="Times New Roman" w:cs="Times New Roman"/>
          <w:i w:val="0"/>
          <w:szCs w:val="22"/>
          <w:lang w:val="en-US"/>
        </w:rPr>
        <w:t xml:space="preserve"> table 5.</w:t>
      </w:r>
    </w:p>
    <w:p w14:paraId="05C139FD" w14:textId="13F614E4" w:rsidR="00EF5A07" w:rsidRDefault="00EF5A07" w:rsidP="00EF5A07">
      <w:pPr>
        <w:spacing w:line="480" w:lineRule="auto"/>
      </w:pPr>
      <w:r w:rsidRPr="00194419">
        <w:t xml:space="preserve">Figure 11. </w:t>
      </w:r>
      <w:r w:rsidRPr="00194419">
        <w:rPr>
          <w:noProof/>
        </w:rPr>
        <w:t>General</w:t>
      </w:r>
      <w:r w:rsidRPr="00194419">
        <w:t xml:space="preserve"> hydrogeological conceptual model of CSC materials and related springs, including groundwater dating information. Modified from Andreo et al. </w:t>
      </w:r>
      <w:r w:rsidRPr="00194419">
        <w:fldChar w:fldCharType="begin" w:fldLock="1"/>
      </w:r>
      <w:r w:rsidRPr="00194419">
        <w:instrText>ADDIN CSL_CITATION {"citationItems":[{"id":"ITEM-1","itemData":{"DOI":"10.1007/s12665-016-5545-1","abstract":"© 2016, Springer-Verlag Berlin Heidelberg. The northern sector of the External Zone of the Betic Cordillera (S Spain) is formed by an olistostrome unit known as the Chaotic Subbetic Complexes (CSC). This megabreccia is basically made of clays and evaporite rocks (gypsum and salt) of Upper Triassic (Keuper) age as well as other lithologies (dolostones, limestones, marls and calcareous sandstones) belonging to different ages (Jurassic, Cretaceous and Tertiary). Despite of low permeability has been traditionally assumed for these materials, water flow and storage through them is possible due to the aquitard behavior of clays and sandstones and the presence of conduits generated by dissolution/karstification processes within the evaporite rocks. The lithological complexity of the CSC determines its hydrogeological heterogeneity, with groundwater flows of different length and various scales from recharge areas to discharge zones. Thus, wetlands and springs placed at lower altitudes are associated with large (regional) groundwater flows, of greater residence time within the aquifer, and they normally drain high salinity waters mostly connected with ascending flow. This work provides an overview of the main geological and hydrogeological aspects related to groundwater flow within the CSC on the basis of several case-studies. Conceptual models are proposed for these cases, since they are the base to carry out a genetic-functional classification of wetlands potentially useful for their management.","author":[{"dropping-particle":"","family":"Andreo","given":"Bartolomé","non-dropping-particle":"","parse-names":false,"suffix":""},{"dropping-particle":"","family":"Gil-Márquez","given":"José Manuel","non-dropping-particle":"","parse-names":false,"suffix":""},{"dropping-particle":"","family":"Mudarra","given":"Matías","non-dropping-particle":"","parse-names":false,"suffix":""},{"dropping-particle":"","family":"Linares","given":"Luis","non-dropping-particle":"","parse-names":false,"suffix":""},{"dropping-particle":"","family":"Carrasco","given":"Francisco","non-dropping-particle":"","parse-names":false,"suffix":""}],"container-title":"Environmental Earth Sciences","id":"ITEM-1","issue":"9","issued":{"date-parts":[["2016"]]},"page":"1-19","title":"Hypothesis on the hydrogeological context of wetland areas and springs related to evaporitic karst aquifers (Málaga, Córdoba and Jaén provinces, Southern Spain)","type":"article-journal","volume":"75"},"uris":["http://www.mendeley.com/documents/?uuid=de2b44fe-b64d-31c9-9255-128364900901"]}],"mendeley":{"formattedCitation":"(Andreo et al., 2016)","manualFormatting":"(2016)","plainTextFormattedCitation":"(Andreo et al., 2016)","previouslyFormattedCitation":"(Andreo et al., 2016)"},"properties":{"noteIndex":0},"schema":"https://github.com/citation-style-language/schema/raw/master/csl-citation.json"}</w:instrText>
      </w:r>
      <w:r w:rsidRPr="00194419">
        <w:fldChar w:fldCharType="separate"/>
      </w:r>
      <w:r w:rsidRPr="00194419">
        <w:rPr>
          <w:noProof/>
        </w:rPr>
        <w:t>(2016)</w:t>
      </w:r>
      <w:r w:rsidRPr="00194419">
        <w:fldChar w:fldCharType="end"/>
      </w:r>
    </w:p>
    <w:p w14:paraId="0D5B0E20" w14:textId="77777777" w:rsidR="00833EB0" w:rsidRDefault="00E85DD6" w:rsidP="00EF5A07">
      <w:pPr>
        <w:spacing w:line="480" w:lineRule="auto"/>
      </w:pPr>
      <w:r w:rsidRPr="00EF5A07">
        <w:t xml:space="preserve">Table </w:t>
      </w:r>
      <w:r>
        <w:t>1</w:t>
      </w:r>
      <w:r w:rsidRPr="00EF5A07">
        <w:t xml:space="preserve">. </w:t>
      </w:r>
      <w:r>
        <w:t xml:space="preserve">Changes on tracer concentrations and ages induced by variations of temperature (1K) and salinity (1‰) conditions during recharge. Noble gas data from Aesbach-Hertig et al. (1999), </w:t>
      </w:r>
      <w:r w:rsidRPr="00444A13">
        <w:rPr>
          <w:vertAlign w:val="superscript"/>
        </w:rPr>
        <w:t>3</w:t>
      </w:r>
      <w:r>
        <w:t>He</w:t>
      </w:r>
      <w:r w:rsidRPr="00444A13">
        <w:rPr>
          <w:vertAlign w:val="subscript"/>
        </w:rPr>
        <w:t xml:space="preserve">trit </w:t>
      </w:r>
      <w:r>
        <w:t>data from Cook and Solomon (1997), and CFC-12 and SF</w:t>
      </w:r>
      <w:r w:rsidRPr="00444A13">
        <w:rPr>
          <w:vertAlign w:val="subscript"/>
        </w:rPr>
        <w:t>6</w:t>
      </w:r>
      <w:r>
        <w:t xml:space="preserve"> data calculated based on </w:t>
      </w:r>
      <w:r w:rsidR="007C0114">
        <w:t>their solubility equations (Warner and Weiss, 1985; Wanninkhof et al., 1991)</w:t>
      </w:r>
      <w:r w:rsidR="00833EB0">
        <w:t xml:space="preserve"> </w:t>
      </w:r>
    </w:p>
    <w:p w14:paraId="2F94417A" w14:textId="7939A415" w:rsidR="00EF5A07" w:rsidRPr="00EF5A07" w:rsidRDefault="00EF5A07" w:rsidP="00EF5A07">
      <w:pPr>
        <w:spacing w:line="480" w:lineRule="auto"/>
      </w:pPr>
      <w:r w:rsidRPr="00EF5A07">
        <w:t xml:space="preserve">Table </w:t>
      </w:r>
      <w:r w:rsidR="00E85DD6">
        <w:t>2</w:t>
      </w:r>
      <w:r w:rsidRPr="00EF5A07">
        <w:t xml:space="preserve">. Main statistical descriptors (n, number of samples/measurements; min, minimum; max, maximum; mean, average; and cv, </w:t>
      </w:r>
      <w:r w:rsidRPr="00EF5A07">
        <w:rPr>
          <w:noProof/>
        </w:rPr>
        <w:t>coefficient</w:t>
      </w:r>
      <w:r w:rsidRPr="00EF5A07">
        <w:t xml:space="preserve"> of variation in %) of groundwater </w:t>
      </w:r>
      <w:r w:rsidRPr="00EF5A07">
        <w:rPr>
          <w:noProof/>
        </w:rPr>
        <w:t>physicochemical</w:t>
      </w:r>
      <w:r w:rsidRPr="00EF5A07">
        <w:t xml:space="preserve"> data. Units: electrical conductivity (EC) in mS/cm, water temperature (T) in ºC, flow rate in l/s, major ions in mg/l.</w:t>
      </w:r>
    </w:p>
    <w:p w14:paraId="16DE15B1" w14:textId="437D76E2" w:rsidR="00536025" w:rsidRPr="00EF5A07" w:rsidRDefault="00536025" w:rsidP="00536025">
      <w:pPr>
        <w:spacing w:line="480" w:lineRule="auto"/>
      </w:pPr>
      <w:r w:rsidRPr="00EF5A07">
        <w:t xml:space="preserve">Table </w:t>
      </w:r>
      <w:r w:rsidR="00E85DD6">
        <w:t>3</w:t>
      </w:r>
      <w:r w:rsidRPr="00EF5A07">
        <w:t xml:space="preserve">. Data of tritium, noble gases, </w:t>
      </w:r>
      <w:r w:rsidRPr="00EF5A07">
        <w:rPr>
          <w:noProof/>
        </w:rPr>
        <w:t>and</w:t>
      </w:r>
      <w:r w:rsidRPr="00EF5A07">
        <w:t xml:space="preserve"> CFC-12 analysis and age dating results. Values in this table are degassing and salinity corrected according to the provided NaCl concentration. (#) No congruent result, (</w:t>
      </w:r>
      <w:r w:rsidRPr="00EF5A07">
        <w:rPr>
          <w:vertAlign w:val="superscript"/>
        </w:rPr>
        <w:t>f</w:t>
      </w:r>
      <w:r w:rsidRPr="00EF5A07">
        <w:t>) spring flooding, (</w:t>
      </w:r>
      <w:r w:rsidRPr="00EF5A07">
        <w:rPr>
          <w:vertAlign w:val="superscript"/>
        </w:rPr>
        <w:t>d</w:t>
      </w:r>
      <w:r w:rsidRPr="00EF5A07">
        <w:t>) spring depletion.</w:t>
      </w:r>
    </w:p>
    <w:p w14:paraId="76C3BF54" w14:textId="7261E6C7" w:rsidR="00536025" w:rsidRDefault="00536025" w:rsidP="00536025">
      <w:pPr>
        <w:spacing w:line="480" w:lineRule="auto"/>
        <w:rPr>
          <w:rStyle w:val="nfasissutil"/>
        </w:rPr>
      </w:pPr>
      <w:r w:rsidRPr="00536025">
        <w:rPr>
          <w:rStyle w:val="nfasissutil"/>
        </w:rPr>
        <w:t xml:space="preserve">Table </w:t>
      </w:r>
      <w:r w:rsidR="00E85DD6">
        <w:rPr>
          <w:rStyle w:val="nfasissutil"/>
        </w:rPr>
        <w:t>4</w:t>
      </w:r>
      <w:r w:rsidRPr="00536025">
        <w:rPr>
          <w:rStyle w:val="nfasissutil"/>
        </w:rPr>
        <w:t xml:space="preserve">. </w:t>
      </w:r>
      <w:r w:rsidR="00B679A0">
        <w:rPr>
          <w:rStyle w:val="nfasissutil"/>
        </w:rPr>
        <w:t xml:space="preserve">Results of the </w:t>
      </w:r>
      <w:r w:rsidRPr="00536025">
        <w:rPr>
          <w:rStyle w:val="nfasissutil"/>
        </w:rPr>
        <w:t>Binary mixing model</w:t>
      </w:r>
      <w:r w:rsidR="00B679A0">
        <w:rPr>
          <w:rStyle w:val="nfasissutil"/>
        </w:rPr>
        <w:t>,</w:t>
      </w:r>
      <w:r w:rsidRPr="00536025">
        <w:rPr>
          <w:rStyle w:val="nfasissutil"/>
        </w:rPr>
        <w:t xml:space="preserve"> </w:t>
      </w:r>
      <w:r w:rsidR="00B679A0">
        <w:rPr>
          <w:rStyle w:val="nfasissutil"/>
        </w:rPr>
        <w:t xml:space="preserve">the </w:t>
      </w:r>
      <w:r w:rsidRPr="00536025">
        <w:rPr>
          <w:rStyle w:val="nfasissutil"/>
        </w:rPr>
        <w:t>Shape-Free Model (3-bins)</w:t>
      </w:r>
      <w:r w:rsidR="00B679A0">
        <w:rPr>
          <w:rStyle w:val="nfasissutil"/>
        </w:rPr>
        <w:t>, the Exponential Piston Model and the Dispersion Model</w:t>
      </w:r>
      <w:r w:rsidRPr="00536025">
        <w:rPr>
          <w:rStyle w:val="nfasissutil"/>
        </w:rPr>
        <w:t>.</w:t>
      </w:r>
      <w:r w:rsidR="00B679A0">
        <w:rPr>
          <w:rStyle w:val="nfasissutil"/>
        </w:rPr>
        <w:t xml:space="preserve"> GA</w:t>
      </w:r>
      <w:r w:rsidR="00B679A0" w:rsidRPr="00444A13">
        <w:rPr>
          <w:rStyle w:val="nfasissutil"/>
          <w:vertAlign w:val="subscript"/>
        </w:rPr>
        <w:t>50</w:t>
      </w:r>
      <w:r w:rsidR="00B679A0">
        <w:rPr>
          <w:rStyle w:val="nfasissutil"/>
        </w:rPr>
        <w:t xml:space="preserve">, median of the groundwater </w:t>
      </w:r>
      <w:r w:rsidR="00B679A0">
        <w:rPr>
          <w:rStyle w:val="nfasissutil"/>
        </w:rPr>
        <w:lastRenderedPageBreak/>
        <w:t xml:space="preserve">distribution age; &gt; 75 years, fraction of groundwater free of </w:t>
      </w:r>
      <w:r w:rsidR="00B679A0" w:rsidRPr="00444A13">
        <w:rPr>
          <w:rStyle w:val="nfasissutil"/>
          <w:vertAlign w:val="superscript"/>
        </w:rPr>
        <w:t>3</w:t>
      </w:r>
      <w:r w:rsidR="00B679A0">
        <w:rPr>
          <w:rStyle w:val="nfasissutil"/>
        </w:rPr>
        <w:t>H and CFC-12; EPM ratio, Exponential Piston Model ratio; DP, Dispersion parameter.</w:t>
      </w:r>
    </w:p>
    <w:p w14:paraId="2DB2071E" w14:textId="32AA4307" w:rsidR="00B679A0" w:rsidRPr="00B679A0" w:rsidRDefault="00B679A0" w:rsidP="00536025">
      <w:pPr>
        <w:spacing w:line="480" w:lineRule="auto"/>
        <w:rPr>
          <w:rStyle w:val="nfasissutil"/>
        </w:rPr>
      </w:pPr>
      <w:r>
        <w:rPr>
          <w:rStyle w:val="nfasissutil"/>
        </w:rPr>
        <w:t xml:space="preserve">Table 5. Correlation coefficient between EC, degassed corrected CFC-12, </w:t>
      </w:r>
      <w:r w:rsidRPr="00B679A0">
        <w:rPr>
          <w:rStyle w:val="nfasissutil"/>
        </w:rPr>
        <w:t>rCl</w:t>
      </w:r>
      <w:r w:rsidRPr="00444A13">
        <w:rPr>
          <w:rStyle w:val="nfasissutil"/>
          <w:vertAlign w:val="superscript"/>
        </w:rPr>
        <w:t>-</w:t>
      </w:r>
      <w:r w:rsidRPr="00B679A0">
        <w:rPr>
          <w:rStyle w:val="nfasissutil"/>
        </w:rPr>
        <w:t>/SO</w:t>
      </w:r>
      <w:r w:rsidRPr="00444A13">
        <w:rPr>
          <w:rStyle w:val="nfasissutil"/>
          <w:vertAlign w:val="subscript"/>
        </w:rPr>
        <w:t>4</w:t>
      </w:r>
      <w:r w:rsidRPr="00444A13">
        <w:rPr>
          <w:rStyle w:val="nfasissutil"/>
          <w:vertAlign w:val="superscript"/>
        </w:rPr>
        <w:t>2-</w:t>
      </w:r>
      <w:r>
        <w:rPr>
          <w:rStyle w:val="nfasissutil"/>
        </w:rPr>
        <w:t xml:space="preserve">, and the groundwater age information derived from the Shaped Free Model (SFM), the Exponential Piston Model (EPM), and the Dispersion Model (DM). </w:t>
      </w:r>
      <w:r>
        <w:rPr>
          <w:rStyle w:val="nfasissutil"/>
        </w:rPr>
        <w:t>GA</w:t>
      </w:r>
      <w:r w:rsidRPr="0009465A">
        <w:rPr>
          <w:rStyle w:val="nfasissutil"/>
          <w:vertAlign w:val="subscript"/>
        </w:rPr>
        <w:t>50</w:t>
      </w:r>
      <w:r>
        <w:rPr>
          <w:rStyle w:val="nfasissutil"/>
        </w:rPr>
        <w:t xml:space="preserve">, median of the groundwater distribution age; &gt; 75 years, fraction of groundwater free of </w:t>
      </w:r>
      <w:r w:rsidRPr="0009465A">
        <w:rPr>
          <w:rStyle w:val="nfasissutil"/>
          <w:vertAlign w:val="superscript"/>
        </w:rPr>
        <w:t>3</w:t>
      </w:r>
      <w:r>
        <w:rPr>
          <w:rStyle w:val="nfasissutil"/>
        </w:rPr>
        <w:t>H and CFC-12</w:t>
      </w:r>
      <w:r>
        <w:rPr>
          <w:rStyle w:val="nfasissutil"/>
        </w:rPr>
        <w:t>. (*) J1 sample taken during flooding is not considered. (**) H2 is neither considered.</w:t>
      </w:r>
    </w:p>
    <w:p w14:paraId="296DC208" w14:textId="77777777" w:rsidR="00EF5A07" w:rsidRPr="005B3622" w:rsidRDefault="00EF5A07" w:rsidP="00EF5A07">
      <w:pPr>
        <w:spacing w:line="480" w:lineRule="auto"/>
      </w:pPr>
    </w:p>
    <w:sectPr w:rsidR="00EF5A07" w:rsidRPr="005B3622" w:rsidSect="006C67A9">
      <w:footerReference w:type="default" r:id="rId12"/>
      <w:pgSz w:w="12240" w:h="15840"/>
      <w:pgMar w:top="1417" w:right="1701" w:bottom="1417" w:left="1701" w:header="708" w:footer="708"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7EFCCB" w14:textId="77777777" w:rsidR="00950D39" w:rsidRDefault="00950D39" w:rsidP="00867A3A">
      <w:pPr>
        <w:spacing w:before="0" w:after="0" w:line="240" w:lineRule="auto"/>
      </w:pPr>
      <w:r>
        <w:separator/>
      </w:r>
    </w:p>
  </w:endnote>
  <w:endnote w:type="continuationSeparator" w:id="0">
    <w:p w14:paraId="5DE22FCB" w14:textId="77777777" w:rsidR="00950D39" w:rsidRDefault="00950D39" w:rsidP="00867A3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Cambria-Italic">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imesTen-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75440311"/>
      <w:docPartObj>
        <w:docPartGallery w:val="Page Numbers (Bottom of Page)"/>
        <w:docPartUnique/>
      </w:docPartObj>
    </w:sdtPr>
    <w:sdtContent>
      <w:p w14:paraId="027F43F3" w14:textId="32F95494" w:rsidR="00696AD3" w:rsidRDefault="00696AD3">
        <w:pPr>
          <w:pStyle w:val="Piedepgina"/>
          <w:jc w:val="center"/>
        </w:pPr>
        <w:r>
          <w:fldChar w:fldCharType="begin"/>
        </w:r>
        <w:r>
          <w:instrText>PAGE   \* MERGEFORMAT</w:instrText>
        </w:r>
        <w:r>
          <w:fldChar w:fldCharType="separate"/>
        </w:r>
        <w:r w:rsidR="00945976" w:rsidRPr="00945976">
          <w:rPr>
            <w:noProof/>
            <w:lang w:val="es-ES"/>
          </w:rPr>
          <w:t>28</w:t>
        </w:r>
        <w:r>
          <w:fldChar w:fldCharType="end"/>
        </w:r>
      </w:p>
    </w:sdtContent>
  </w:sdt>
  <w:p w14:paraId="38C432CF" w14:textId="77777777" w:rsidR="00696AD3" w:rsidRDefault="00696AD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8DFB2D" w14:textId="77777777" w:rsidR="00950D39" w:rsidRDefault="00950D39" w:rsidP="00867A3A">
      <w:pPr>
        <w:spacing w:before="0" w:after="0" w:line="240" w:lineRule="auto"/>
      </w:pPr>
      <w:r>
        <w:separator/>
      </w:r>
    </w:p>
  </w:footnote>
  <w:footnote w:type="continuationSeparator" w:id="0">
    <w:p w14:paraId="1ED27CD7" w14:textId="77777777" w:rsidR="00950D39" w:rsidRDefault="00950D39" w:rsidP="00867A3A">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09276C"/>
    <w:multiLevelType w:val="hybridMultilevel"/>
    <w:tmpl w:val="203ACABE"/>
    <w:lvl w:ilvl="0" w:tplc="0C0A000F">
      <w:start w:val="1"/>
      <w:numFmt w:val="decimal"/>
      <w:lvlText w:val="%1."/>
      <w:lvlJc w:val="left"/>
      <w:pPr>
        <w:ind w:left="1077" w:hanging="360"/>
      </w:pPr>
    </w:lvl>
    <w:lvl w:ilvl="1" w:tplc="0C0A0019" w:tentative="1">
      <w:start w:val="1"/>
      <w:numFmt w:val="lowerLetter"/>
      <w:lvlText w:val="%2."/>
      <w:lvlJc w:val="left"/>
      <w:pPr>
        <w:ind w:left="1797" w:hanging="360"/>
      </w:pPr>
    </w:lvl>
    <w:lvl w:ilvl="2" w:tplc="0C0A001B" w:tentative="1">
      <w:start w:val="1"/>
      <w:numFmt w:val="lowerRoman"/>
      <w:lvlText w:val="%3."/>
      <w:lvlJc w:val="right"/>
      <w:pPr>
        <w:ind w:left="2517" w:hanging="180"/>
      </w:pPr>
    </w:lvl>
    <w:lvl w:ilvl="3" w:tplc="0C0A000F" w:tentative="1">
      <w:start w:val="1"/>
      <w:numFmt w:val="decimal"/>
      <w:lvlText w:val="%4."/>
      <w:lvlJc w:val="left"/>
      <w:pPr>
        <w:ind w:left="3237" w:hanging="360"/>
      </w:pPr>
    </w:lvl>
    <w:lvl w:ilvl="4" w:tplc="0C0A0019" w:tentative="1">
      <w:start w:val="1"/>
      <w:numFmt w:val="lowerLetter"/>
      <w:lvlText w:val="%5."/>
      <w:lvlJc w:val="left"/>
      <w:pPr>
        <w:ind w:left="3957" w:hanging="360"/>
      </w:pPr>
    </w:lvl>
    <w:lvl w:ilvl="5" w:tplc="0C0A001B" w:tentative="1">
      <w:start w:val="1"/>
      <w:numFmt w:val="lowerRoman"/>
      <w:lvlText w:val="%6."/>
      <w:lvlJc w:val="right"/>
      <w:pPr>
        <w:ind w:left="4677" w:hanging="180"/>
      </w:pPr>
    </w:lvl>
    <w:lvl w:ilvl="6" w:tplc="0C0A000F" w:tentative="1">
      <w:start w:val="1"/>
      <w:numFmt w:val="decimal"/>
      <w:lvlText w:val="%7."/>
      <w:lvlJc w:val="left"/>
      <w:pPr>
        <w:ind w:left="5397" w:hanging="360"/>
      </w:pPr>
    </w:lvl>
    <w:lvl w:ilvl="7" w:tplc="0C0A0019" w:tentative="1">
      <w:start w:val="1"/>
      <w:numFmt w:val="lowerLetter"/>
      <w:lvlText w:val="%8."/>
      <w:lvlJc w:val="left"/>
      <w:pPr>
        <w:ind w:left="6117" w:hanging="360"/>
      </w:pPr>
    </w:lvl>
    <w:lvl w:ilvl="8" w:tplc="0C0A001B" w:tentative="1">
      <w:start w:val="1"/>
      <w:numFmt w:val="lowerRoman"/>
      <w:lvlText w:val="%9."/>
      <w:lvlJc w:val="right"/>
      <w:pPr>
        <w:ind w:left="6837" w:hanging="180"/>
      </w:pPr>
    </w:lvl>
  </w:abstractNum>
  <w:abstractNum w:abstractNumId="1">
    <w:nsid w:val="1B7622E9"/>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33B27CBA"/>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3B846663"/>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42725027"/>
    <w:multiLevelType w:val="hybridMultilevel"/>
    <w:tmpl w:val="41D857D2"/>
    <w:lvl w:ilvl="0" w:tplc="04090001">
      <w:start w:val="1"/>
      <w:numFmt w:val="bullet"/>
      <w:lvlText w:val=""/>
      <w:lvlJc w:val="left"/>
      <w:pPr>
        <w:ind w:left="651" w:hanging="360"/>
      </w:pPr>
      <w:rPr>
        <w:rFonts w:ascii="Symbol" w:hAnsi="Symbol" w:hint="default"/>
      </w:rPr>
    </w:lvl>
    <w:lvl w:ilvl="1" w:tplc="04090003" w:tentative="1">
      <w:start w:val="1"/>
      <w:numFmt w:val="bullet"/>
      <w:lvlText w:val="o"/>
      <w:lvlJc w:val="left"/>
      <w:pPr>
        <w:ind w:left="1371" w:hanging="360"/>
      </w:pPr>
      <w:rPr>
        <w:rFonts w:ascii="Courier New" w:hAnsi="Courier New" w:cs="Courier New" w:hint="default"/>
      </w:rPr>
    </w:lvl>
    <w:lvl w:ilvl="2" w:tplc="04090005" w:tentative="1">
      <w:start w:val="1"/>
      <w:numFmt w:val="bullet"/>
      <w:lvlText w:val=""/>
      <w:lvlJc w:val="left"/>
      <w:pPr>
        <w:ind w:left="2091" w:hanging="360"/>
      </w:pPr>
      <w:rPr>
        <w:rFonts w:ascii="Wingdings" w:hAnsi="Wingdings" w:hint="default"/>
      </w:rPr>
    </w:lvl>
    <w:lvl w:ilvl="3" w:tplc="04090001" w:tentative="1">
      <w:start w:val="1"/>
      <w:numFmt w:val="bullet"/>
      <w:lvlText w:val=""/>
      <w:lvlJc w:val="left"/>
      <w:pPr>
        <w:ind w:left="2811" w:hanging="360"/>
      </w:pPr>
      <w:rPr>
        <w:rFonts w:ascii="Symbol" w:hAnsi="Symbol" w:hint="default"/>
      </w:rPr>
    </w:lvl>
    <w:lvl w:ilvl="4" w:tplc="04090003" w:tentative="1">
      <w:start w:val="1"/>
      <w:numFmt w:val="bullet"/>
      <w:lvlText w:val="o"/>
      <w:lvlJc w:val="left"/>
      <w:pPr>
        <w:ind w:left="3531" w:hanging="360"/>
      </w:pPr>
      <w:rPr>
        <w:rFonts w:ascii="Courier New" w:hAnsi="Courier New" w:cs="Courier New" w:hint="default"/>
      </w:rPr>
    </w:lvl>
    <w:lvl w:ilvl="5" w:tplc="04090005" w:tentative="1">
      <w:start w:val="1"/>
      <w:numFmt w:val="bullet"/>
      <w:lvlText w:val=""/>
      <w:lvlJc w:val="left"/>
      <w:pPr>
        <w:ind w:left="4251" w:hanging="360"/>
      </w:pPr>
      <w:rPr>
        <w:rFonts w:ascii="Wingdings" w:hAnsi="Wingdings" w:hint="default"/>
      </w:rPr>
    </w:lvl>
    <w:lvl w:ilvl="6" w:tplc="04090001" w:tentative="1">
      <w:start w:val="1"/>
      <w:numFmt w:val="bullet"/>
      <w:lvlText w:val=""/>
      <w:lvlJc w:val="left"/>
      <w:pPr>
        <w:ind w:left="4971" w:hanging="360"/>
      </w:pPr>
      <w:rPr>
        <w:rFonts w:ascii="Symbol" w:hAnsi="Symbol" w:hint="default"/>
      </w:rPr>
    </w:lvl>
    <w:lvl w:ilvl="7" w:tplc="04090003" w:tentative="1">
      <w:start w:val="1"/>
      <w:numFmt w:val="bullet"/>
      <w:lvlText w:val="o"/>
      <w:lvlJc w:val="left"/>
      <w:pPr>
        <w:ind w:left="5691" w:hanging="360"/>
      </w:pPr>
      <w:rPr>
        <w:rFonts w:ascii="Courier New" w:hAnsi="Courier New" w:cs="Courier New" w:hint="default"/>
      </w:rPr>
    </w:lvl>
    <w:lvl w:ilvl="8" w:tplc="04090005" w:tentative="1">
      <w:start w:val="1"/>
      <w:numFmt w:val="bullet"/>
      <w:lvlText w:val=""/>
      <w:lvlJc w:val="left"/>
      <w:pPr>
        <w:ind w:left="6411" w:hanging="360"/>
      </w:pPr>
      <w:rPr>
        <w:rFonts w:ascii="Wingdings" w:hAnsi="Wingdings" w:hint="default"/>
      </w:rPr>
    </w:lvl>
  </w:abstractNum>
  <w:abstractNum w:abstractNumId="5">
    <w:nsid w:val="444B27DC"/>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49E10436"/>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4FDC5E45"/>
    <w:multiLevelType w:val="hybridMultilevel"/>
    <w:tmpl w:val="82240B3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nsid w:val="597B15E3"/>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76887FFC"/>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7B954748"/>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7F292F30"/>
    <w:multiLevelType w:val="hybridMultilevel"/>
    <w:tmpl w:val="F2C65014"/>
    <w:lvl w:ilvl="0" w:tplc="0C0A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5"/>
  </w:num>
  <w:num w:numId="2">
    <w:abstractNumId w:val="7"/>
  </w:num>
  <w:num w:numId="3">
    <w:abstractNumId w:val="1"/>
  </w:num>
  <w:num w:numId="4">
    <w:abstractNumId w:val="11"/>
  </w:num>
  <w:num w:numId="5">
    <w:abstractNumId w:val="2"/>
  </w:num>
  <w:num w:numId="6">
    <w:abstractNumId w:val="3"/>
  </w:num>
  <w:num w:numId="7">
    <w:abstractNumId w:val="0"/>
  </w:num>
  <w:num w:numId="8">
    <w:abstractNumId w:val="6"/>
  </w:num>
  <w:num w:numId="9">
    <w:abstractNumId w:val="10"/>
  </w:num>
  <w:num w:numId="10">
    <w:abstractNumId w:val="8"/>
  </w:num>
  <w:num w:numId="11">
    <w:abstractNumId w:val="9"/>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DY1MDUzMzYxtTQ0NjJX0lEKTi0uzszPAykwNq4FAA73D/ktAAAA"/>
  </w:docVars>
  <w:rsids>
    <w:rsidRoot w:val="003C3F1F"/>
    <w:rsid w:val="000008C8"/>
    <w:rsid w:val="000008F8"/>
    <w:rsid w:val="00000B4B"/>
    <w:rsid w:val="00002860"/>
    <w:rsid w:val="00005D34"/>
    <w:rsid w:val="00005D54"/>
    <w:rsid w:val="000102C9"/>
    <w:rsid w:val="000122DA"/>
    <w:rsid w:val="0001345E"/>
    <w:rsid w:val="0001358E"/>
    <w:rsid w:val="00013C89"/>
    <w:rsid w:val="00017153"/>
    <w:rsid w:val="00017D47"/>
    <w:rsid w:val="00021FE4"/>
    <w:rsid w:val="000229C0"/>
    <w:rsid w:val="000232FD"/>
    <w:rsid w:val="00033A5E"/>
    <w:rsid w:val="00034361"/>
    <w:rsid w:val="0003615F"/>
    <w:rsid w:val="00043707"/>
    <w:rsid w:val="00045160"/>
    <w:rsid w:val="00046963"/>
    <w:rsid w:val="000503A8"/>
    <w:rsid w:val="000514E4"/>
    <w:rsid w:val="00052203"/>
    <w:rsid w:val="000535CB"/>
    <w:rsid w:val="000540A0"/>
    <w:rsid w:val="000552AC"/>
    <w:rsid w:val="00060390"/>
    <w:rsid w:val="00061A5D"/>
    <w:rsid w:val="00064DDA"/>
    <w:rsid w:val="00065582"/>
    <w:rsid w:val="000657B7"/>
    <w:rsid w:val="00066CF7"/>
    <w:rsid w:val="000710A3"/>
    <w:rsid w:val="000801F1"/>
    <w:rsid w:val="0008377F"/>
    <w:rsid w:val="00083946"/>
    <w:rsid w:val="000866DB"/>
    <w:rsid w:val="00091106"/>
    <w:rsid w:val="00091A6A"/>
    <w:rsid w:val="00096D84"/>
    <w:rsid w:val="00096DE2"/>
    <w:rsid w:val="000A0288"/>
    <w:rsid w:val="000A0332"/>
    <w:rsid w:val="000A33D5"/>
    <w:rsid w:val="000A455C"/>
    <w:rsid w:val="000A4DBE"/>
    <w:rsid w:val="000B16E3"/>
    <w:rsid w:val="000C1773"/>
    <w:rsid w:val="000C7FD1"/>
    <w:rsid w:val="000D72F7"/>
    <w:rsid w:val="000E0212"/>
    <w:rsid w:val="000E198C"/>
    <w:rsid w:val="000E5921"/>
    <w:rsid w:val="000E6BD7"/>
    <w:rsid w:val="000F0962"/>
    <w:rsid w:val="000F36DF"/>
    <w:rsid w:val="000F41FC"/>
    <w:rsid w:val="000F58A3"/>
    <w:rsid w:val="001005BE"/>
    <w:rsid w:val="00102B51"/>
    <w:rsid w:val="001041A2"/>
    <w:rsid w:val="00112949"/>
    <w:rsid w:val="001138B8"/>
    <w:rsid w:val="00113B7E"/>
    <w:rsid w:val="001153E6"/>
    <w:rsid w:val="00117611"/>
    <w:rsid w:val="00121877"/>
    <w:rsid w:val="00123B0D"/>
    <w:rsid w:val="00127682"/>
    <w:rsid w:val="0013017A"/>
    <w:rsid w:val="001322FD"/>
    <w:rsid w:val="00133EE6"/>
    <w:rsid w:val="0013684C"/>
    <w:rsid w:val="001454A2"/>
    <w:rsid w:val="001454B4"/>
    <w:rsid w:val="00151EC5"/>
    <w:rsid w:val="00152C91"/>
    <w:rsid w:val="00156473"/>
    <w:rsid w:val="001612E2"/>
    <w:rsid w:val="001662E9"/>
    <w:rsid w:val="00167C53"/>
    <w:rsid w:val="00171100"/>
    <w:rsid w:val="00172F5D"/>
    <w:rsid w:val="001737E9"/>
    <w:rsid w:val="00175403"/>
    <w:rsid w:val="00175D75"/>
    <w:rsid w:val="00176F6A"/>
    <w:rsid w:val="00180E57"/>
    <w:rsid w:val="001810E0"/>
    <w:rsid w:val="001822C1"/>
    <w:rsid w:val="00185E48"/>
    <w:rsid w:val="001869B9"/>
    <w:rsid w:val="00187078"/>
    <w:rsid w:val="001908EB"/>
    <w:rsid w:val="0019242F"/>
    <w:rsid w:val="001939D1"/>
    <w:rsid w:val="00193E07"/>
    <w:rsid w:val="00194419"/>
    <w:rsid w:val="0019478C"/>
    <w:rsid w:val="00194E22"/>
    <w:rsid w:val="0019670E"/>
    <w:rsid w:val="00196A1E"/>
    <w:rsid w:val="001971A1"/>
    <w:rsid w:val="001A0E4A"/>
    <w:rsid w:val="001A2103"/>
    <w:rsid w:val="001A3A5A"/>
    <w:rsid w:val="001A75EF"/>
    <w:rsid w:val="001B40E0"/>
    <w:rsid w:val="001B6FA2"/>
    <w:rsid w:val="001C0FA6"/>
    <w:rsid w:val="001C4EB1"/>
    <w:rsid w:val="001D2CDB"/>
    <w:rsid w:val="001D2F8D"/>
    <w:rsid w:val="001D4168"/>
    <w:rsid w:val="001D48E2"/>
    <w:rsid w:val="001D4F04"/>
    <w:rsid w:val="001E02FA"/>
    <w:rsid w:val="001E0836"/>
    <w:rsid w:val="001E1FA0"/>
    <w:rsid w:val="001E2814"/>
    <w:rsid w:val="001E29EF"/>
    <w:rsid w:val="001E625C"/>
    <w:rsid w:val="001E77DB"/>
    <w:rsid w:val="001F15B7"/>
    <w:rsid w:val="001F296B"/>
    <w:rsid w:val="001F6561"/>
    <w:rsid w:val="001F66B6"/>
    <w:rsid w:val="001F6B72"/>
    <w:rsid w:val="001F6FA7"/>
    <w:rsid w:val="00202005"/>
    <w:rsid w:val="0020254F"/>
    <w:rsid w:val="00204E56"/>
    <w:rsid w:val="002056E8"/>
    <w:rsid w:val="002063B0"/>
    <w:rsid w:val="00206DF0"/>
    <w:rsid w:val="002156F7"/>
    <w:rsid w:val="002207C0"/>
    <w:rsid w:val="002339EC"/>
    <w:rsid w:val="0023774B"/>
    <w:rsid w:val="00243978"/>
    <w:rsid w:val="002451F5"/>
    <w:rsid w:val="00246674"/>
    <w:rsid w:val="002469B5"/>
    <w:rsid w:val="0024798B"/>
    <w:rsid w:val="00250FC8"/>
    <w:rsid w:val="0025602C"/>
    <w:rsid w:val="00257E68"/>
    <w:rsid w:val="002603EF"/>
    <w:rsid w:val="0026060F"/>
    <w:rsid w:val="00261D9A"/>
    <w:rsid w:val="00263732"/>
    <w:rsid w:val="00264759"/>
    <w:rsid w:val="00265BAE"/>
    <w:rsid w:val="0027361A"/>
    <w:rsid w:val="0027516F"/>
    <w:rsid w:val="00275E6D"/>
    <w:rsid w:val="0027774B"/>
    <w:rsid w:val="00281248"/>
    <w:rsid w:val="002815D4"/>
    <w:rsid w:val="002816A5"/>
    <w:rsid w:val="0028254E"/>
    <w:rsid w:val="002825D8"/>
    <w:rsid w:val="0028291E"/>
    <w:rsid w:val="00296D82"/>
    <w:rsid w:val="002972F1"/>
    <w:rsid w:val="002A1157"/>
    <w:rsid w:val="002A298C"/>
    <w:rsid w:val="002A48FE"/>
    <w:rsid w:val="002A7053"/>
    <w:rsid w:val="002B5711"/>
    <w:rsid w:val="002C0829"/>
    <w:rsid w:val="002C0BC7"/>
    <w:rsid w:val="002C22B9"/>
    <w:rsid w:val="002C288C"/>
    <w:rsid w:val="002C5C45"/>
    <w:rsid w:val="002C67B0"/>
    <w:rsid w:val="002C78A0"/>
    <w:rsid w:val="002D2310"/>
    <w:rsid w:val="002D30CC"/>
    <w:rsid w:val="002D3180"/>
    <w:rsid w:val="002E0DBC"/>
    <w:rsid w:val="002E131D"/>
    <w:rsid w:val="002E4C1A"/>
    <w:rsid w:val="002E663F"/>
    <w:rsid w:val="002E6D80"/>
    <w:rsid w:val="002F462D"/>
    <w:rsid w:val="002F59C4"/>
    <w:rsid w:val="00304E8D"/>
    <w:rsid w:val="00311EAD"/>
    <w:rsid w:val="00314A73"/>
    <w:rsid w:val="00317868"/>
    <w:rsid w:val="00325C39"/>
    <w:rsid w:val="003349E0"/>
    <w:rsid w:val="00336AE5"/>
    <w:rsid w:val="003437D1"/>
    <w:rsid w:val="00344C10"/>
    <w:rsid w:val="00356500"/>
    <w:rsid w:val="00364569"/>
    <w:rsid w:val="003664BB"/>
    <w:rsid w:val="003667E1"/>
    <w:rsid w:val="00370A76"/>
    <w:rsid w:val="0037121E"/>
    <w:rsid w:val="00374013"/>
    <w:rsid w:val="00380A45"/>
    <w:rsid w:val="00382CAD"/>
    <w:rsid w:val="00385013"/>
    <w:rsid w:val="00385B23"/>
    <w:rsid w:val="00394B2D"/>
    <w:rsid w:val="00394FAC"/>
    <w:rsid w:val="003A2FC9"/>
    <w:rsid w:val="003A4A60"/>
    <w:rsid w:val="003A60B5"/>
    <w:rsid w:val="003A7DC8"/>
    <w:rsid w:val="003B0FC4"/>
    <w:rsid w:val="003B1628"/>
    <w:rsid w:val="003B217F"/>
    <w:rsid w:val="003B3E84"/>
    <w:rsid w:val="003C1AB6"/>
    <w:rsid w:val="003C3A11"/>
    <w:rsid w:val="003C3F1F"/>
    <w:rsid w:val="003C50F3"/>
    <w:rsid w:val="003D1A29"/>
    <w:rsid w:val="003D29BE"/>
    <w:rsid w:val="003D5623"/>
    <w:rsid w:val="003D5862"/>
    <w:rsid w:val="003E0A03"/>
    <w:rsid w:val="003E4886"/>
    <w:rsid w:val="003E52CB"/>
    <w:rsid w:val="003F2500"/>
    <w:rsid w:val="003F2EE7"/>
    <w:rsid w:val="003F7122"/>
    <w:rsid w:val="00401291"/>
    <w:rsid w:val="00402787"/>
    <w:rsid w:val="00403A95"/>
    <w:rsid w:val="00410688"/>
    <w:rsid w:val="00412869"/>
    <w:rsid w:val="00416AB9"/>
    <w:rsid w:val="0042150B"/>
    <w:rsid w:val="004217A6"/>
    <w:rsid w:val="00422A4A"/>
    <w:rsid w:val="00424F66"/>
    <w:rsid w:val="00427AA2"/>
    <w:rsid w:val="00434501"/>
    <w:rsid w:val="00440109"/>
    <w:rsid w:val="00444A13"/>
    <w:rsid w:val="00446892"/>
    <w:rsid w:val="004514C2"/>
    <w:rsid w:val="0045325A"/>
    <w:rsid w:val="004550E0"/>
    <w:rsid w:val="00456106"/>
    <w:rsid w:val="0045649E"/>
    <w:rsid w:val="004565A6"/>
    <w:rsid w:val="00461A81"/>
    <w:rsid w:val="00461C64"/>
    <w:rsid w:val="004711C5"/>
    <w:rsid w:val="00473215"/>
    <w:rsid w:val="004808AE"/>
    <w:rsid w:val="0048693F"/>
    <w:rsid w:val="00486FA6"/>
    <w:rsid w:val="004915E1"/>
    <w:rsid w:val="00495CF9"/>
    <w:rsid w:val="00496616"/>
    <w:rsid w:val="004A11B7"/>
    <w:rsid w:val="004A4811"/>
    <w:rsid w:val="004A533A"/>
    <w:rsid w:val="004B2328"/>
    <w:rsid w:val="004B533A"/>
    <w:rsid w:val="004B5771"/>
    <w:rsid w:val="004B5804"/>
    <w:rsid w:val="004D01D0"/>
    <w:rsid w:val="004D18E0"/>
    <w:rsid w:val="004D1E5B"/>
    <w:rsid w:val="004D49D8"/>
    <w:rsid w:val="004E6E09"/>
    <w:rsid w:val="004F152F"/>
    <w:rsid w:val="004F1A24"/>
    <w:rsid w:val="004F24BE"/>
    <w:rsid w:val="004F7E50"/>
    <w:rsid w:val="00502E6E"/>
    <w:rsid w:val="00503CD4"/>
    <w:rsid w:val="005057C0"/>
    <w:rsid w:val="00505DF9"/>
    <w:rsid w:val="00512060"/>
    <w:rsid w:val="005121BB"/>
    <w:rsid w:val="00522DDF"/>
    <w:rsid w:val="00522EFA"/>
    <w:rsid w:val="00525C92"/>
    <w:rsid w:val="00526B2B"/>
    <w:rsid w:val="005273FC"/>
    <w:rsid w:val="00535BF3"/>
    <w:rsid w:val="00536025"/>
    <w:rsid w:val="0053773E"/>
    <w:rsid w:val="00542F36"/>
    <w:rsid w:val="00544F59"/>
    <w:rsid w:val="005453F6"/>
    <w:rsid w:val="00547D97"/>
    <w:rsid w:val="005527DE"/>
    <w:rsid w:val="005568FF"/>
    <w:rsid w:val="00557CB2"/>
    <w:rsid w:val="005761B8"/>
    <w:rsid w:val="00576290"/>
    <w:rsid w:val="00576507"/>
    <w:rsid w:val="005876C8"/>
    <w:rsid w:val="005878D9"/>
    <w:rsid w:val="005930EC"/>
    <w:rsid w:val="005A0BA2"/>
    <w:rsid w:val="005A29E1"/>
    <w:rsid w:val="005A63C4"/>
    <w:rsid w:val="005A654C"/>
    <w:rsid w:val="005B15DA"/>
    <w:rsid w:val="005B1D27"/>
    <w:rsid w:val="005B3622"/>
    <w:rsid w:val="005B53BB"/>
    <w:rsid w:val="005B5D60"/>
    <w:rsid w:val="005B6CC7"/>
    <w:rsid w:val="005C05F8"/>
    <w:rsid w:val="005C1955"/>
    <w:rsid w:val="005C4564"/>
    <w:rsid w:val="005C59DD"/>
    <w:rsid w:val="005C75F0"/>
    <w:rsid w:val="005D11A2"/>
    <w:rsid w:val="005D274B"/>
    <w:rsid w:val="005E3297"/>
    <w:rsid w:val="005F5285"/>
    <w:rsid w:val="006006FB"/>
    <w:rsid w:val="00601D74"/>
    <w:rsid w:val="00604065"/>
    <w:rsid w:val="0060469F"/>
    <w:rsid w:val="00605455"/>
    <w:rsid w:val="006109A9"/>
    <w:rsid w:val="00612FE0"/>
    <w:rsid w:val="006130BD"/>
    <w:rsid w:val="00615E84"/>
    <w:rsid w:val="006266DD"/>
    <w:rsid w:val="006311E5"/>
    <w:rsid w:val="00633B23"/>
    <w:rsid w:val="00634B0B"/>
    <w:rsid w:val="0064166A"/>
    <w:rsid w:val="00641C7B"/>
    <w:rsid w:val="00645108"/>
    <w:rsid w:val="0065376E"/>
    <w:rsid w:val="00655D7F"/>
    <w:rsid w:val="00665380"/>
    <w:rsid w:val="00672AC7"/>
    <w:rsid w:val="0067337A"/>
    <w:rsid w:val="006753B0"/>
    <w:rsid w:val="00696AD3"/>
    <w:rsid w:val="006973CF"/>
    <w:rsid w:val="006A24E4"/>
    <w:rsid w:val="006A2AD5"/>
    <w:rsid w:val="006A35F9"/>
    <w:rsid w:val="006A619E"/>
    <w:rsid w:val="006A6E98"/>
    <w:rsid w:val="006B1778"/>
    <w:rsid w:val="006B6BF8"/>
    <w:rsid w:val="006C1D0D"/>
    <w:rsid w:val="006C67A9"/>
    <w:rsid w:val="006D014A"/>
    <w:rsid w:val="006D18D8"/>
    <w:rsid w:val="006D4175"/>
    <w:rsid w:val="006D5E46"/>
    <w:rsid w:val="006D6AD5"/>
    <w:rsid w:val="006E103D"/>
    <w:rsid w:val="006E1A7A"/>
    <w:rsid w:val="006E6E2B"/>
    <w:rsid w:val="006E74F7"/>
    <w:rsid w:val="006F2E9E"/>
    <w:rsid w:val="00702CA7"/>
    <w:rsid w:val="007051D1"/>
    <w:rsid w:val="00707258"/>
    <w:rsid w:val="00707B3C"/>
    <w:rsid w:val="00707DDF"/>
    <w:rsid w:val="00712965"/>
    <w:rsid w:val="007170AB"/>
    <w:rsid w:val="007201BB"/>
    <w:rsid w:val="0072196F"/>
    <w:rsid w:val="00721DE7"/>
    <w:rsid w:val="00723E13"/>
    <w:rsid w:val="00724256"/>
    <w:rsid w:val="007249E5"/>
    <w:rsid w:val="00725C17"/>
    <w:rsid w:val="00725C43"/>
    <w:rsid w:val="007269AB"/>
    <w:rsid w:val="007306AD"/>
    <w:rsid w:val="00734E42"/>
    <w:rsid w:val="00735433"/>
    <w:rsid w:val="00736E4F"/>
    <w:rsid w:val="007438CA"/>
    <w:rsid w:val="007438E0"/>
    <w:rsid w:val="00744AAF"/>
    <w:rsid w:val="00744D93"/>
    <w:rsid w:val="00745A87"/>
    <w:rsid w:val="00745E70"/>
    <w:rsid w:val="007464D7"/>
    <w:rsid w:val="0074770A"/>
    <w:rsid w:val="00750925"/>
    <w:rsid w:val="007529D2"/>
    <w:rsid w:val="00755A5C"/>
    <w:rsid w:val="00760D4C"/>
    <w:rsid w:val="007613C8"/>
    <w:rsid w:val="007632F0"/>
    <w:rsid w:val="00766205"/>
    <w:rsid w:val="007664E7"/>
    <w:rsid w:val="007665BF"/>
    <w:rsid w:val="00766D3A"/>
    <w:rsid w:val="007751A9"/>
    <w:rsid w:val="00775F5B"/>
    <w:rsid w:val="0078404B"/>
    <w:rsid w:val="007907D6"/>
    <w:rsid w:val="00791AE9"/>
    <w:rsid w:val="00791F9E"/>
    <w:rsid w:val="0079487B"/>
    <w:rsid w:val="00797C11"/>
    <w:rsid w:val="007A0203"/>
    <w:rsid w:val="007A097A"/>
    <w:rsid w:val="007A12D2"/>
    <w:rsid w:val="007A1C22"/>
    <w:rsid w:val="007A24A4"/>
    <w:rsid w:val="007A2720"/>
    <w:rsid w:val="007A368A"/>
    <w:rsid w:val="007A440D"/>
    <w:rsid w:val="007B08AD"/>
    <w:rsid w:val="007B0BF4"/>
    <w:rsid w:val="007B1451"/>
    <w:rsid w:val="007B3FB9"/>
    <w:rsid w:val="007B5C5D"/>
    <w:rsid w:val="007C0114"/>
    <w:rsid w:val="007C0D58"/>
    <w:rsid w:val="007C2354"/>
    <w:rsid w:val="007C255E"/>
    <w:rsid w:val="007C4734"/>
    <w:rsid w:val="007C533C"/>
    <w:rsid w:val="007C6402"/>
    <w:rsid w:val="007E4073"/>
    <w:rsid w:val="007E6A21"/>
    <w:rsid w:val="007F0856"/>
    <w:rsid w:val="007F23AF"/>
    <w:rsid w:val="007F3479"/>
    <w:rsid w:val="007F4869"/>
    <w:rsid w:val="007F6C6E"/>
    <w:rsid w:val="007F75DD"/>
    <w:rsid w:val="00801AF1"/>
    <w:rsid w:val="00802048"/>
    <w:rsid w:val="00805BCF"/>
    <w:rsid w:val="00806989"/>
    <w:rsid w:val="0080704F"/>
    <w:rsid w:val="00807355"/>
    <w:rsid w:val="00812233"/>
    <w:rsid w:val="00813753"/>
    <w:rsid w:val="00814B9D"/>
    <w:rsid w:val="008157F2"/>
    <w:rsid w:val="008162C7"/>
    <w:rsid w:val="008167B9"/>
    <w:rsid w:val="0082050B"/>
    <w:rsid w:val="00821709"/>
    <w:rsid w:val="00824015"/>
    <w:rsid w:val="00825584"/>
    <w:rsid w:val="00826948"/>
    <w:rsid w:val="00833EB0"/>
    <w:rsid w:val="00836BBC"/>
    <w:rsid w:val="00843D7B"/>
    <w:rsid w:val="008454BB"/>
    <w:rsid w:val="008514D3"/>
    <w:rsid w:val="00851BE5"/>
    <w:rsid w:val="008525F8"/>
    <w:rsid w:val="00852E44"/>
    <w:rsid w:val="008530D6"/>
    <w:rsid w:val="00855319"/>
    <w:rsid w:val="008605A9"/>
    <w:rsid w:val="008655F5"/>
    <w:rsid w:val="00865D8C"/>
    <w:rsid w:val="00866A77"/>
    <w:rsid w:val="008677F4"/>
    <w:rsid w:val="00867A3A"/>
    <w:rsid w:val="008712A4"/>
    <w:rsid w:val="008712BF"/>
    <w:rsid w:val="008748BD"/>
    <w:rsid w:val="00875BF2"/>
    <w:rsid w:val="0088358C"/>
    <w:rsid w:val="00886F93"/>
    <w:rsid w:val="0088726B"/>
    <w:rsid w:val="00892933"/>
    <w:rsid w:val="00892FED"/>
    <w:rsid w:val="00893C00"/>
    <w:rsid w:val="008A04C7"/>
    <w:rsid w:val="008A3630"/>
    <w:rsid w:val="008A7A84"/>
    <w:rsid w:val="008B01AA"/>
    <w:rsid w:val="008B2CB5"/>
    <w:rsid w:val="008B5FBC"/>
    <w:rsid w:val="008B6CDA"/>
    <w:rsid w:val="008C0B66"/>
    <w:rsid w:val="008C136D"/>
    <w:rsid w:val="008C2C02"/>
    <w:rsid w:val="008C2F0E"/>
    <w:rsid w:val="008C3A1D"/>
    <w:rsid w:val="008C4274"/>
    <w:rsid w:val="008D09E1"/>
    <w:rsid w:val="008D0C43"/>
    <w:rsid w:val="008D4E1E"/>
    <w:rsid w:val="008D52F4"/>
    <w:rsid w:val="008D5D52"/>
    <w:rsid w:val="008D7357"/>
    <w:rsid w:val="008E51DC"/>
    <w:rsid w:val="008F25A3"/>
    <w:rsid w:val="008F2D03"/>
    <w:rsid w:val="008F5C51"/>
    <w:rsid w:val="009000A9"/>
    <w:rsid w:val="00911052"/>
    <w:rsid w:val="00912438"/>
    <w:rsid w:val="00913DE9"/>
    <w:rsid w:val="00916793"/>
    <w:rsid w:val="00920442"/>
    <w:rsid w:val="00922004"/>
    <w:rsid w:val="00922AD8"/>
    <w:rsid w:val="00924158"/>
    <w:rsid w:val="00926C16"/>
    <w:rsid w:val="0093532F"/>
    <w:rsid w:val="00936295"/>
    <w:rsid w:val="00941999"/>
    <w:rsid w:val="009423F7"/>
    <w:rsid w:val="009438F8"/>
    <w:rsid w:val="00945976"/>
    <w:rsid w:val="00945D45"/>
    <w:rsid w:val="00947961"/>
    <w:rsid w:val="00950D39"/>
    <w:rsid w:val="009538FC"/>
    <w:rsid w:val="00964B9D"/>
    <w:rsid w:val="0096505C"/>
    <w:rsid w:val="009653FB"/>
    <w:rsid w:val="00966D73"/>
    <w:rsid w:val="009712DB"/>
    <w:rsid w:val="00974BD3"/>
    <w:rsid w:val="00974FC6"/>
    <w:rsid w:val="00981460"/>
    <w:rsid w:val="00984226"/>
    <w:rsid w:val="009849C8"/>
    <w:rsid w:val="00991C02"/>
    <w:rsid w:val="00995008"/>
    <w:rsid w:val="009A0DB4"/>
    <w:rsid w:val="009A28E9"/>
    <w:rsid w:val="009A7905"/>
    <w:rsid w:val="009B2CD9"/>
    <w:rsid w:val="009B30AD"/>
    <w:rsid w:val="009B338F"/>
    <w:rsid w:val="009C0ADC"/>
    <w:rsid w:val="009C2310"/>
    <w:rsid w:val="009C372F"/>
    <w:rsid w:val="009C4AD4"/>
    <w:rsid w:val="009C4CB6"/>
    <w:rsid w:val="009D34B4"/>
    <w:rsid w:val="009D3A89"/>
    <w:rsid w:val="009D5188"/>
    <w:rsid w:val="009D5FF9"/>
    <w:rsid w:val="009E2DE3"/>
    <w:rsid w:val="009E473C"/>
    <w:rsid w:val="009F036D"/>
    <w:rsid w:val="009F58A5"/>
    <w:rsid w:val="009F637D"/>
    <w:rsid w:val="009F6EDB"/>
    <w:rsid w:val="00A0692D"/>
    <w:rsid w:val="00A11B88"/>
    <w:rsid w:val="00A11D7A"/>
    <w:rsid w:val="00A14C6F"/>
    <w:rsid w:val="00A1680D"/>
    <w:rsid w:val="00A1727C"/>
    <w:rsid w:val="00A179A8"/>
    <w:rsid w:val="00A20A90"/>
    <w:rsid w:val="00A252B2"/>
    <w:rsid w:val="00A261A7"/>
    <w:rsid w:val="00A328A5"/>
    <w:rsid w:val="00A33C1A"/>
    <w:rsid w:val="00A56C8D"/>
    <w:rsid w:val="00A56F56"/>
    <w:rsid w:val="00A57F8D"/>
    <w:rsid w:val="00A62691"/>
    <w:rsid w:val="00A642AA"/>
    <w:rsid w:val="00A65AA4"/>
    <w:rsid w:val="00A65FB0"/>
    <w:rsid w:val="00A72BD7"/>
    <w:rsid w:val="00A74CD5"/>
    <w:rsid w:val="00A800D1"/>
    <w:rsid w:val="00A80E88"/>
    <w:rsid w:val="00A81499"/>
    <w:rsid w:val="00A81516"/>
    <w:rsid w:val="00A821EB"/>
    <w:rsid w:val="00A822BC"/>
    <w:rsid w:val="00A8232E"/>
    <w:rsid w:val="00A867AA"/>
    <w:rsid w:val="00A903F4"/>
    <w:rsid w:val="00A9117D"/>
    <w:rsid w:val="00A91BB6"/>
    <w:rsid w:val="00A9660A"/>
    <w:rsid w:val="00A97BBF"/>
    <w:rsid w:val="00AB01EC"/>
    <w:rsid w:val="00AB1714"/>
    <w:rsid w:val="00AB1DDE"/>
    <w:rsid w:val="00AB3334"/>
    <w:rsid w:val="00AB6DBE"/>
    <w:rsid w:val="00AC62E2"/>
    <w:rsid w:val="00AC7730"/>
    <w:rsid w:val="00AC7A30"/>
    <w:rsid w:val="00AD0CE2"/>
    <w:rsid w:val="00AD24C1"/>
    <w:rsid w:val="00AD5408"/>
    <w:rsid w:val="00AD5AD2"/>
    <w:rsid w:val="00AD79B9"/>
    <w:rsid w:val="00AE2BAA"/>
    <w:rsid w:val="00AE52F1"/>
    <w:rsid w:val="00AF0BDF"/>
    <w:rsid w:val="00AF1961"/>
    <w:rsid w:val="00AF4A5B"/>
    <w:rsid w:val="00B019DA"/>
    <w:rsid w:val="00B04CB3"/>
    <w:rsid w:val="00B1132C"/>
    <w:rsid w:val="00B13070"/>
    <w:rsid w:val="00B13808"/>
    <w:rsid w:val="00B152F2"/>
    <w:rsid w:val="00B201CD"/>
    <w:rsid w:val="00B2163E"/>
    <w:rsid w:val="00B21957"/>
    <w:rsid w:val="00B22B75"/>
    <w:rsid w:val="00B26CB4"/>
    <w:rsid w:val="00B3037C"/>
    <w:rsid w:val="00B30899"/>
    <w:rsid w:val="00B327AB"/>
    <w:rsid w:val="00B357BB"/>
    <w:rsid w:val="00B40697"/>
    <w:rsid w:val="00B44EB7"/>
    <w:rsid w:val="00B5270F"/>
    <w:rsid w:val="00B53F19"/>
    <w:rsid w:val="00B54A34"/>
    <w:rsid w:val="00B55037"/>
    <w:rsid w:val="00B56BCA"/>
    <w:rsid w:val="00B56EED"/>
    <w:rsid w:val="00B6028C"/>
    <w:rsid w:val="00B677B6"/>
    <w:rsid w:val="00B679A0"/>
    <w:rsid w:val="00B70E75"/>
    <w:rsid w:val="00B71E8E"/>
    <w:rsid w:val="00B7305F"/>
    <w:rsid w:val="00B74A2B"/>
    <w:rsid w:val="00B75AAF"/>
    <w:rsid w:val="00B77511"/>
    <w:rsid w:val="00B801EA"/>
    <w:rsid w:val="00B82F7C"/>
    <w:rsid w:val="00B9425E"/>
    <w:rsid w:val="00B952D6"/>
    <w:rsid w:val="00BA5C05"/>
    <w:rsid w:val="00BA629D"/>
    <w:rsid w:val="00BA686D"/>
    <w:rsid w:val="00BB0309"/>
    <w:rsid w:val="00BB4B30"/>
    <w:rsid w:val="00BB5F3D"/>
    <w:rsid w:val="00BB7183"/>
    <w:rsid w:val="00BB7C6F"/>
    <w:rsid w:val="00BC1039"/>
    <w:rsid w:val="00BC243F"/>
    <w:rsid w:val="00BC2D80"/>
    <w:rsid w:val="00BC37DD"/>
    <w:rsid w:val="00BC4D21"/>
    <w:rsid w:val="00BD0B0D"/>
    <w:rsid w:val="00BD3121"/>
    <w:rsid w:val="00BE046F"/>
    <w:rsid w:val="00BE3BE9"/>
    <w:rsid w:val="00BE64D2"/>
    <w:rsid w:val="00BE6C58"/>
    <w:rsid w:val="00BF2F9D"/>
    <w:rsid w:val="00BF3EA0"/>
    <w:rsid w:val="00C00478"/>
    <w:rsid w:val="00C00657"/>
    <w:rsid w:val="00C02461"/>
    <w:rsid w:val="00C0385A"/>
    <w:rsid w:val="00C075C4"/>
    <w:rsid w:val="00C076A8"/>
    <w:rsid w:val="00C1022D"/>
    <w:rsid w:val="00C10C2E"/>
    <w:rsid w:val="00C117F5"/>
    <w:rsid w:val="00C119B9"/>
    <w:rsid w:val="00C13EF0"/>
    <w:rsid w:val="00C200C4"/>
    <w:rsid w:val="00C20B9C"/>
    <w:rsid w:val="00C25FB4"/>
    <w:rsid w:val="00C260D7"/>
    <w:rsid w:val="00C27C27"/>
    <w:rsid w:val="00C32619"/>
    <w:rsid w:val="00C328BA"/>
    <w:rsid w:val="00C32AA9"/>
    <w:rsid w:val="00C33BC2"/>
    <w:rsid w:val="00C33D1B"/>
    <w:rsid w:val="00C3609F"/>
    <w:rsid w:val="00C36303"/>
    <w:rsid w:val="00C37413"/>
    <w:rsid w:val="00C44C03"/>
    <w:rsid w:val="00C44E5A"/>
    <w:rsid w:val="00C53B42"/>
    <w:rsid w:val="00C57DEC"/>
    <w:rsid w:val="00C607AA"/>
    <w:rsid w:val="00C61612"/>
    <w:rsid w:val="00C61714"/>
    <w:rsid w:val="00C63233"/>
    <w:rsid w:val="00C637CB"/>
    <w:rsid w:val="00C700AC"/>
    <w:rsid w:val="00C7164A"/>
    <w:rsid w:val="00C74139"/>
    <w:rsid w:val="00C7465D"/>
    <w:rsid w:val="00C749B2"/>
    <w:rsid w:val="00C75420"/>
    <w:rsid w:val="00C77917"/>
    <w:rsid w:val="00C77BF9"/>
    <w:rsid w:val="00C77D33"/>
    <w:rsid w:val="00C821CC"/>
    <w:rsid w:val="00C84F4B"/>
    <w:rsid w:val="00C86159"/>
    <w:rsid w:val="00C8747E"/>
    <w:rsid w:val="00C90764"/>
    <w:rsid w:val="00C93545"/>
    <w:rsid w:val="00C954DE"/>
    <w:rsid w:val="00C95746"/>
    <w:rsid w:val="00C96763"/>
    <w:rsid w:val="00CA009A"/>
    <w:rsid w:val="00CA09D1"/>
    <w:rsid w:val="00CA47EC"/>
    <w:rsid w:val="00CA4CEA"/>
    <w:rsid w:val="00CA5857"/>
    <w:rsid w:val="00CB0DDA"/>
    <w:rsid w:val="00CB45AF"/>
    <w:rsid w:val="00CB5926"/>
    <w:rsid w:val="00CC01D6"/>
    <w:rsid w:val="00CC0A99"/>
    <w:rsid w:val="00CC0D8D"/>
    <w:rsid w:val="00CC38A6"/>
    <w:rsid w:val="00CC3A3B"/>
    <w:rsid w:val="00CD3B7E"/>
    <w:rsid w:val="00CD6ACE"/>
    <w:rsid w:val="00CD7E47"/>
    <w:rsid w:val="00CE1772"/>
    <w:rsid w:val="00CE2306"/>
    <w:rsid w:val="00CE483F"/>
    <w:rsid w:val="00CE6A96"/>
    <w:rsid w:val="00CE748A"/>
    <w:rsid w:val="00CE7C90"/>
    <w:rsid w:val="00CE7CE2"/>
    <w:rsid w:val="00CF2EC4"/>
    <w:rsid w:val="00CF5C8D"/>
    <w:rsid w:val="00CF6EAE"/>
    <w:rsid w:val="00D060B8"/>
    <w:rsid w:val="00D100B6"/>
    <w:rsid w:val="00D11F19"/>
    <w:rsid w:val="00D1364B"/>
    <w:rsid w:val="00D15CFA"/>
    <w:rsid w:val="00D1718A"/>
    <w:rsid w:val="00D21EE3"/>
    <w:rsid w:val="00D22792"/>
    <w:rsid w:val="00D2332B"/>
    <w:rsid w:val="00D26DE5"/>
    <w:rsid w:val="00D304DF"/>
    <w:rsid w:val="00D31BC5"/>
    <w:rsid w:val="00D352A5"/>
    <w:rsid w:val="00D3622C"/>
    <w:rsid w:val="00D368B1"/>
    <w:rsid w:val="00D44A9E"/>
    <w:rsid w:val="00D5177D"/>
    <w:rsid w:val="00D518F7"/>
    <w:rsid w:val="00D57AB6"/>
    <w:rsid w:val="00D609C0"/>
    <w:rsid w:val="00D6261B"/>
    <w:rsid w:val="00D63130"/>
    <w:rsid w:val="00D66B40"/>
    <w:rsid w:val="00D66C16"/>
    <w:rsid w:val="00D6764F"/>
    <w:rsid w:val="00D72FBE"/>
    <w:rsid w:val="00D73507"/>
    <w:rsid w:val="00D73933"/>
    <w:rsid w:val="00D743A5"/>
    <w:rsid w:val="00D77611"/>
    <w:rsid w:val="00D84FAC"/>
    <w:rsid w:val="00D90C44"/>
    <w:rsid w:val="00D93D68"/>
    <w:rsid w:val="00D953B6"/>
    <w:rsid w:val="00DA405C"/>
    <w:rsid w:val="00DA5425"/>
    <w:rsid w:val="00DC170B"/>
    <w:rsid w:val="00DC1CCF"/>
    <w:rsid w:val="00DC1D58"/>
    <w:rsid w:val="00DC50CC"/>
    <w:rsid w:val="00DC7B02"/>
    <w:rsid w:val="00DD069D"/>
    <w:rsid w:val="00DD2178"/>
    <w:rsid w:val="00DD3AF9"/>
    <w:rsid w:val="00DD4AD3"/>
    <w:rsid w:val="00DD5888"/>
    <w:rsid w:val="00DD7254"/>
    <w:rsid w:val="00DD7B02"/>
    <w:rsid w:val="00DE0E88"/>
    <w:rsid w:val="00DE41D3"/>
    <w:rsid w:val="00DF1AAA"/>
    <w:rsid w:val="00DF47DF"/>
    <w:rsid w:val="00DF64ED"/>
    <w:rsid w:val="00E054BF"/>
    <w:rsid w:val="00E06650"/>
    <w:rsid w:val="00E11C2E"/>
    <w:rsid w:val="00E17737"/>
    <w:rsid w:val="00E20716"/>
    <w:rsid w:val="00E228AA"/>
    <w:rsid w:val="00E271BB"/>
    <w:rsid w:val="00E30D95"/>
    <w:rsid w:val="00E30EC5"/>
    <w:rsid w:val="00E329D2"/>
    <w:rsid w:val="00E34105"/>
    <w:rsid w:val="00E35A96"/>
    <w:rsid w:val="00E40DE7"/>
    <w:rsid w:val="00E44731"/>
    <w:rsid w:val="00E52CD0"/>
    <w:rsid w:val="00E52D82"/>
    <w:rsid w:val="00E55A6A"/>
    <w:rsid w:val="00E5617D"/>
    <w:rsid w:val="00E563B3"/>
    <w:rsid w:val="00E617F5"/>
    <w:rsid w:val="00E6304F"/>
    <w:rsid w:val="00E65964"/>
    <w:rsid w:val="00E66189"/>
    <w:rsid w:val="00E70CED"/>
    <w:rsid w:val="00E73D7F"/>
    <w:rsid w:val="00E778BF"/>
    <w:rsid w:val="00E81F7F"/>
    <w:rsid w:val="00E823AD"/>
    <w:rsid w:val="00E83F26"/>
    <w:rsid w:val="00E85DD6"/>
    <w:rsid w:val="00E87E5F"/>
    <w:rsid w:val="00E90CF9"/>
    <w:rsid w:val="00E93737"/>
    <w:rsid w:val="00EA3ED8"/>
    <w:rsid w:val="00EA4D3A"/>
    <w:rsid w:val="00EA5723"/>
    <w:rsid w:val="00EA6139"/>
    <w:rsid w:val="00EA6588"/>
    <w:rsid w:val="00EA798F"/>
    <w:rsid w:val="00EA7B5E"/>
    <w:rsid w:val="00EB18F9"/>
    <w:rsid w:val="00EC03ED"/>
    <w:rsid w:val="00EC06A5"/>
    <w:rsid w:val="00EC1924"/>
    <w:rsid w:val="00EC5518"/>
    <w:rsid w:val="00ED08B2"/>
    <w:rsid w:val="00ED13D6"/>
    <w:rsid w:val="00ED421F"/>
    <w:rsid w:val="00ED5FD5"/>
    <w:rsid w:val="00EE06FB"/>
    <w:rsid w:val="00EE40F5"/>
    <w:rsid w:val="00EE6262"/>
    <w:rsid w:val="00EE6FA0"/>
    <w:rsid w:val="00EF08CC"/>
    <w:rsid w:val="00EF1524"/>
    <w:rsid w:val="00EF1857"/>
    <w:rsid w:val="00EF196C"/>
    <w:rsid w:val="00EF2339"/>
    <w:rsid w:val="00EF50AD"/>
    <w:rsid w:val="00EF5A07"/>
    <w:rsid w:val="00EF7119"/>
    <w:rsid w:val="00EF7757"/>
    <w:rsid w:val="00F00979"/>
    <w:rsid w:val="00F02F7D"/>
    <w:rsid w:val="00F0419A"/>
    <w:rsid w:val="00F1161A"/>
    <w:rsid w:val="00F15060"/>
    <w:rsid w:val="00F16479"/>
    <w:rsid w:val="00F3025B"/>
    <w:rsid w:val="00F324DE"/>
    <w:rsid w:val="00F32662"/>
    <w:rsid w:val="00F329B1"/>
    <w:rsid w:val="00F32AAB"/>
    <w:rsid w:val="00F32AC9"/>
    <w:rsid w:val="00F33455"/>
    <w:rsid w:val="00F33465"/>
    <w:rsid w:val="00F375CE"/>
    <w:rsid w:val="00F40A58"/>
    <w:rsid w:val="00F54B69"/>
    <w:rsid w:val="00F56A12"/>
    <w:rsid w:val="00F56D2A"/>
    <w:rsid w:val="00F573F8"/>
    <w:rsid w:val="00F57571"/>
    <w:rsid w:val="00F665AE"/>
    <w:rsid w:val="00F700CC"/>
    <w:rsid w:val="00F733D2"/>
    <w:rsid w:val="00F74D61"/>
    <w:rsid w:val="00F75234"/>
    <w:rsid w:val="00F76869"/>
    <w:rsid w:val="00F82773"/>
    <w:rsid w:val="00F82831"/>
    <w:rsid w:val="00F84433"/>
    <w:rsid w:val="00F90087"/>
    <w:rsid w:val="00F916AF"/>
    <w:rsid w:val="00F94E65"/>
    <w:rsid w:val="00F951C4"/>
    <w:rsid w:val="00F95B83"/>
    <w:rsid w:val="00FA2CD1"/>
    <w:rsid w:val="00FA33F8"/>
    <w:rsid w:val="00FA3D68"/>
    <w:rsid w:val="00FA4330"/>
    <w:rsid w:val="00FA71ED"/>
    <w:rsid w:val="00FB0DE8"/>
    <w:rsid w:val="00FB2B5C"/>
    <w:rsid w:val="00FB312F"/>
    <w:rsid w:val="00FB41CE"/>
    <w:rsid w:val="00FB4E66"/>
    <w:rsid w:val="00FB5D91"/>
    <w:rsid w:val="00FC0F35"/>
    <w:rsid w:val="00FC11E6"/>
    <w:rsid w:val="00FC1EA1"/>
    <w:rsid w:val="00FC26FA"/>
    <w:rsid w:val="00FC2ED3"/>
    <w:rsid w:val="00FC658F"/>
    <w:rsid w:val="00FD3337"/>
    <w:rsid w:val="00FE1A5D"/>
    <w:rsid w:val="00FE1E73"/>
    <w:rsid w:val="00FE293F"/>
    <w:rsid w:val="00FE3FDA"/>
    <w:rsid w:val="00FE4D74"/>
    <w:rsid w:val="00FE4DCC"/>
    <w:rsid w:val="00FE624E"/>
    <w:rsid w:val="00FF01FD"/>
    <w:rsid w:val="00FF0F0C"/>
    <w:rsid w:val="00FF2A2B"/>
    <w:rsid w:val="00FF3E2C"/>
    <w:rsid w:val="00FF50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9867C2"/>
  <w15:docId w15:val="{3F94C686-42D2-45D2-ABF7-3CD031E399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3622"/>
    <w:pPr>
      <w:spacing w:before="120" w:after="120" w:line="360" w:lineRule="auto"/>
      <w:ind w:firstLine="357"/>
      <w:jc w:val="both"/>
    </w:pPr>
    <w:rPr>
      <w:rFonts w:ascii="Times New Roman" w:hAnsi="Times New Roman" w:cs="Times New Roman"/>
      <w:sz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C3F1F"/>
    <w:pPr>
      <w:ind w:left="720"/>
      <w:contextualSpacing/>
    </w:pPr>
  </w:style>
  <w:style w:type="paragraph" w:styleId="NormalWeb">
    <w:name w:val="Normal (Web)"/>
    <w:basedOn w:val="Normal"/>
    <w:uiPriority w:val="99"/>
    <w:unhideWhenUsed/>
    <w:rsid w:val="005273FC"/>
    <w:pPr>
      <w:spacing w:before="100" w:beforeAutospacing="1" w:after="100" w:afterAutospacing="1" w:line="240" w:lineRule="auto"/>
    </w:pPr>
    <w:rPr>
      <w:rFonts w:eastAsia="Times New Roman"/>
      <w:szCs w:val="24"/>
    </w:rPr>
  </w:style>
  <w:style w:type="character" w:styleId="Hipervnculo">
    <w:name w:val="Hyperlink"/>
    <w:basedOn w:val="Fuentedeprrafopredeter"/>
    <w:uiPriority w:val="99"/>
    <w:unhideWhenUsed/>
    <w:rsid w:val="00CB0DDA"/>
    <w:rPr>
      <w:color w:val="0563C1" w:themeColor="hyperlink"/>
      <w:u w:val="single"/>
    </w:rPr>
  </w:style>
  <w:style w:type="character" w:styleId="Nmerodelnea">
    <w:name w:val="line number"/>
    <w:basedOn w:val="Fuentedeprrafopredeter"/>
    <w:uiPriority w:val="99"/>
    <w:semiHidden/>
    <w:unhideWhenUsed/>
    <w:rsid w:val="006C67A9"/>
  </w:style>
  <w:style w:type="paragraph" w:styleId="Textoindependiente">
    <w:name w:val="Body Text"/>
    <w:basedOn w:val="Normal"/>
    <w:link w:val="TextoindependienteCar"/>
    <w:uiPriority w:val="1"/>
    <w:qFormat/>
    <w:rsid w:val="00C117F5"/>
    <w:pPr>
      <w:autoSpaceDE w:val="0"/>
      <w:autoSpaceDN w:val="0"/>
      <w:adjustRightInd w:val="0"/>
      <w:spacing w:after="0" w:line="240" w:lineRule="auto"/>
      <w:ind w:left="39"/>
    </w:pPr>
    <w:rPr>
      <w:sz w:val="21"/>
      <w:szCs w:val="21"/>
    </w:rPr>
  </w:style>
  <w:style w:type="character" w:customStyle="1" w:styleId="TextoindependienteCar">
    <w:name w:val="Texto independiente Car"/>
    <w:basedOn w:val="Fuentedeprrafopredeter"/>
    <w:link w:val="Textoindependiente"/>
    <w:uiPriority w:val="1"/>
    <w:rsid w:val="00C117F5"/>
    <w:rPr>
      <w:rFonts w:ascii="Times New Roman" w:hAnsi="Times New Roman" w:cs="Times New Roman"/>
      <w:sz w:val="21"/>
      <w:szCs w:val="21"/>
    </w:rPr>
  </w:style>
  <w:style w:type="paragraph" w:styleId="Textocomentario">
    <w:name w:val="annotation text"/>
    <w:basedOn w:val="Normal"/>
    <w:link w:val="TextocomentarioCar"/>
    <w:uiPriority w:val="99"/>
    <w:semiHidden/>
    <w:unhideWhenUsed/>
    <w:rsid w:val="00175D7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75D75"/>
    <w:rPr>
      <w:sz w:val="20"/>
      <w:szCs w:val="20"/>
      <w:lang w:val="en-GB"/>
    </w:rPr>
  </w:style>
  <w:style w:type="character" w:styleId="Refdecomentario">
    <w:name w:val="annotation reference"/>
    <w:uiPriority w:val="99"/>
    <w:semiHidden/>
    <w:unhideWhenUsed/>
    <w:rsid w:val="00175D75"/>
    <w:rPr>
      <w:sz w:val="16"/>
      <w:szCs w:val="16"/>
    </w:rPr>
  </w:style>
  <w:style w:type="paragraph" w:styleId="Textodeglobo">
    <w:name w:val="Balloon Text"/>
    <w:basedOn w:val="Normal"/>
    <w:link w:val="TextodegloboCar"/>
    <w:uiPriority w:val="99"/>
    <w:semiHidden/>
    <w:unhideWhenUsed/>
    <w:rsid w:val="00175D7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75D75"/>
    <w:rPr>
      <w:rFonts w:ascii="Segoe UI" w:hAnsi="Segoe UI" w:cs="Segoe UI"/>
      <w:sz w:val="18"/>
      <w:szCs w:val="18"/>
      <w:lang w:val="en-GB"/>
    </w:rPr>
  </w:style>
  <w:style w:type="paragraph" w:styleId="Asuntodelcomentario">
    <w:name w:val="annotation subject"/>
    <w:basedOn w:val="Textocomentario"/>
    <w:next w:val="Textocomentario"/>
    <w:link w:val="AsuntodelcomentarioCar"/>
    <w:uiPriority w:val="99"/>
    <w:semiHidden/>
    <w:unhideWhenUsed/>
    <w:rsid w:val="00427AA2"/>
    <w:rPr>
      <w:b/>
      <w:bCs/>
    </w:rPr>
  </w:style>
  <w:style w:type="character" w:customStyle="1" w:styleId="AsuntodelcomentarioCar">
    <w:name w:val="Asunto del comentario Car"/>
    <w:basedOn w:val="TextocomentarioCar"/>
    <w:link w:val="Asuntodelcomentario"/>
    <w:uiPriority w:val="99"/>
    <w:semiHidden/>
    <w:rsid w:val="00427AA2"/>
    <w:rPr>
      <w:b/>
      <w:bCs/>
      <w:sz w:val="20"/>
      <w:szCs w:val="20"/>
      <w:lang w:val="en-GB"/>
    </w:rPr>
  </w:style>
  <w:style w:type="character" w:styleId="nfasis">
    <w:name w:val="Emphasis"/>
    <w:uiPriority w:val="20"/>
    <w:qFormat/>
    <w:rsid w:val="00C75420"/>
    <w:rPr>
      <w:i/>
      <w:iCs/>
    </w:rPr>
  </w:style>
  <w:style w:type="paragraph" w:styleId="Subttulo">
    <w:name w:val="Subtitle"/>
    <w:aliases w:val="Pie de Figura"/>
    <w:basedOn w:val="Normal"/>
    <w:next w:val="Normal"/>
    <w:link w:val="SubttuloCar"/>
    <w:uiPriority w:val="11"/>
    <w:qFormat/>
    <w:rsid w:val="00DC1CCF"/>
    <w:pPr>
      <w:autoSpaceDE w:val="0"/>
      <w:autoSpaceDN w:val="0"/>
      <w:adjustRightInd w:val="0"/>
      <w:spacing w:after="240" w:line="240" w:lineRule="auto"/>
    </w:pPr>
    <w:rPr>
      <w:rFonts w:ascii="Calibri" w:eastAsia="SimSun" w:hAnsi="Calibri" w:cs="Cambria-Italic"/>
      <w:i/>
      <w:iCs/>
      <w:szCs w:val="24"/>
      <w:lang w:val="es-ES"/>
    </w:rPr>
  </w:style>
  <w:style w:type="character" w:customStyle="1" w:styleId="SubttuloCar">
    <w:name w:val="Subtítulo Car"/>
    <w:aliases w:val="Pie de Figura Car"/>
    <w:basedOn w:val="Fuentedeprrafopredeter"/>
    <w:link w:val="Subttulo"/>
    <w:uiPriority w:val="11"/>
    <w:rsid w:val="00DC1CCF"/>
    <w:rPr>
      <w:rFonts w:ascii="Calibri" w:eastAsia="SimSun" w:hAnsi="Calibri" w:cs="Cambria-Italic"/>
      <w:i/>
      <w:iCs/>
      <w:szCs w:val="24"/>
      <w:lang w:val="es-ES"/>
    </w:rPr>
  </w:style>
  <w:style w:type="character" w:styleId="nfasissutil">
    <w:name w:val="Subtle Emphasis"/>
    <w:aliases w:val="Tabla"/>
    <w:uiPriority w:val="19"/>
    <w:qFormat/>
    <w:rsid w:val="00DC1CCF"/>
    <w:rPr>
      <w:color w:val="404040"/>
    </w:rPr>
  </w:style>
  <w:style w:type="paragraph" w:customStyle="1" w:styleId="Default">
    <w:name w:val="Default"/>
    <w:rsid w:val="005A654C"/>
    <w:pPr>
      <w:autoSpaceDE w:val="0"/>
      <w:autoSpaceDN w:val="0"/>
      <w:adjustRightInd w:val="0"/>
      <w:spacing w:after="0" w:line="240" w:lineRule="auto"/>
    </w:pPr>
    <w:rPr>
      <w:rFonts w:ascii="Calibri" w:hAnsi="Calibri" w:cs="Calibri"/>
      <w:color w:val="000000"/>
      <w:sz w:val="24"/>
      <w:szCs w:val="24"/>
    </w:rPr>
  </w:style>
  <w:style w:type="character" w:styleId="Textodelmarcadordeposicin">
    <w:name w:val="Placeholder Text"/>
    <w:basedOn w:val="Fuentedeprrafopredeter"/>
    <w:uiPriority w:val="99"/>
    <w:semiHidden/>
    <w:rsid w:val="0028291E"/>
    <w:rPr>
      <w:color w:val="808080"/>
    </w:rPr>
  </w:style>
  <w:style w:type="character" w:styleId="Hipervnculovisitado">
    <w:name w:val="FollowedHyperlink"/>
    <w:basedOn w:val="Fuentedeprrafopredeter"/>
    <w:uiPriority w:val="99"/>
    <w:semiHidden/>
    <w:unhideWhenUsed/>
    <w:rsid w:val="00C77917"/>
    <w:rPr>
      <w:color w:val="954F72" w:themeColor="followedHyperlink"/>
      <w:u w:val="single"/>
    </w:rPr>
  </w:style>
  <w:style w:type="paragraph" w:styleId="Revisin">
    <w:name w:val="Revision"/>
    <w:hidden/>
    <w:uiPriority w:val="99"/>
    <w:semiHidden/>
    <w:rsid w:val="00801AF1"/>
    <w:pPr>
      <w:spacing w:after="0" w:line="240" w:lineRule="auto"/>
    </w:pPr>
    <w:rPr>
      <w:lang w:val="en-GB"/>
    </w:rPr>
  </w:style>
  <w:style w:type="paragraph" w:styleId="Encabezado">
    <w:name w:val="header"/>
    <w:basedOn w:val="Normal"/>
    <w:link w:val="EncabezadoCar"/>
    <w:uiPriority w:val="99"/>
    <w:unhideWhenUsed/>
    <w:rsid w:val="00867A3A"/>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867A3A"/>
    <w:rPr>
      <w:rFonts w:ascii="Times New Roman" w:hAnsi="Times New Roman" w:cs="Times New Roman"/>
      <w:sz w:val="24"/>
    </w:rPr>
  </w:style>
  <w:style w:type="paragraph" w:styleId="Piedepgina">
    <w:name w:val="footer"/>
    <w:basedOn w:val="Normal"/>
    <w:link w:val="PiedepginaCar"/>
    <w:uiPriority w:val="99"/>
    <w:unhideWhenUsed/>
    <w:rsid w:val="00867A3A"/>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867A3A"/>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69151">
      <w:bodyDiv w:val="1"/>
      <w:marLeft w:val="0"/>
      <w:marRight w:val="0"/>
      <w:marTop w:val="0"/>
      <w:marBottom w:val="0"/>
      <w:divBdr>
        <w:top w:val="none" w:sz="0" w:space="0" w:color="auto"/>
        <w:left w:val="none" w:sz="0" w:space="0" w:color="auto"/>
        <w:bottom w:val="none" w:sz="0" w:space="0" w:color="auto"/>
        <w:right w:val="none" w:sz="0" w:space="0" w:color="auto"/>
      </w:divBdr>
    </w:div>
    <w:div w:id="19553529">
      <w:bodyDiv w:val="1"/>
      <w:marLeft w:val="0"/>
      <w:marRight w:val="0"/>
      <w:marTop w:val="0"/>
      <w:marBottom w:val="0"/>
      <w:divBdr>
        <w:top w:val="none" w:sz="0" w:space="0" w:color="auto"/>
        <w:left w:val="none" w:sz="0" w:space="0" w:color="auto"/>
        <w:bottom w:val="none" w:sz="0" w:space="0" w:color="auto"/>
        <w:right w:val="none" w:sz="0" w:space="0" w:color="auto"/>
      </w:divBdr>
    </w:div>
    <w:div w:id="22757822">
      <w:bodyDiv w:val="1"/>
      <w:marLeft w:val="0"/>
      <w:marRight w:val="0"/>
      <w:marTop w:val="0"/>
      <w:marBottom w:val="0"/>
      <w:divBdr>
        <w:top w:val="none" w:sz="0" w:space="0" w:color="auto"/>
        <w:left w:val="none" w:sz="0" w:space="0" w:color="auto"/>
        <w:bottom w:val="none" w:sz="0" w:space="0" w:color="auto"/>
        <w:right w:val="none" w:sz="0" w:space="0" w:color="auto"/>
      </w:divBdr>
    </w:div>
    <w:div w:id="29649049">
      <w:bodyDiv w:val="1"/>
      <w:marLeft w:val="0"/>
      <w:marRight w:val="0"/>
      <w:marTop w:val="0"/>
      <w:marBottom w:val="0"/>
      <w:divBdr>
        <w:top w:val="none" w:sz="0" w:space="0" w:color="auto"/>
        <w:left w:val="none" w:sz="0" w:space="0" w:color="auto"/>
        <w:bottom w:val="none" w:sz="0" w:space="0" w:color="auto"/>
        <w:right w:val="none" w:sz="0" w:space="0" w:color="auto"/>
      </w:divBdr>
    </w:div>
    <w:div w:id="37050197">
      <w:bodyDiv w:val="1"/>
      <w:marLeft w:val="0"/>
      <w:marRight w:val="0"/>
      <w:marTop w:val="0"/>
      <w:marBottom w:val="0"/>
      <w:divBdr>
        <w:top w:val="none" w:sz="0" w:space="0" w:color="auto"/>
        <w:left w:val="none" w:sz="0" w:space="0" w:color="auto"/>
        <w:bottom w:val="none" w:sz="0" w:space="0" w:color="auto"/>
        <w:right w:val="none" w:sz="0" w:space="0" w:color="auto"/>
      </w:divBdr>
    </w:div>
    <w:div w:id="37631750">
      <w:bodyDiv w:val="1"/>
      <w:marLeft w:val="0"/>
      <w:marRight w:val="0"/>
      <w:marTop w:val="0"/>
      <w:marBottom w:val="0"/>
      <w:divBdr>
        <w:top w:val="none" w:sz="0" w:space="0" w:color="auto"/>
        <w:left w:val="none" w:sz="0" w:space="0" w:color="auto"/>
        <w:bottom w:val="none" w:sz="0" w:space="0" w:color="auto"/>
        <w:right w:val="none" w:sz="0" w:space="0" w:color="auto"/>
      </w:divBdr>
    </w:div>
    <w:div w:id="40591111">
      <w:bodyDiv w:val="1"/>
      <w:marLeft w:val="0"/>
      <w:marRight w:val="0"/>
      <w:marTop w:val="0"/>
      <w:marBottom w:val="0"/>
      <w:divBdr>
        <w:top w:val="none" w:sz="0" w:space="0" w:color="auto"/>
        <w:left w:val="none" w:sz="0" w:space="0" w:color="auto"/>
        <w:bottom w:val="none" w:sz="0" w:space="0" w:color="auto"/>
        <w:right w:val="none" w:sz="0" w:space="0" w:color="auto"/>
      </w:divBdr>
    </w:div>
    <w:div w:id="41487657">
      <w:bodyDiv w:val="1"/>
      <w:marLeft w:val="0"/>
      <w:marRight w:val="0"/>
      <w:marTop w:val="0"/>
      <w:marBottom w:val="0"/>
      <w:divBdr>
        <w:top w:val="none" w:sz="0" w:space="0" w:color="auto"/>
        <w:left w:val="none" w:sz="0" w:space="0" w:color="auto"/>
        <w:bottom w:val="none" w:sz="0" w:space="0" w:color="auto"/>
        <w:right w:val="none" w:sz="0" w:space="0" w:color="auto"/>
      </w:divBdr>
      <w:divsChild>
        <w:div w:id="242955611">
          <w:marLeft w:val="0"/>
          <w:marRight w:val="0"/>
          <w:marTop w:val="0"/>
          <w:marBottom w:val="0"/>
          <w:divBdr>
            <w:top w:val="none" w:sz="0" w:space="0" w:color="auto"/>
            <w:left w:val="none" w:sz="0" w:space="0" w:color="auto"/>
            <w:bottom w:val="none" w:sz="0" w:space="0" w:color="auto"/>
            <w:right w:val="none" w:sz="0" w:space="0" w:color="auto"/>
          </w:divBdr>
        </w:div>
      </w:divsChild>
    </w:div>
    <w:div w:id="50547632">
      <w:bodyDiv w:val="1"/>
      <w:marLeft w:val="0"/>
      <w:marRight w:val="0"/>
      <w:marTop w:val="0"/>
      <w:marBottom w:val="0"/>
      <w:divBdr>
        <w:top w:val="none" w:sz="0" w:space="0" w:color="auto"/>
        <w:left w:val="none" w:sz="0" w:space="0" w:color="auto"/>
        <w:bottom w:val="none" w:sz="0" w:space="0" w:color="auto"/>
        <w:right w:val="none" w:sz="0" w:space="0" w:color="auto"/>
      </w:divBdr>
    </w:div>
    <w:div w:id="58023083">
      <w:bodyDiv w:val="1"/>
      <w:marLeft w:val="0"/>
      <w:marRight w:val="0"/>
      <w:marTop w:val="0"/>
      <w:marBottom w:val="0"/>
      <w:divBdr>
        <w:top w:val="none" w:sz="0" w:space="0" w:color="auto"/>
        <w:left w:val="none" w:sz="0" w:space="0" w:color="auto"/>
        <w:bottom w:val="none" w:sz="0" w:space="0" w:color="auto"/>
        <w:right w:val="none" w:sz="0" w:space="0" w:color="auto"/>
      </w:divBdr>
    </w:div>
    <w:div w:id="63720193">
      <w:bodyDiv w:val="1"/>
      <w:marLeft w:val="0"/>
      <w:marRight w:val="0"/>
      <w:marTop w:val="0"/>
      <w:marBottom w:val="0"/>
      <w:divBdr>
        <w:top w:val="none" w:sz="0" w:space="0" w:color="auto"/>
        <w:left w:val="none" w:sz="0" w:space="0" w:color="auto"/>
        <w:bottom w:val="none" w:sz="0" w:space="0" w:color="auto"/>
        <w:right w:val="none" w:sz="0" w:space="0" w:color="auto"/>
      </w:divBdr>
    </w:div>
    <w:div w:id="68507106">
      <w:bodyDiv w:val="1"/>
      <w:marLeft w:val="0"/>
      <w:marRight w:val="0"/>
      <w:marTop w:val="0"/>
      <w:marBottom w:val="0"/>
      <w:divBdr>
        <w:top w:val="none" w:sz="0" w:space="0" w:color="auto"/>
        <w:left w:val="none" w:sz="0" w:space="0" w:color="auto"/>
        <w:bottom w:val="none" w:sz="0" w:space="0" w:color="auto"/>
        <w:right w:val="none" w:sz="0" w:space="0" w:color="auto"/>
      </w:divBdr>
    </w:div>
    <w:div w:id="74673702">
      <w:bodyDiv w:val="1"/>
      <w:marLeft w:val="0"/>
      <w:marRight w:val="0"/>
      <w:marTop w:val="0"/>
      <w:marBottom w:val="0"/>
      <w:divBdr>
        <w:top w:val="none" w:sz="0" w:space="0" w:color="auto"/>
        <w:left w:val="none" w:sz="0" w:space="0" w:color="auto"/>
        <w:bottom w:val="none" w:sz="0" w:space="0" w:color="auto"/>
        <w:right w:val="none" w:sz="0" w:space="0" w:color="auto"/>
      </w:divBdr>
    </w:div>
    <w:div w:id="89279935">
      <w:bodyDiv w:val="1"/>
      <w:marLeft w:val="0"/>
      <w:marRight w:val="0"/>
      <w:marTop w:val="0"/>
      <w:marBottom w:val="0"/>
      <w:divBdr>
        <w:top w:val="none" w:sz="0" w:space="0" w:color="auto"/>
        <w:left w:val="none" w:sz="0" w:space="0" w:color="auto"/>
        <w:bottom w:val="none" w:sz="0" w:space="0" w:color="auto"/>
        <w:right w:val="none" w:sz="0" w:space="0" w:color="auto"/>
      </w:divBdr>
    </w:div>
    <w:div w:id="101153662">
      <w:bodyDiv w:val="1"/>
      <w:marLeft w:val="0"/>
      <w:marRight w:val="0"/>
      <w:marTop w:val="0"/>
      <w:marBottom w:val="0"/>
      <w:divBdr>
        <w:top w:val="none" w:sz="0" w:space="0" w:color="auto"/>
        <w:left w:val="none" w:sz="0" w:space="0" w:color="auto"/>
        <w:bottom w:val="none" w:sz="0" w:space="0" w:color="auto"/>
        <w:right w:val="none" w:sz="0" w:space="0" w:color="auto"/>
      </w:divBdr>
    </w:div>
    <w:div w:id="105544541">
      <w:bodyDiv w:val="1"/>
      <w:marLeft w:val="0"/>
      <w:marRight w:val="0"/>
      <w:marTop w:val="0"/>
      <w:marBottom w:val="0"/>
      <w:divBdr>
        <w:top w:val="none" w:sz="0" w:space="0" w:color="auto"/>
        <w:left w:val="none" w:sz="0" w:space="0" w:color="auto"/>
        <w:bottom w:val="none" w:sz="0" w:space="0" w:color="auto"/>
        <w:right w:val="none" w:sz="0" w:space="0" w:color="auto"/>
      </w:divBdr>
    </w:div>
    <w:div w:id="112670912">
      <w:bodyDiv w:val="1"/>
      <w:marLeft w:val="0"/>
      <w:marRight w:val="0"/>
      <w:marTop w:val="0"/>
      <w:marBottom w:val="0"/>
      <w:divBdr>
        <w:top w:val="none" w:sz="0" w:space="0" w:color="auto"/>
        <w:left w:val="none" w:sz="0" w:space="0" w:color="auto"/>
        <w:bottom w:val="none" w:sz="0" w:space="0" w:color="auto"/>
        <w:right w:val="none" w:sz="0" w:space="0" w:color="auto"/>
      </w:divBdr>
    </w:div>
    <w:div w:id="121465154">
      <w:bodyDiv w:val="1"/>
      <w:marLeft w:val="0"/>
      <w:marRight w:val="0"/>
      <w:marTop w:val="0"/>
      <w:marBottom w:val="0"/>
      <w:divBdr>
        <w:top w:val="none" w:sz="0" w:space="0" w:color="auto"/>
        <w:left w:val="none" w:sz="0" w:space="0" w:color="auto"/>
        <w:bottom w:val="none" w:sz="0" w:space="0" w:color="auto"/>
        <w:right w:val="none" w:sz="0" w:space="0" w:color="auto"/>
      </w:divBdr>
    </w:div>
    <w:div w:id="178742920">
      <w:bodyDiv w:val="1"/>
      <w:marLeft w:val="0"/>
      <w:marRight w:val="0"/>
      <w:marTop w:val="0"/>
      <w:marBottom w:val="0"/>
      <w:divBdr>
        <w:top w:val="none" w:sz="0" w:space="0" w:color="auto"/>
        <w:left w:val="none" w:sz="0" w:space="0" w:color="auto"/>
        <w:bottom w:val="none" w:sz="0" w:space="0" w:color="auto"/>
        <w:right w:val="none" w:sz="0" w:space="0" w:color="auto"/>
      </w:divBdr>
    </w:div>
    <w:div w:id="189883218">
      <w:bodyDiv w:val="1"/>
      <w:marLeft w:val="0"/>
      <w:marRight w:val="0"/>
      <w:marTop w:val="0"/>
      <w:marBottom w:val="0"/>
      <w:divBdr>
        <w:top w:val="none" w:sz="0" w:space="0" w:color="auto"/>
        <w:left w:val="none" w:sz="0" w:space="0" w:color="auto"/>
        <w:bottom w:val="none" w:sz="0" w:space="0" w:color="auto"/>
        <w:right w:val="none" w:sz="0" w:space="0" w:color="auto"/>
      </w:divBdr>
    </w:div>
    <w:div w:id="228466852">
      <w:bodyDiv w:val="1"/>
      <w:marLeft w:val="0"/>
      <w:marRight w:val="0"/>
      <w:marTop w:val="0"/>
      <w:marBottom w:val="0"/>
      <w:divBdr>
        <w:top w:val="none" w:sz="0" w:space="0" w:color="auto"/>
        <w:left w:val="none" w:sz="0" w:space="0" w:color="auto"/>
        <w:bottom w:val="none" w:sz="0" w:space="0" w:color="auto"/>
        <w:right w:val="none" w:sz="0" w:space="0" w:color="auto"/>
      </w:divBdr>
    </w:div>
    <w:div w:id="242685550">
      <w:bodyDiv w:val="1"/>
      <w:marLeft w:val="0"/>
      <w:marRight w:val="0"/>
      <w:marTop w:val="0"/>
      <w:marBottom w:val="0"/>
      <w:divBdr>
        <w:top w:val="none" w:sz="0" w:space="0" w:color="auto"/>
        <w:left w:val="none" w:sz="0" w:space="0" w:color="auto"/>
        <w:bottom w:val="none" w:sz="0" w:space="0" w:color="auto"/>
        <w:right w:val="none" w:sz="0" w:space="0" w:color="auto"/>
      </w:divBdr>
    </w:div>
    <w:div w:id="257711627">
      <w:bodyDiv w:val="1"/>
      <w:marLeft w:val="0"/>
      <w:marRight w:val="0"/>
      <w:marTop w:val="0"/>
      <w:marBottom w:val="0"/>
      <w:divBdr>
        <w:top w:val="none" w:sz="0" w:space="0" w:color="auto"/>
        <w:left w:val="none" w:sz="0" w:space="0" w:color="auto"/>
        <w:bottom w:val="none" w:sz="0" w:space="0" w:color="auto"/>
        <w:right w:val="none" w:sz="0" w:space="0" w:color="auto"/>
      </w:divBdr>
    </w:div>
    <w:div w:id="257757924">
      <w:bodyDiv w:val="1"/>
      <w:marLeft w:val="0"/>
      <w:marRight w:val="0"/>
      <w:marTop w:val="0"/>
      <w:marBottom w:val="0"/>
      <w:divBdr>
        <w:top w:val="none" w:sz="0" w:space="0" w:color="auto"/>
        <w:left w:val="none" w:sz="0" w:space="0" w:color="auto"/>
        <w:bottom w:val="none" w:sz="0" w:space="0" w:color="auto"/>
        <w:right w:val="none" w:sz="0" w:space="0" w:color="auto"/>
      </w:divBdr>
    </w:div>
    <w:div w:id="258224483">
      <w:bodyDiv w:val="1"/>
      <w:marLeft w:val="0"/>
      <w:marRight w:val="0"/>
      <w:marTop w:val="0"/>
      <w:marBottom w:val="0"/>
      <w:divBdr>
        <w:top w:val="none" w:sz="0" w:space="0" w:color="auto"/>
        <w:left w:val="none" w:sz="0" w:space="0" w:color="auto"/>
        <w:bottom w:val="none" w:sz="0" w:space="0" w:color="auto"/>
        <w:right w:val="none" w:sz="0" w:space="0" w:color="auto"/>
      </w:divBdr>
    </w:div>
    <w:div w:id="258367182">
      <w:bodyDiv w:val="1"/>
      <w:marLeft w:val="0"/>
      <w:marRight w:val="0"/>
      <w:marTop w:val="0"/>
      <w:marBottom w:val="0"/>
      <w:divBdr>
        <w:top w:val="none" w:sz="0" w:space="0" w:color="auto"/>
        <w:left w:val="none" w:sz="0" w:space="0" w:color="auto"/>
        <w:bottom w:val="none" w:sz="0" w:space="0" w:color="auto"/>
        <w:right w:val="none" w:sz="0" w:space="0" w:color="auto"/>
      </w:divBdr>
    </w:div>
    <w:div w:id="259067574">
      <w:bodyDiv w:val="1"/>
      <w:marLeft w:val="0"/>
      <w:marRight w:val="0"/>
      <w:marTop w:val="0"/>
      <w:marBottom w:val="0"/>
      <w:divBdr>
        <w:top w:val="none" w:sz="0" w:space="0" w:color="auto"/>
        <w:left w:val="none" w:sz="0" w:space="0" w:color="auto"/>
        <w:bottom w:val="none" w:sz="0" w:space="0" w:color="auto"/>
        <w:right w:val="none" w:sz="0" w:space="0" w:color="auto"/>
      </w:divBdr>
    </w:div>
    <w:div w:id="274867209">
      <w:bodyDiv w:val="1"/>
      <w:marLeft w:val="0"/>
      <w:marRight w:val="0"/>
      <w:marTop w:val="0"/>
      <w:marBottom w:val="0"/>
      <w:divBdr>
        <w:top w:val="none" w:sz="0" w:space="0" w:color="auto"/>
        <w:left w:val="none" w:sz="0" w:space="0" w:color="auto"/>
        <w:bottom w:val="none" w:sz="0" w:space="0" w:color="auto"/>
        <w:right w:val="none" w:sz="0" w:space="0" w:color="auto"/>
      </w:divBdr>
    </w:div>
    <w:div w:id="278293815">
      <w:bodyDiv w:val="1"/>
      <w:marLeft w:val="0"/>
      <w:marRight w:val="0"/>
      <w:marTop w:val="0"/>
      <w:marBottom w:val="0"/>
      <w:divBdr>
        <w:top w:val="none" w:sz="0" w:space="0" w:color="auto"/>
        <w:left w:val="none" w:sz="0" w:space="0" w:color="auto"/>
        <w:bottom w:val="none" w:sz="0" w:space="0" w:color="auto"/>
        <w:right w:val="none" w:sz="0" w:space="0" w:color="auto"/>
      </w:divBdr>
    </w:div>
    <w:div w:id="292299364">
      <w:bodyDiv w:val="1"/>
      <w:marLeft w:val="0"/>
      <w:marRight w:val="0"/>
      <w:marTop w:val="0"/>
      <w:marBottom w:val="0"/>
      <w:divBdr>
        <w:top w:val="none" w:sz="0" w:space="0" w:color="auto"/>
        <w:left w:val="none" w:sz="0" w:space="0" w:color="auto"/>
        <w:bottom w:val="none" w:sz="0" w:space="0" w:color="auto"/>
        <w:right w:val="none" w:sz="0" w:space="0" w:color="auto"/>
      </w:divBdr>
    </w:div>
    <w:div w:id="308553618">
      <w:bodyDiv w:val="1"/>
      <w:marLeft w:val="0"/>
      <w:marRight w:val="0"/>
      <w:marTop w:val="0"/>
      <w:marBottom w:val="0"/>
      <w:divBdr>
        <w:top w:val="none" w:sz="0" w:space="0" w:color="auto"/>
        <w:left w:val="none" w:sz="0" w:space="0" w:color="auto"/>
        <w:bottom w:val="none" w:sz="0" w:space="0" w:color="auto"/>
        <w:right w:val="none" w:sz="0" w:space="0" w:color="auto"/>
      </w:divBdr>
    </w:div>
    <w:div w:id="314838300">
      <w:bodyDiv w:val="1"/>
      <w:marLeft w:val="0"/>
      <w:marRight w:val="0"/>
      <w:marTop w:val="0"/>
      <w:marBottom w:val="0"/>
      <w:divBdr>
        <w:top w:val="none" w:sz="0" w:space="0" w:color="auto"/>
        <w:left w:val="none" w:sz="0" w:space="0" w:color="auto"/>
        <w:bottom w:val="none" w:sz="0" w:space="0" w:color="auto"/>
        <w:right w:val="none" w:sz="0" w:space="0" w:color="auto"/>
      </w:divBdr>
    </w:div>
    <w:div w:id="332343873">
      <w:bodyDiv w:val="1"/>
      <w:marLeft w:val="0"/>
      <w:marRight w:val="0"/>
      <w:marTop w:val="0"/>
      <w:marBottom w:val="0"/>
      <w:divBdr>
        <w:top w:val="none" w:sz="0" w:space="0" w:color="auto"/>
        <w:left w:val="none" w:sz="0" w:space="0" w:color="auto"/>
        <w:bottom w:val="none" w:sz="0" w:space="0" w:color="auto"/>
        <w:right w:val="none" w:sz="0" w:space="0" w:color="auto"/>
      </w:divBdr>
    </w:div>
    <w:div w:id="365445504">
      <w:bodyDiv w:val="1"/>
      <w:marLeft w:val="0"/>
      <w:marRight w:val="0"/>
      <w:marTop w:val="0"/>
      <w:marBottom w:val="0"/>
      <w:divBdr>
        <w:top w:val="none" w:sz="0" w:space="0" w:color="auto"/>
        <w:left w:val="none" w:sz="0" w:space="0" w:color="auto"/>
        <w:bottom w:val="none" w:sz="0" w:space="0" w:color="auto"/>
        <w:right w:val="none" w:sz="0" w:space="0" w:color="auto"/>
      </w:divBdr>
    </w:div>
    <w:div w:id="385568285">
      <w:bodyDiv w:val="1"/>
      <w:marLeft w:val="0"/>
      <w:marRight w:val="0"/>
      <w:marTop w:val="0"/>
      <w:marBottom w:val="0"/>
      <w:divBdr>
        <w:top w:val="none" w:sz="0" w:space="0" w:color="auto"/>
        <w:left w:val="none" w:sz="0" w:space="0" w:color="auto"/>
        <w:bottom w:val="none" w:sz="0" w:space="0" w:color="auto"/>
        <w:right w:val="none" w:sz="0" w:space="0" w:color="auto"/>
      </w:divBdr>
    </w:div>
    <w:div w:id="389577757">
      <w:bodyDiv w:val="1"/>
      <w:marLeft w:val="0"/>
      <w:marRight w:val="0"/>
      <w:marTop w:val="0"/>
      <w:marBottom w:val="0"/>
      <w:divBdr>
        <w:top w:val="none" w:sz="0" w:space="0" w:color="auto"/>
        <w:left w:val="none" w:sz="0" w:space="0" w:color="auto"/>
        <w:bottom w:val="none" w:sz="0" w:space="0" w:color="auto"/>
        <w:right w:val="none" w:sz="0" w:space="0" w:color="auto"/>
      </w:divBdr>
    </w:div>
    <w:div w:id="399407975">
      <w:bodyDiv w:val="1"/>
      <w:marLeft w:val="0"/>
      <w:marRight w:val="0"/>
      <w:marTop w:val="0"/>
      <w:marBottom w:val="0"/>
      <w:divBdr>
        <w:top w:val="none" w:sz="0" w:space="0" w:color="auto"/>
        <w:left w:val="none" w:sz="0" w:space="0" w:color="auto"/>
        <w:bottom w:val="none" w:sz="0" w:space="0" w:color="auto"/>
        <w:right w:val="none" w:sz="0" w:space="0" w:color="auto"/>
      </w:divBdr>
    </w:div>
    <w:div w:id="404571029">
      <w:bodyDiv w:val="1"/>
      <w:marLeft w:val="0"/>
      <w:marRight w:val="0"/>
      <w:marTop w:val="0"/>
      <w:marBottom w:val="0"/>
      <w:divBdr>
        <w:top w:val="none" w:sz="0" w:space="0" w:color="auto"/>
        <w:left w:val="none" w:sz="0" w:space="0" w:color="auto"/>
        <w:bottom w:val="none" w:sz="0" w:space="0" w:color="auto"/>
        <w:right w:val="none" w:sz="0" w:space="0" w:color="auto"/>
      </w:divBdr>
    </w:div>
    <w:div w:id="413598360">
      <w:bodyDiv w:val="1"/>
      <w:marLeft w:val="0"/>
      <w:marRight w:val="0"/>
      <w:marTop w:val="0"/>
      <w:marBottom w:val="0"/>
      <w:divBdr>
        <w:top w:val="none" w:sz="0" w:space="0" w:color="auto"/>
        <w:left w:val="none" w:sz="0" w:space="0" w:color="auto"/>
        <w:bottom w:val="none" w:sz="0" w:space="0" w:color="auto"/>
        <w:right w:val="none" w:sz="0" w:space="0" w:color="auto"/>
      </w:divBdr>
    </w:div>
    <w:div w:id="417404367">
      <w:bodyDiv w:val="1"/>
      <w:marLeft w:val="0"/>
      <w:marRight w:val="0"/>
      <w:marTop w:val="0"/>
      <w:marBottom w:val="0"/>
      <w:divBdr>
        <w:top w:val="none" w:sz="0" w:space="0" w:color="auto"/>
        <w:left w:val="none" w:sz="0" w:space="0" w:color="auto"/>
        <w:bottom w:val="none" w:sz="0" w:space="0" w:color="auto"/>
        <w:right w:val="none" w:sz="0" w:space="0" w:color="auto"/>
      </w:divBdr>
    </w:div>
    <w:div w:id="427503993">
      <w:bodyDiv w:val="1"/>
      <w:marLeft w:val="0"/>
      <w:marRight w:val="0"/>
      <w:marTop w:val="0"/>
      <w:marBottom w:val="0"/>
      <w:divBdr>
        <w:top w:val="none" w:sz="0" w:space="0" w:color="auto"/>
        <w:left w:val="none" w:sz="0" w:space="0" w:color="auto"/>
        <w:bottom w:val="none" w:sz="0" w:space="0" w:color="auto"/>
        <w:right w:val="none" w:sz="0" w:space="0" w:color="auto"/>
      </w:divBdr>
    </w:div>
    <w:div w:id="437023002">
      <w:bodyDiv w:val="1"/>
      <w:marLeft w:val="0"/>
      <w:marRight w:val="0"/>
      <w:marTop w:val="0"/>
      <w:marBottom w:val="0"/>
      <w:divBdr>
        <w:top w:val="none" w:sz="0" w:space="0" w:color="auto"/>
        <w:left w:val="none" w:sz="0" w:space="0" w:color="auto"/>
        <w:bottom w:val="none" w:sz="0" w:space="0" w:color="auto"/>
        <w:right w:val="none" w:sz="0" w:space="0" w:color="auto"/>
      </w:divBdr>
    </w:div>
    <w:div w:id="437874673">
      <w:bodyDiv w:val="1"/>
      <w:marLeft w:val="0"/>
      <w:marRight w:val="0"/>
      <w:marTop w:val="0"/>
      <w:marBottom w:val="0"/>
      <w:divBdr>
        <w:top w:val="none" w:sz="0" w:space="0" w:color="auto"/>
        <w:left w:val="none" w:sz="0" w:space="0" w:color="auto"/>
        <w:bottom w:val="none" w:sz="0" w:space="0" w:color="auto"/>
        <w:right w:val="none" w:sz="0" w:space="0" w:color="auto"/>
      </w:divBdr>
    </w:div>
    <w:div w:id="450513296">
      <w:bodyDiv w:val="1"/>
      <w:marLeft w:val="0"/>
      <w:marRight w:val="0"/>
      <w:marTop w:val="0"/>
      <w:marBottom w:val="0"/>
      <w:divBdr>
        <w:top w:val="none" w:sz="0" w:space="0" w:color="auto"/>
        <w:left w:val="none" w:sz="0" w:space="0" w:color="auto"/>
        <w:bottom w:val="none" w:sz="0" w:space="0" w:color="auto"/>
        <w:right w:val="none" w:sz="0" w:space="0" w:color="auto"/>
      </w:divBdr>
    </w:div>
    <w:div w:id="460684449">
      <w:bodyDiv w:val="1"/>
      <w:marLeft w:val="0"/>
      <w:marRight w:val="0"/>
      <w:marTop w:val="0"/>
      <w:marBottom w:val="0"/>
      <w:divBdr>
        <w:top w:val="none" w:sz="0" w:space="0" w:color="auto"/>
        <w:left w:val="none" w:sz="0" w:space="0" w:color="auto"/>
        <w:bottom w:val="none" w:sz="0" w:space="0" w:color="auto"/>
        <w:right w:val="none" w:sz="0" w:space="0" w:color="auto"/>
      </w:divBdr>
    </w:div>
    <w:div w:id="462357259">
      <w:bodyDiv w:val="1"/>
      <w:marLeft w:val="0"/>
      <w:marRight w:val="0"/>
      <w:marTop w:val="0"/>
      <w:marBottom w:val="0"/>
      <w:divBdr>
        <w:top w:val="none" w:sz="0" w:space="0" w:color="auto"/>
        <w:left w:val="none" w:sz="0" w:space="0" w:color="auto"/>
        <w:bottom w:val="none" w:sz="0" w:space="0" w:color="auto"/>
        <w:right w:val="none" w:sz="0" w:space="0" w:color="auto"/>
      </w:divBdr>
    </w:div>
    <w:div w:id="463431370">
      <w:bodyDiv w:val="1"/>
      <w:marLeft w:val="0"/>
      <w:marRight w:val="0"/>
      <w:marTop w:val="0"/>
      <w:marBottom w:val="0"/>
      <w:divBdr>
        <w:top w:val="none" w:sz="0" w:space="0" w:color="auto"/>
        <w:left w:val="none" w:sz="0" w:space="0" w:color="auto"/>
        <w:bottom w:val="none" w:sz="0" w:space="0" w:color="auto"/>
        <w:right w:val="none" w:sz="0" w:space="0" w:color="auto"/>
      </w:divBdr>
    </w:div>
    <w:div w:id="463816040">
      <w:bodyDiv w:val="1"/>
      <w:marLeft w:val="0"/>
      <w:marRight w:val="0"/>
      <w:marTop w:val="0"/>
      <w:marBottom w:val="0"/>
      <w:divBdr>
        <w:top w:val="none" w:sz="0" w:space="0" w:color="auto"/>
        <w:left w:val="none" w:sz="0" w:space="0" w:color="auto"/>
        <w:bottom w:val="none" w:sz="0" w:space="0" w:color="auto"/>
        <w:right w:val="none" w:sz="0" w:space="0" w:color="auto"/>
      </w:divBdr>
    </w:div>
    <w:div w:id="473109118">
      <w:bodyDiv w:val="1"/>
      <w:marLeft w:val="0"/>
      <w:marRight w:val="0"/>
      <w:marTop w:val="0"/>
      <w:marBottom w:val="0"/>
      <w:divBdr>
        <w:top w:val="none" w:sz="0" w:space="0" w:color="auto"/>
        <w:left w:val="none" w:sz="0" w:space="0" w:color="auto"/>
        <w:bottom w:val="none" w:sz="0" w:space="0" w:color="auto"/>
        <w:right w:val="none" w:sz="0" w:space="0" w:color="auto"/>
      </w:divBdr>
    </w:div>
    <w:div w:id="492111279">
      <w:bodyDiv w:val="1"/>
      <w:marLeft w:val="0"/>
      <w:marRight w:val="0"/>
      <w:marTop w:val="0"/>
      <w:marBottom w:val="0"/>
      <w:divBdr>
        <w:top w:val="none" w:sz="0" w:space="0" w:color="auto"/>
        <w:left w:val="none" w:sz="0" w:space="0" w:color="auto"/>
        <w:bottom w:val="none" w:sz="0" w:space="0" w:color="auto"/>
        <w:right w:val="none" w:sz="0" w:space="0" w:color="auto"/>
      </w:divBdr>
    </w:div>
    <w:div w:id="495386758">
      <w:bodyDiv w:val="1"/>
      <w:marLeft w:val="0"/>
      <w:marRight w:val="0"/>
      <w:marTop w:val="0"/>
      <w:marBottom w:val="0"/>
      <w:divBdr>
        <w:top w:val="none" w:sz="0" w:space="0" w:color="auto"/>
        <w:left w:val="none" w:sz="0" w:space="0" w:color="auto"/>
        <w:bottom w:val="none" w:sz="0" w:space="0" w:color="auto"/>
        <w:right w:val="none" w:sz="0" w:space="0" w:color="auto"/>
      </w:divBdr>
    </w:div>
    <w:div w:id="537280607">
      <w:bodyDiv w:val="1"/>
      <w:marLeft w:val="0"/>
      <w:marRight w:val="0"/>
      <w:marTop w:val="0"/>
      <w:marBottom w:val="0"/>
      <w:divBdr>
        <w:top w:val="none" w:sz="0" w:space="0" w:color="auto"/>
        <w:left w:val="none" w:sz="0" w:space="0" w:color="auto"/>
        <w:bottom w:val="none" w:sz="0" w:space="0" w:color="auto"/>
        <w:right w:val="none" w:sz="0" w:space="0" w:color="auto"/>
      </w:divBdr>
    </w:div>
    <w:div w:id="549657530">
      <w:bodyDiv w:val="1"/>
      <w:marLeft w:val="0"/>
      <w:marRight w:val="0"/>
      <w:marTop w:val="0"/>
      <w:marBottom w:val="0"/>
      <w:divBdr>
        <w:top w:val="none" w:sz="0" w:space="0" w:color="auto"/>
        <w:left w:val="none" w:sz="0" w:space="0" w:color="auto"/>
        <w:bottom w:val="none" w:sz="0" w:space="0" w:color="auto"/>
        <w:right w:val="none" w:sz="0" w:space="0" w:color="auto"/>
      </w:divBdr>
    </w:div>
    <w:div w:id="567617821">
      <w:bodyDiv w:val="1"/>
      <w:marLeft w:val="0"/>
      <w:marRight w:val="0"/>
      <w:marTop w:val="0"/>
      <w:marBottom w:val="0"/>
      <w:divBdr>
        <w:top w:val="none" w:sz="0" w:space="0" w:color="auto"/>
        <w:left w:val="none" w:sz="0" w:space="0" w:color="auto"/>
        <w:bottom w:val="none" w:sz="0" w:space="0" w:color="auto"/>
        <w:right w:val="none" w:sz="0" w:space="0" w:color="auto"/>
      </w:divBdr>
      <w:divsChild>
        <w:div w:id="59182519">
          <w:marLeft w:val="0"/>
          <w:marRight w:val="0"/>
          <w:marTop w:val="0"/>
          <w:marBottom w:val="0"/>
          <w:divBdr>
            <w:top w:val="none" w:sz="0" w:space="0" w:color="auto"/>
            <w:left w:val="none" w:sz="0" w:space="0" w:color="auto"/>
            <w:bottom w:val="none" w:sz="0" w:space="0" w:color="auto"/>
            <w:right w:val="none" w:sz="0" w:space="0" w:color="auto"/>
          </w:divBdr>
        </w:div>
        <w:div w:id="790826419">
          <w:marLeft w:val="0"/>
          <w:marRight w:val="0"/>
          <w:marTop w:val="0"/>
          <w:marBottom w:val="0"/>
          <w:divBdr>
            <w:top w:val="none" w:sz="0" w:space="0" w:color="auto"/>
            <w:left w:val="none" w:sz="0" w:space="0" w:color="auto"/>
            <w:bottom w:val="none" w:sz="0" w:space="0" w:color="auto"/>
            <w:right w:val="none" w:sz="0" w:space="0" w:color="auto"/>
          </w:divBdr>
        </w:div>
      </w:divsChild>
    </w:div>
    <w:div w:id="579755098">
      <w:bodyDiv w:val="1"/>
      <w:marLeft w:val="0"/>
      <w:marRight w:val="0"/>
      <w:marTop w:val="0"/>
      <w:marBottom w:val="0"/>
      <w:divBdr>
        <w:top w:val="none" w:sz="0" w:space="0" w:color="auto"/>
        <w:left w:val="none" w:sz="0" w:space="0" w:color="auto"/>
        <w:bottom w:val="none" w:sz="0" w:space="0" w:color="auto"/>
        <w:right w:val="none" w:sz="0" w:space="0" w:color="auto"/>
      </w:divBdr>
    </w:div>
    <w:div w:id="586308167">
      <w:bodyDiv w:val="1"/>
      <w:marLeft w:val="0"/>
      <w:marRight w:val="0"/>
      <w:marTop w:val="0"/>
      <w:marBottom w:val="0"/>
      <w:divBdr>
        <w:top w:val="none" w:sz="0" w:space="0" w:color="auto"/>
        <w:left w:val="none" w:sz="0" w:space="0" w:color="auto"/>
        <w:bottom w:val="none" w:sz="0" w:space="0" w:color="auto"/>
        <w:right w:val="none" w:sz="0" w:space="0" w:color="auto"/>
      </w:divBdr>
    </w:div>
    <w:div w:id="586497313">
      <w:bodyDiv w:val="1"/>
      <w:marLeft w:val="0"/>
      <w:marRight w:val="0"/>
      <w:marTop w:val="0"/>
      <w:marBottom w:val="0"/>
      <w:divBdr>
        <w:top w:val="none" w:sz="0" w:space="0" w:color="auto"/>
        <w:left w:val="none" w:sz="0" w:space="0" w:color="auto"/>
        <w:bottom w:val="none" w:sz="0" w:space="0" w:color="auto"/>
        <w:right w:val="none" w:sz="0" w:space="0" w:color="auto"/>
      </w:divBdr>
    </w:div>
    <w:div w:id="589312380">
      <w:bodyDiv w:val="1"/>
      <w:marLeft w:val="0"/>
      <w:marRight w:val="0"/>
      <w:marTop w:val="0"/>
      <w:marBottom w:val="0"/>
      <w:divBdr>
        <w:top w:val="none" w:sz="0" w:space="0" w:color="auto"/>
        <w:left w:val="none" w:sz="0" w:space="0" w:color="auto"/>
        <w:bottom w:val="none" w:sz="0" w:space="0" w:color="auto"/>
        <w:right w:val="none" w:sz="0" w:space="0" w:color="auto"/>
      </w:divBdr>
    </w:div>
    <w:div w:id="599727939">
      <w:bodyDiv w:val="1"/>
      <w:marLeft w:val="0"/>
      <w:marRight w:val="0"/>
      <w:marTop w:val="0"/>
      <w:marBottom w:val="0"/>
      <w:divBdr>
        <w:top w:val="none" w:sz="0" w:space="0" w:color="auto"/>
        <w:left w:val="none" w:sz="0" w:space="0" w:color="auto"/>
        <w:bottom w:val="none" w:sz="0" w:space="0" w:color="auto"/>
        <w:right w:val="none" w:sz="0" w:space="0" w:color="auto"/>
      </w:divBdr>
    </w:div>
    <w:div w:id="602147344">
      <w:bodyDiv w:val="1"/>
      <w:marLeft w:val="0"/>
      <w:marRight w:val="0"/>
      <w:marTop w:val="0"/>
      <w:marBottom w:val="0"/>
      <w:divBdr>
        <w:top w:val="none" w:sz="0" w:space="0" w:color="auto"/>
        <w:left w:val="none" w:sz="0" w:space="0" w:color="auto"/>
        <w:bottom w:val="none" w:sz="0" w:space="0" w:color="auto"/>
        <w:right w:val="none" w:sz="0" w:space="0" w:color="auto"/>
      </w:divBdr>
    </w:div>
    <w:div w:id="611398118">
      <w:bodyDiv w:val="1"/>
      <w:marLeft w:val="0"/>
      <w:marRight w:val="0"/>
      <w:marTop w:val="0"/>
      <w:marBottom w:val="0"/>
      <w:divBdr>
        <w:top w:val="none" w:sz="0" w:space="0" w:color="auto"/>
        <w:left w:val="none" w:sz="0" w:space="0" w:color="auto"/>
        <w:bottom w:val="none" w:sz="0" w:space="0" w:color="auto"/>
        <w:right w:val="none" w:sz="0" w:space="0" w:color="auto"/>
      </w:divBdr>
    </w:div>
    <w:div w:id="617182329">
      <w:bodyDiv w:val="1"/>
      <w:marLeft w:val="0"/>
      <w:marRight w:val="0"/>
      <w:marTop w:val="0"/>
      <w:marBottom w:val="0"/>
      <w:divBdr>
        <w:top w:val="none" w:sz="0" w:space="0" w:color="auto"/>
        <w:left w:val="none" w:sz="0" w:space="0" w:color="auto"/>
        <w:bottom w:val="none" w:sz="0" w:space="0" w:color="auto"/>
        <w:right w:val="none" w:sz="0" w:space="0" w:color="auto"/>
      </w:divBdr>
    </w:div>
    <w:div w:id="619339154">
      <w:bodyDiv w:val="1"/>
      <w:marLeft w:val="0"/>
      <w:marRight w:val="0"/>
      <w:marTop w:val="0"/>
      <w:marBottom w:val="0"/>
      <w:divBdr>
        <w:top w:val="none" w:sz="0" w:space="0" w:color="auto"/>
        <w:left w:val="none" w:sz="0" w:space="0" w:color="auto"/>
        <w:bottom w:val="none" w:sz="0" w:space="0" w:color="auto"/>
        <w:right w:val="none" w:sz="0" w:space="0" w:color="auto"/>
      </w:divBdr>
    </w:div>
    <w:div w:id="620502746">
      <w:bodyDiv w:val="1"/>
      <w:marLeft w:val="0"/>
      <w:marRight w:val="0"/>
      <w:marTop w:val="0"/>
      <w:marBottom w:val="0"/>
      <w:divBdr>
        <w:top w:val="none" w:sz="0" w:space="0" w:color="auto"/>
        <w:left w:val="none" w:sz="0" w:space="0" w:color="auto"/>
        <w:bottom w:val="none" w:sz="0" w:space="0" w:color="auto"/>
        <w:right w:val="none" w:sz="0" w:space="0" w:color="auto"/>
      </w:divBdr>
    </w:div>
    <w:div w:id="630017189">
      <w:bodyDiv w:val="1"/>
      <w:marLeft w:val="0"/>
      <w:marRight w:val="0"/>
      <w:marTop w:val="0"/>
      <w:marBottom w:val="0"/>
      <w:divBdr>
        <w:top w:val="none" w:sz="0" w:space="0" w:color="auto"/>
        <w:left w:val="none" w:sz="0" w:space="0" w:color="auto"/>
        <w:bottom w:val="none" w:sz="0" w:space="0" w:color="auto"/>
        <w:right w:val="none" w:sz="0" w:space="0" w:color="auto"/>
      </w:divBdr>
      <w:divsChild>
        <w:div w:id="788279437">
          <w:marLeft w:val="0"/>
          <w:marRight w:val="0"/>
          <w:marTop w:val="0"/>
          <w:marBottom w:val="0"/>
          <w:divBdr>
            <w:top w:val="none" w:sz="0" w:space="0" w:color="auto"/>
            <w:left w:val="none" w:sz="0" w:space="0" w:color="auto"/>
            <w:bottom w:val="none" w:sz="0" w:space="0" w:color="auto"/>
            <w:right w:val="none" w:sz="0" w:space="0" w:color="auto"/>
          </w:divBdr>
        </w:div>
      </w:divsChild>
    </w:div>
    <w:div w:id="649481550">
      <w:bodyDiv w:val="1"/>
      <w:marLeft w:val="0"/>
      <w:marRight w:val="0"/>
      <w:marTop w:val="0"/>
      <w:marBottom w:val="0"/>
      <w:divBdr>
        <w:top w:val="none" w:sz="0" w:space="0" w:color="auto"/>
        <w:left w:val="none" w:sz="0" w:space="0" w:color="auto"/>
        <w:bottom w:val="none" w:sz="0" w:space="0" w:color="auto"/>
        <w:right w:val="none" w:sz="0" w:space="0" w:color="auto"/>
      </w:divBdr>
    </w:div>
    <w:div w:id="650253290">
      <w:bodyDiv w:val="1"/>
      <w:marLeft w:val="0"/>
      <w:marRight w:val="0"/>
      <w:marTop w:val="0"/>
      <w:marBottom w:val="0"/>
      <w:divBdr>
        <w:top w:val="none" w:sz="0" w:space="0" w:color="auto"/>
        <w:left w:val="none" w:sz="0" w:space="0" w:color="auto"/>
        <w:bottom w:val="none" w:sz="0" w:space="0" w:color="auto"/>
        <w:right w:val="none" w:sz="0" w:space="0" w:color="auto"/>
      </w:divBdr>
    </w:div>
    <w:div w:id="657685060">
      <w:bodyDiv w:val="1"/>
      <w:marLeft w:val="0"/>
      <w:marRight w:val="0"/>
      <w:marTop w:val="0"/>
      <w:marBottom w:val="0"/>
      <w:divBdr>
        <w:top w:val="none" w:sz="0" w:space="0" w:color="auto"/>
        <w:left w:val="none" w:sz="0" w:space="0" w:color="auto"/>
        <w:bottom w:val="none" w:sz="0" w:space="0" w:color="auto"/>
        <w:right w:val="none" w:sz="0" w:space="0" w:color="auto"/>
      </w:divBdr>
    </w:div>
    <w:div w:id="693581759">
      <w:bodyDiv w:val="1"/>
      <w:marLeft w:val="0"/>
      <w:marRight w:val="0"/>
      <w:marTop w:val="0"/>
      <w:marBottom w:val="0"/>
      <w:divBdr>
        <w:top w:val="none" w:sz="0" w:space="0" w:color="auto"/>
        <w:left w:val="none" w:sz="0" w:space="0" w:color="auto"/>
        <w:bottom w:val="none" w:sz="0" w:space="0" w:color="auto"/>
        <w:right w:val="none" w:sz="0" w:space="0" w:color="auto"/>
      </w:divBdr>
    </w:div>
    <w:div w:id="698747032">
      <w:bodyDiv w:val="1"/>
      <w:marLeft w:val="0"/>
      <w:marRight w:val="0"/>
      <w:marTop w:val="0"/>
      <w:marBottom w:val="0"/>
      <w:divBdr>
        <w:top w:val="none" w:sz="0" w:space="0" w:color="auto"/>
        <w:left w:val="none" w:sz="0" w:space="0" w:color="auto"/>
        <w:bottom w:val="none" w:sz="0" w:space="0" w:color="auto"/>
        <w:right w:val="none" w:sz="0" w:space="0" w:color="auto"/>
      </w:divBdr>
    </w:div>
    <w:div w:id="719791726">
      <w:bodyDiv w:val="1"/>
      <w:marLeft w:val="0"/>
      <w:marRight w:val="0"/>
      <w:marTop w:val="0"/>
      <w:marBottom w:val="0"/>
      <w:divBdr>
        <w:top w:val="none" w:sz="0" w:space="0" w:color="auto"/>
        <w:left w:val="none" w:sz="0" w:space="0" w:color="auto"/>
        <w:bottom w:val="none" w:sz="0" w:space="0" w:color="auto"/>
        <w:right w:val="none" w:sz="0" w:space="0" w:color="auto"/>
      </w:divBdr>
    </w:div>
    <w:div w:id="725373701">
      <w:bodyDiv w:val="1"/>
      <w:marLeft w:val="0"/>
      <w:marRight w:val="0"/>
      <w:marTop w:val="0"/>
      <w:marBottom w:val="0"/>
      <w:divBdr>
        <w:top w:val="none" w:sz="0" w:space="0" w:color="auto"/>
        <w:left w:val="none" w:sz="0" w:space="0" w:color="auto"/>
        <w:bottom w:val="none" w:sz="0" w:space="0" w:color="auto"/>
        <w:right w:val="none" w:sz="0" w:space="0" w:color="auto"/>
      </w:divBdr>
    </w:div>
    <w:div w:id="746000363">
      <w:bodyDiv w:val="1"/>
      <w:marLeft w:val="0"/>
      <w:marRight w:val="0"/>
      <w:marTop w:val="0"/>
      <w:marBottom w:val="0"/>
      <w:divBdr>
        <w:top w:val="none" w:sz="0" w:space="0" w:color="auto"/>
        <w:left w:val="none" w:sz="0" w:space="0" w:color="auto"/>
        <w:bottom w:val="none" w:sz="0" w:space="0" w:color="auto"/>
        <w:right w:val="none" w:sz="0" w:space="0" w:color="auto"/>
      </w:divBdr>
    </w:div>
    <w:div w:id="766192486">
      <w:bodyDiv w:val="1"/>
      <w:marLeft w:val="0"/>
      <w:marRight w:val="0"/>
      <w:marTop w:val="0"/>
      <w:marBottom w:val="0"/>
      <w:divBdr>
        <w:top w:val="none" w:sz="0" w:space="0" w:color="auto"/>
        <w:left w:val="none" w:sz="0" w:space="0" w:color="auto"/>
        <w:bottom w:val="none" w:sz="0" w:space="0" w:color="auto"/>
        <w:right w:val="none" w:sz="0" w:space="0" w:color="auto"/>
      </w:divBdr>
    </w:div>
    <w:div w:id="772749718">
      <w:bodyDiv w:val="1"/>
      <w:marLeft w:val="0"/>
      <w:marRight w:val="0"/>
      <w:marTop w:val="0"/>
      <w:marBottom w:val="0"/>
      <w:divBdr>
        <w:top w:val="none" w:sz="0" w:space="0" w:color="auto"/>
        <w:left w:val="none" w:sz="0" w:space="0" w:color="auto"/>
        <w:bottom w:val="none" w:sz="0" w:space="0" w:color="auto"/>
        <w:right w:val="none" w:sz="0" w:space="0" w:color="auto"/>
      </w:divBdr>
    </w:div>
    <w:div w:id="773985008">
      <w:bodyDiv w:val="1"/>
      <w:marLeft w:val="0"/>
      <w:marRight w:val="0"/>
      <w:marTop w:val="0"/>
      <w:marBottom w:val="0"/>
      <w:divBdr>
        <w:top w:val="none" w:sz="0" w:space="0" w:color="auto"/>
        <w:left w:val="none" w:sz="0" w:space="0" w:color="auto"/>
        <w:bottom w:val="none" w:sz="0" w:space="0" w:color="auto"/>
        <w:right w:val="none" w:sz="0" w:space="0" w:color="auto"/>
      </w:divBdr>
    </w:div>
    <w:div w:id="778918106">
      <w:bodyDiv w:val="1"/>
      <w:marLeft w:val="0"/>
      <w:marRight w:val="0"/>
      <w:marTop w:val="0"/>
      <w:marBottom w:val="0"/>
      <w:divBdr>
        <w:top w:val="none" w:sz="0" w:space="0" w:color="auto"/>
        <w:left w:val="none" w:sz="0" w:space="0" w:color="auto"/>
        <w:bottom w:val="none" w:sz="0" w:space="0" w:color="auto"/>
        <w:right w:val="none" w:sz="0" w:space="0" w:color="auto"/>
      </w:divBdr>
    </w:div>
    <w:div w:id="826094939">
      <w:bodyDiv w:val="1"/>
      <w:marLeft w:val="0"/>
      <w:marRight w:val="0"/>
      <w:marTop w:val="0"/>
      <w:marBottom w:val="0"/>
      <w:divBdr>
        <w:top w:val="none" w:sz="0" w:space="0" w:color="auto"/>
        <w:left w:val="none" w:sz="0" w:space="0" w:color="auto"/>
        <w:bottom w:val="none" w:sz="0" w:space="0" w:color="auto"/>
        <w:right w:val="none" w:sz="0" w:space="0" w:color="auto"/>
      </w:divBdr>
    </w:div>
    <w:div w:id="832181924">
      <w:bodyDiv w:val="1"/>
      <w:marLeft w:val="0"/>
      <w:marRight w:val="0"/>
      <w:marTop w:val="0"/>
      <w:marBottom w:val="0"/>
      <w:divBdr>
        <w:top w:val="none" w:sz="0" w:space="0" w:color="auto"/>
        <w:left w:val="none" w:sz="0" w:space="0" w:color="auto"/>
        <w:bottom w:val="none" w:sz="0" w:space="0" w:color="auto"/>
        <w:right w:val="none" w:sz="0" w:space="0" w:color="auto"/>
      </w:divBdr>
    </w:div>
    <w:div w:id="839586118">
      <w:bodyDiv w:val="1"/>
      <w:marLeft w:val="0"/>
      <w:marRight w:val="0"/>
      <w:marTop w:val="0"/>
      <w:marBottom w:val="0"/>
      <w:divBdr>
        <w:top w:val="none" w:sz="0" w:space="0" w:color="auto"/>
        <w:left w:val="none" w:sz="0" w:space="0" w:color="auto"/>
        <w:bottom w:val="none" w:sz="0" w:space="0" w:color="auto"/>
        <w:right w:val="none" w:sz="0" w:space="0" w:color="auto"/>
      </w:divBdr>
    </w:div>
    <w:div w:id="874660456">
      <w:bodyDiv w:val="1"/>
      <w:marLeft w:val="0"/>
      <w:marRight w:val="0"/>
      <w:marTop w:val="0"/>
      <w:marBottom w:val="0"/>
      <w:divBdr>
        <w:top w:val="none" w:sz="0" w:space="0" w:color="auto"/>
        <w:left w:val="none" w:sz="0" w:space="0" w:color="auto"/>
        <w:bottom w:val="none" w:sz="0" w:space="0" w:color="auto"/>
        <w:right w:val="none" w:sz="0" w:space="0" w:color="auto"/>
      </w:divBdr>
    </w:div>
    <w:div w:id="902183216">
      <w:bodyDiv w:val="1"/>
      <w:marLeft w:val="0"/>
      <w:marRight w:val="0"/>
      <w:marTop w:val="0"/>
      <w:marBottom w:val="0"/>
      <w:divBdr>
        <w:top w:val="none" w:sz="0" w:space="0" w:color="auto"/>
        <w:left w:val="none" w:sz="0" w:space="0" w:color="auto"/>
        <w:bottom w:val="none" w:sz="0" w:space="0" w:color="auto"/>
        <w:right w:val="none" w:sz="0" w:space="0" w:color="auto"/>
      </w:divBdr>
    </w:div>
    <w:div w:id="914631673">
      <w:bodyDiv w:val="1"/>
      <w:marLeft w:val="0"/>
      <w:marRight w:val="0"/>
      <w:marTop w:val="0"/>
      <w:marBottom w:val="0"/>
      <w:divBdr>
        <w:top w:val="none" w:sz="0" w:space="0" w:color="auto"/>
        <w:left w:val="none" w:sz="0" w:space="0" w:color="auto"/>
        <w:bottom w:val="none" w:sz="0" w:space="0" w:color="auto"/>
        <w:right w:val="none" w:sz="0" w:space="0" w:color="auto"/>
      </w:divBdr>
    </w:div>
    <w:div w:id="914709052">
      <w:bodyDiv w:val="1"/>
      <w:marLeft w:val="0"/>
      <w:marRight w:val="0"/>
      <w:marTop w:val="0"/>
      <w:marBottom w:val="0"/>
      <w:divBdr>
        <w:top w:val="none" w:sz="0" w:space="0" w:color="auto"/>
        <w:left w:val="none" w:sz="0" w:space="0" w:color="auto"/>
        <w:bottom w:val="none" w:sz="0" w:space="0" w:color="auto"/>
        <w:right w:val="none" w:sz="0" w:space="0" w:color="auto"/>
      </w:divBdr>
    </w:div>
    <w:div w:id="925455707">
      <w:bodyDiv w:val="1"/>
      <w:marLeft w:val="0"/>
      <w:marRight w:val="0"/>
      <w:marTop w:val="0"/>
      <w:marBottom w:val="0"/>
      <w:divBdr>
        <w:top w:val="none" w:sz="0" w:space="0" w:color="auto"/>
        <w:left w:val="none" w:sz="0" w:space="0" w:color="auto"/>
        <w:bottom w:val="none" w:sz="0" w:space="0" w:color="auto"/>
        <w:right w:val="none" w:sz="0" w:space="0" w:color="auto"/>
      </w:divBdr>
    </w:div>
    <w:div w:id="938877278">
      <w:bodyDiv w:val="1"/>
      <w:marLeft w:val="0"/>
      <w:marRight w:val="0"/>
      <w:marTop w:val="0"/>
      <w:marBottom w:val="0"/>
      <w:divBdr>
        <w:top w:val="none" w:sz="0" w:space="0" w:color="auto"/>
        <w:left w:val="none" w:sz="0" w:space="0" w:color="auto"/>
        <w:bottom w:val="none" w:sz="0" w:space="0" w:color="auto"/>
        <w:right w:val="none" w:sz="0" w:space="0" w:color="auto"/>
      </w:divBdr>
    </w:div>
    <w:div w:id="940531294">
      <w:bodyDiv w:val="1"/>
      <w:marLeft w:val="0"/>
      <w:marRight w:val="0"/>
      <w:marTop w:val="0"/>
      <w:marBottom w:val="0"/>
      <w:divBdr>
        <w:top w:val="none" w:sz="0" w:space="0" w:color="auto"/>
        <w:left w:val="none" w:sz="0" w:space="0" w:color="auto"/>
        <w:bottom w:val="none" w:sz="0" w:space="0" w:color="auto"/>
        <w:right w:val="none" w:sz="0" w:space="0" w:color="auto"/>
      </w:divBdr>
    </w:div>
    <w:div w:id="946430470">
      <w:bodyDiv w:val="1"/>
      <w:marLeft w:val="0"/>
      <w:marRight w:val="0"/>
      <w:marTop w:val="0"/>
      <w:marBottom w:val="0"/>
      <w:divBdr>
        <w:top w:val="none" w:sz="0" w:space="0" w:color="auto"/>
        <w:left w:val="none" w:sz="0" w:space="0" w:color="auto"/>
        <w:bottom w:val="none" w:sz="0" w:space="0" w:color="auto"/>
        <w:right w:val="none" w:sz="0" w:space="0" w:color="auto"/>
      </w:divBdr>
    </w:div>
    <w:div w:id="954629148">
      <w:bodyDiv w:val="1"/>
      <w:marLeft w:val="0"/>
      <w:marRight w:val="0"/>
      <w:marTop w:val="0"/>
      <w:marBottom w:val="0"/>
      <w:divBdr>
        <w:top w:val="none" w:sz="0" w:space="0" w:color="auto"/>
        <w:left w:val="none" w:sz="0" w:space="0" w:color="auto"/>
        <w:bottom w:val="none" w:sz="0" w:space="0" w:color="auto"/>
        <w:right w:val="none" w:sz="0" w:space="0" w:color="auto"/>
      </w:divBdr>
    </w:div>
    <w:div w:id="970281549">
      <w:bodyDiv w:val="1"/>
      <w:marLeft w:val="0"/>
      <w:marRight w:val="0"/>
      <w:marTop w:val="0"/>
      <w:marBottom w:val="0"/>
      <w:divBdr>
        <w:top w:val="none" w:sz="0" w:space="0" w:color="auto"/>
        <w:left w:val="none" w:sz="0" w:space="0" w:color="auto"/>
        <w:bottom w:val="none" w:sz="0" w:space="0" w:color="auto"/>
        <w:right w:val="none" w:sz="0" w:space="0" w:color="auto"/>
      </w:divBdr>
    </w:div>
    <w:div w:id="974329776">
      <w:bodyDiv w:val="1"/>
      <w:marLeft w:val="0"/>
      <w:marRight w:val="0"/>
      <w:marTop w:val="0"/>
      <w:marBottom w:val="0"/>
      <w:divBdr>
        <w:top w:val="none" w:sz="0" w:space="0" w:color="auto"/>
        <w:left w:val="none" w:sz="0" w:space="0" w:color="auto"/>
        <w:bottom w:val="none" w:sz="0" w:space="0" w:color="auto"/>
        <w:right w:val="none" w:sz="0" w:space="0" w:color="auto"/>
      </w:divBdr>
    </w:div>
    <w:div w:id="1020594731">
      <w:bodyDiv w:val="1"/>
      <w:marLeft w:val="0"/>
      <w:marRight w:val="0"/>
      <w:marTop w:val="0"/>
      <w:marBottom w:val="0"/>
      <w:divBdr>
        <w:top w:val="none" w:sz="0" w:space="0" w:color="auto"/>
        <w:left w:val="none" w:sz="0" w:space="0" w:color="auto"/>
        <w:bottom w:val="none" w:sz="0" w:space="0" w:color="auto"/>
        <w:right w:val="none" w:sz="0" w:space="0" w:color="auto"/>
      </w:divBdr>
    </w:div>
    <w:div w:id="1025057571">
      <w:bodyDiv w:val="1"/>
      <w:marLeft w:val="0"/>
      <w:marRight w:val="0"/>
      <w:marTop w:val="0"/>
      <w:marBottom w:val="0"/>
      <w:divBdr>
        <w:top w:val="none" w:sz="0" w:space="0" w:color="auto"/>
        <w:left w:val="none" w:sz="0" w:space="0" w:color="auto"/>
        <w:bottom w:val="none" w:sz="0" w:space="0" w:color="auto"/>
        <w:right w:val="none" w:sz="0" w:space="0" w:color="auto"/>
      </w:divBdr>
    </w:div>
    <w:div w:id="1030060831">
      <w:bodyDiv w:val="1"/>
      <w:marLeft w:val="0"/>
      <w:marRight w:val="0"/>
      <w:marTop w:val="0"/>
      <w:marBottom w:val="0"/>
      <w:divBdr>
        <w:top w:val="none" w:sz="0" w:space="0" w:color="auto"/>
        <w:left w:val="none" w:sz="0" w:space="0" w:color="auto"/>
        <w:bottom w:val="none" w:sz="0" w:space="0" w:color="auto"/>
        <w:right w:val="none" w:sz="0" w:space="0" w:color="auto"/>
      </w:divBdr>
    </w:div>
    <w:div w:id="1057246744">
      <w:bodyDiv w:val="1"/>
      <w:marLeft w:val="0"/>
      <w:marRight w:val="0"/>
      <w:marTop w:val="0"/>
      <w:marBottom w:val="0"/>
      <w:divBdr>
        <w:top w:val="none" w:sz="0" w:space="0" w:color="auto"/>
        <w:left w:val="none" w:sz="0" w:space="0" w:color="auto"/>
        <w:bottom w:val="none" w:sz="0" w:space="0" w:color="auto"/>
        <w:right w:val="none" w:sz="0" w:space="0" w:color="auto"/>
      </w:divBdr>
    </w:div>
    <w:div w:id="1084034079">
      <w:bodyDiv w:val="1"/>
      <w:marLeft w:val="0"/>
      <w:marRight w:val="0"/>
      <w:marTop w:val="0"/>
      <w:marBottom w:val="0"/>
      <w:divBdr>
        <w:top w:val="none" w:sz="0" w:space="0" w:color="auto"/>
        <w:left w:val="none" w:sz="0" w:space="0" w:color="auto"/>
        <w:bottom w:val="none" w:sz="0" w:space="0" w:color="auto"/>
        <w:right w:val="none" w:sz="0" w:space="0" w:color="auto"/>
      </w:divBdr>
    </w:div>
    <w:div w:id="1115446913">
      <w:bodyDiv w:val="1"/>
      <w:marLeft w:val="0"/>
      <w:marRight w:val="0"/>
      <w:marTop w:val="0"/>
      <w:marBottom w:val="0"/>
      <w:divBdr>
        <w:top w:val="none" w:sz="0" w:space="0" w:color="auto"/>
        <w:left w:val="none" w:sz="0" w:space="0" w:color="auto"/>
        <w:bottom w:val="none" w:sz="0" w:space="0" w:color="auto"/>
        <w:right w:val="none" w:sz="0" w:space="0" w:color="auto"/>
      </w:divBdr>
    </w:div>
    <w:div w:id="1120488397">
      <w:bodyDiv w:val="1"/>
      <w:marLeft w:val="0"/>
      <w:marRight w:val="0"/>
      <w:marTop w:val="0"/>
      <w:marBottom w:val="0"/>
      <w:divBdr>
        <w:top w:val="none" w:sz="0" w:space="0" w:color="auto"/>
        <w:left w:val="none" w:sz="0" w:space="0" w:color="auto"/>
        <w:bottom w:val="none" w:sz="0" w:space="0" w:color="auto"/>
        <w:right w:val="none" w:sz="0" w:space="0" w:color="auto"/>
      </w:divBdr>
    </w:div>
    <w:div w:id="1133870666">
      <w:bodyDiv w:val="1"/>
      <w:marLeft w:val="0"/>
      <w:marRight w:val="0"/>
      <w:marTop w:val="0"/>
      <w:marBottom w:val="0"/>
      <w:divBdr>
        <w:top w:val="none" w:sz="0" w:space="0" w:color="auto"/>
        <w:left w:val="none" w:sz="0" w:space="0" w:color="auto"/>
        <w:bottom w:val="none" w:sz="0" w:space="0" w:color="auto"/>
        <w:right w:val="none" w:sz="0" w:space="0" w:color="auto"/>
      </w:divBdr>
    </w:div>
    <w:div w:id="1151168785">
      <w:bodyDiv w:val="1"/>
      <w:marLeft w:val="0"/>
      <w:marRight w:val="0"/>
      <w:marTop w:val="0"/>
      <w:marBottom w:val="0"/>
      <w:divBdr>
        <w:top w:val="none" w:sz="0" w:space="0" w:color="auto"/>
        <w:left w:val="none" w:sz="0" w:space="0" w:color="auto"/>
        <w:bottom w:val="none" w:sz="0" w:space="0" w:color="auto"/>
        <w:right w:val="none" w:sz="0" w:space="0" w:color="auto"/>
      </w:divBdr>
    </w:div>
    <w:div w:id="1174764133">
      <w:bodyDiv w:val="1"/>
      <w:marLeft w:val="0"/>
      <w:marRight w:val="0"/>
      <w:marTop w:val="0"/>
      <w:marBottom w:val="0"/>
      <w:divBdr>
        <w:top w:val="none" w:sz="0" w:space="0" w:color="auto"/>
        <w:left w:val="none" w:sz="0" w:space="0" w:color="auto"/>
        <w:bottom w:val="none" w:sz="0" w:space="0" w:color="auto"/>
        <w:right w:val="none" w:sz="0" w:space="0" w:color="auto"/>
      </w:divBdr>
    </w:div>
    <w:div w:id="1183204764">
      <w:bodyDiv w:val="1"/>
      <w:marLeft w:val="0"/>
      <w:marRight w:val="0"/>
      <w:marTop w:val="0"/>
      <w:marBottom w:val="0"/>
      <w:divBdr>
        <w:top w:val="none" w:sz="0" w:space="0" w:color="auto"/>
        <w:left w:val="none" w:sz="0" w:space="0" w:color="auto"/>
        <w:bottom w:val="none" w:sz="0" w:space="0" w:color="auto"/>
        <w:right w:val="none" w:sz="0" w:space="0" w:color="auto"/>
      </w:divBdr>
    </w:div>
    <w:div w:id="1209686924">
      <w:bodyDiv w:val="1"/>
      <w:marLeft w:val="0"/>
      <w:marRight w:val="0"/>
      <w:marTop w:val="0"/>
      <w:marBottom w:val="0"/>
      <w:divBdr>
        <w:top w:val="none" w:sz="0" w:space="0" w:color="auto"/>
        <w:left w:val="none" w:sz="0" w:space="0" w:color="auto"/>
        <w:bottom w:val="none" w:sz="0" w:space="0" w:color="auto"/>
        <w:right w:val="none" w:sz="0" w:space="0" w:color="auto"/>
      </w:divBdr>
    </w:div>
    <w:div w:id="1236092372">
      <w:bodyDiv w:val="1"/>
      <w:marLeft w:val="0"/>
      <w:marRight w:val="0"/>
      <w:marTop w:val="0"/>
      <w:marBottom w:val="0"/>
      <w:divBdr>
        <w:top w:val="none" w:sz="0" w:space="0" w:color="auto"/>
        <w:left w:val="none" w:sz="0" w:space="0" w:color="auto"/>
        <w:bottom w:val="none" w:sz="0" w:space="0" w:color="auto"/>
        <w:right w:val="none" w:sz="0" w:space="0" w:color="auto"/>
      </w:divBdr>
    </w:div>
    <w:div w:id="1256480654">
      <w:bodyDiv w:val="1"/>
      <w:marLeft w:val="0"/>
      <w:marRight w:val="0"/>
      <w:marTop w:val="0"/>
      <w:marBottom w:val="0"/>
      <w:divBdr>
        <w:top w:val="none" w:sz="0" w:space="0" w:color="auto"/>
        <w:left w:val="none" w:sz="0" w:space="0" w:color="auto"/>
        <w:bottom w:val="none" w:sz="0" w:space="0" w:color="auto"/>
        <w:right w:val="none" w:sz="0" w:space="0" w:color="auto"/>
      </w:divBdr>
    </w:div>
    <w:div w:id="1269001373">
      <w:bodyDiv w:val="1"/>
      <w:marLeft w:val="0"/>
      <w:marRight w:val="0"/>
      <w:marTop w:val="0"/>
      <w:marBottom w:val="0"/>
      <w:divBdr>
        <w:top w:val="none" w:sz="0" w:space="0" w:color="auto"/>
        <w:left w:val="none" w:sz="0" w:space="0" w:color="auto"/>
        <w:bottom w:val="none" w:sz="0" w:space="0" w:color="auto"/>
        <w:right w:val="none" w:sz="0" w:space="0" w:color="auto"/>
      </w:divBdr>
    </w:div>
    <w:div w:id="1290747314">
      <w:bodyDiv w:val="1"/>
      <w:marLeft w:val="0"/>
      <w:marRight w:val="0"/>
      <w:marTop w:val="0"/>
      <w:marBottom w:val="0"/>
      <w:divBdr>
        <w:top w:val="none" w:sz="0" w:space="0" w:color="auto"/>
        <w:left w:val="none" w:sz="0" w:space="0" w:color="auto"/>
        <w:bottom w:val="none" w:sz="0" w:space="0" w:color="auto"/>
        <w:right w:val="none" w:sz="0" w:space="0" w:color="auto"/>
      </w:divBdr>
    </w:div>
    <w:div w:id="1293361697">
      <w:bodyDiv w:val="1"/>
      <w:marLeft w:val="0"/>
      <w:marRight w:val="0"/>
      <w:marTop w:val="0"/>
      <w:marBottom w:val="0"/>
      <w:divBdr>
        <w:top w:val="none" w:sz="0" w:space="0" w:color="auto"/>
        <w:left w:val="none" w:sz="0" w:space="0" w:color="auto"/>
        <w:bottom w:val="none" w:sz="0" w:space="0" w:color="auto"/>
        <w:right w:val="none" w:sz="0" w:space="0" w:color="auto"/>
      </w:divBdr>
    </w:div>
    <w:div w:id="1316375496">
      <w:bodyDiv w:val="1"/>
      <w:marLeft w:val="0"/>
      <w:marRight w:val="0"/>
      <w:marTop w:val="0"/>
      <w:marBottom w:val="0"/>
      <w:divBdr>
        <w:top w:val="none" w:sz="0" w:space="0" w:color="auto"/>
        <w:left w:val="none" w:sz="0" w:space="0" w:color="auto"/>
        <w:bottom w:val="none" w:sz="0" w:space="0" w:color="auto"/>
        <w:right w:val="none" w:sz="0" w:space="0" w:color="auto"/>
      </w:divBdr>
    </w:div>
    <w:div w:id="1355154971">
      <w:bodyDiv w:val="1"/>
      <w:marLeft w:val="0"/>
      <w:marRight w:val="0"/>
      <w:marTop w:val="0"/>
      <w:marBottom w:val="0"/>
      <w:divBdr>
        <w:top w:val="none" w:sz="0" w:space="0" w:color="auto"/>
        <w:left w:val="none" w:sz="0" w:space="0" w:color="auto"/>
        <w:bottom w:val="none" w:sz="0" w:space="0" w:color="auto"/>
        <w:right w:val="none" w:sz="0" w:space="0" w:color="auto"/>
      </w:divBdr>
    </w:div>
    <w:div w:id="1357392322">
      <w:bodyDiv w:val="1"/>
      <w:marLeft w:val="0"/>
      <w:marRight w:val="0"/>
      <w:marTop w:val="0"/>
      <w:marBottom w:val="0"/>
      <w:divBdr>
        <w:top w:val="none" w:sz="0" w:space="0" w:color="auto"/>
        <w:left w:val="none" w:sz="0" w:space="0" w:color="auto"/>
        <w:bottom w:val="none" w:sz="0" w:space="0" w:color="auto"/>
        <w:right w:val="none" w:sz="0" w:space="0" w:color="auto"/>
      </w:divBdr>
    </w:div>
    <w:div w:id="1360082998">
      <w:bodyDiv w:val="1"/>
      <w:marLeft w:val="0"/>
      <w:marRight w:val="0"/>
      <w:marTop w:val="0"/>
      <w:marBottom w:val="0"/>
      <w:divBdr>
        <w:top w:val="none" w:sz="0" w:space="0" w:color="auto"/>
        <w:left w:val="none" w:sz="0" w:space="0" w:color="auto"/>
        <w:bottom w:val="none" w:sz="0" w:space="0" w:color="auto"/>
        <w:right w:val="none" w:sz="0" w:space="0" w:color="auto"/>
      </w:divBdr>
    </w:div>
    <w:div w:id="1360812118">
      <w:bodyDiv w:val="1"/>
      <w:marLeft w:val="0"/>
      <w:marRight w:val="0"/>
      <w:marTop w:val="0"/>
      <w:marBottom w:val="0"/>
      <w:divBdr>
        <w:top w:val="none" w:sz="0" w:space="0" w:color="auto"/>
        <w:left w:val="none" w:sz="0" w:space="0" w:color="auto"/>
        <w:bottom w:val="none" w:sz="0" w:space="0" w:color="auto"/>
        <w:right w:val="none" w:sz="0" w:space="0" w:color="auto"/>
      </w:divBdr>
    </w:div>
    <w:div w:id="1386560396">
      <w:bodyDiv w:val="1"/>
      <w:marLeft w:val="0"/>
      <w:marRight w:val="0"/>
      <w:marTop w:val="0"/>
      <w:marBottom w:val="0"/>
      <w:divBdr>
        <w:top w:val="none" w:sz="0" w:space="0" w:color="auto"/>
        <w:left w:val="none" w:sz="0" w:space="0" w:color="auto"/>
        <w:bottom w:val="none" w:sz="0" w:space="0" w:color="auto"/>
        <w:right w:val="none" w:sz="0" w:space="0" w:color="auto"/>
      </w:divBdr>
    </w:div>
    <w:div w:id="1396122660">
      <w:bodyDiv w:val="1"/>
      <w:marLeft w:val="0"/>
      <w:marRight w:val="0"/>
      <w:marTop w:val="0"/>
      <w:marBottom w:val="0"/>
      <w:divBdr>
        <w:top w:val="none" w:sz="0" w:space="0" w:color="auto"/>
        <w:left w:val="none" w:sz="0" w:space="0" w:color="auto"/>
        <w:bottom w:val="none" w:sz="0" w:space="0" w:color="auto"/>
        <w:right w:val="none" w:sz="0" w:space="0" w:color="auto"/>
      </w:divBdr>
    </w:div>
    <w:div w:id="1424379777">
      <w:bodyDiv w:val="1"/>
      <w:marLeft w:val="0"/>
      <w:marRight w:val="0"/>
      <w:marTop w:val="0"/>
      <w:marBottom w:val="0"/>
      <w:divBdr>
        <w:top w:val="none" w:sz="0" w:space="0" w:color="auto"/>
        <w:left w:val="none" w:sz="0" w:space="0" w:color="auto"/>
        <w:bottom w:val="none" w:sz="0" w:space="0" w:color="auto"/>
        <w:right w:val="none" w:sz="0" w:space="0" w:color="auto"/>
      </w:divBdr>
    </w:div>
    <w:div w:id="1441683767">
      <w:bodyDiv w:val="1"/>
      <w:marLeft w:val="0"/>
      <w:marRight w:val="0"/>
      <w:marTop w:val="0"/>
      <w:marBottom w:val="0"/>
      <w:divBdr>
        <w:top w:val="none" w:sz="0" w:space="0" w:color="auto"/>
        <w:left w:val="none" w:sz="0" w:space="0" w:color="auto"/>
        <w:bottom w:val="none" w:sz="0" w:space="0" w:color="auto"/>
        <w:right w:val="none" w:sz="0" w:space="0" w:color="auto"/>
      </w:divBdr>
    </w:div>
    <w:div w:id="1503425574">
      <w:bodyDiv w:val="1"/>
      <w:marLeft w:val="0"/>
      <w:marRight w:val="0"/>
      <w:marTop w:val="0"/>
      <w:marBottom w:val="0"/>
      <w:divBdr>
        <w:top w:val="none" w:sz="0" w:space="0" w:color="auto"/>
        <w:left w:val="none" w:sz="0" w:space="0" w:color="auto"/>
        <w:bottom w:val="none" w:sz="0" w:space="0" w:color="auto"/>
        <w:right w:val="none" w:sz="0" w:space="0" w:color="auto"/>
      </w:divBdr>
    </w:div>
    <w:div w:id="1506019278">
      <w:bodyDiv w:val="1"/>
      <w:marLeft w:val="0"/>
      <w:marRight w:val="0"/>
      <w:marTop w:val="0"/>
      <w:marBottom w:val="0"/>
      <w:divBdr>
        <w:top w:val="none" w:sz="0" w:space="0" w:color="auto"/>
        <w:left w:val="none" w:sz="0" w:space="0" w:color="auto"/>
        <w:bottom w:val="none" w:sz="0" w:space="0" w:color="auto"/>
        <w:right w:val="none" w:sz="0" w:space="0" w:color="auto"/>
      </w:divBdr>
    </w:div>
    <w:div w:id="1518157741">
      <w:bodyDiv w:val="1"/>
      <w:marLeft w:val="0"/>
      <w:marRight w:val="0"/>
      <w:marTop w:val="0"/>
      <w:marBottom w:val="0"/>
      <w:divBdr>
        <w:top w:val="none" w:sz="0" w:space="0" w:color="auto"/>
        <w:left w:val="none" w:sz="0" w:space="0" w:color="auto"/>
        <w:bottom w:val="none" w:sz="0" w:space="0" w:color="auto"/>
        <w:right w:val="none" w:sz="0" w:space="0" w:color="auto"/>
      </w:divBdr>
    </w:div>
    <w:div w:id="1520200307">
      <w:bodyDiv w:val="1"/>
      <w:marLeft w:val="0"/>
      <w:marRight w:val="0"/>
      <w:marTop w:val="0"/>
      <w:marBottom w:val="0"/>
      <w:divBdr>
        <w:top w:val="none" w:sz="0" w:space="0" w:color="auto"/>
        <w:left w:val="none" w:sz="0" w:space="0" w:color="auto"/>
        <w:bottom w:val="none" w:sz="0" w:space="0" w:color="auto"/>
        <w:right w:val="none" w:sz="0" w:space="0" w:color="auto"/>
      </w:divBdr>
    </w:div>
    <w:div w:id="1530606086">
      <w:bodyDiv w:val="1"/>
      <w:marLeft w:val="0"/>
      <w:marRight w:val="0"/>
      <w:marTop w:val="0"/>
      <w:marBottom w:val="0"/>
      <w:divBdr>
        <w:top w:val="none" w:sz="0" w:space="0" w:color="auto"/>
        <w:left w:val="none" w:sz="0" w:space="0" w:color="auto"/>
        <w:bottom w:val="none" w:sz="0" w:space="0" w:color="auto"/>
        <w:right w:val="none" w:sz="0" w:space="0" w:color="auto"/>
      </w:divBdr>
    </w:div>
    <w:div w:id="1538422294">
      <w:bodyDiv w:val="1"/>
      <w:marLeft w:val="0"/>
      <w:marRight w:val="0"/>
      <w:marTop w:val="0"/>
      <w:marBottom w:val="0"/>
      <w:divBdr>
        <w:top w:val="none" w:sz="0" w:space="0" w:color="auto"/>
        <w:left w:val="none" w:sz="0" w:space="0" w:color="auto"/>
        <w:bottom w:val="none" w:sz="0" w:space="0" w:color="auto"/>
        <w:right w:val="none" w:sz="0" w:space="0" w:color="auto"/>
      </w:divBdr>
    </w:div>
    <w:div w:id="1541166535">
      <w:bodyDiv w:val="1"/>
      <w:marLeft w:val="0"/>
      <w:marRight w:val="0"/>
      <w:marTop w:val="0"/>
      <w:marBottom w:val="0"/>
      <w:divBdr>
        <w:top w:val="none" w:sz="0" w:space="0" w:color="auto"/>
        <w:left w:val="none" w:sz="0" w:space="0" w:color="auto"/>
        <w:bottom w:val="none" w:sz="0" w:space="0" w:color="auto"/>
        <w:right w:val="none" w:sz="0" w:space="0" w:color="auto"/>
      </w:divBdr>
    </w:div>
    <w:div w:id="1552959103">
      <w:bodyDiv w:val="1"/>
      <w:marLeft w:val="0"/>
      <w:marRight w:val="0"/>
      <w:marTop w:val="0"/>
      <w:marBottom w:val="0"/>
      <w:divBdr>
        <w:top w:val="none" w:sz="0" w:space="0" w:color="auto"/>
        <w:left w:val="none" w:sz="0" w:space="0" w:color="auto"/>
        <w:bottom w:val="none" w:sz="0" w:space="0" w:color="auto"/>
        <w:right w:val="none" w:sz="0" w:space="0" w:color="auto"/>
      </w:divBdr>
    </w:div>
    <w:div w:id="1570579575">
      <w:bodyDiv w:val="1"/>
      <w:marLeft w:val="0"/>
      <w:marRight w:val="0"/>
      <w:marTop w:val="0"/>
      <w:marBottom w:val="0"/>
      <w:divBdr>
        <w:top w:val="none" w:sz="0" w:space="0" w:color="auto"/>
        <w:left w:val="none" w:sz="0" w:space="0" w:color="auto"/>
        <w:bottom w:val="none" w:sz="0" w:space="0" w:color="auto"/>
        <w:right w:val="none" w:sz="0" w:space="0" w:color="auto"/>
      </w:divBdr>
    </w:div>
    <w:div w:id="1572231226">
      <w:bodyDiv w:val="1"/>
      <w:marLeft w:val="0"/>
      <w:marRight w:val="0"/>
      <w:marTop w:val="0"/>
      <w:marBottom w:val="0"/>
      <w:divBdr>
        <w:top w:val="none" w:sz="0" w:space="0" w:color="auto"/>
        <w:left w:val="none" w:sz="0" w:space="0" w:color="auto"/>
        <w:bottom w:val="none" w:sz="0" w:space="0" w:color="auto"/>
        <w:right w:val="none" w:sz="0" w:space="0" w:color="auto"/>
      </w:divBdr>
    </w:div>
    <w:div w:id="1577669468">
      <w:bodyDiv w:val="1"/>
      <w:marLeft w:val="0"/>
      <w:marRight w:val="0"/>
      <w:marTop w:val="0"/>
      <w:marBottom w:val="0"/>
      <w:divBdr>
        <w:top w:val="none" w:sz="0" w:space="0" w:color="auto"/>
        <w:left w:val="none" w:sz="0" w:space="0" w:color="auto"/>
        <w:bottom w:val="none" w:sz="0" w:space="0" w:color="auto"/>
        <w:right w:val="none" w:sz="0" w:space="0" w:color="auto"/>
      </w:divBdr>
    </w:div>
    <w:div w:id="1612930934">
      <w:bodyDiv w:val="1"/>
      <w:marLeft w:val="0"/>
      <w:marRight w:val="0"/>
      <w:marTop w:val="0"/>
      <w:marBottom w:val="0"/>
      <w:divBdr>
        <w:top w:val="none" w:sz="0" w:space="0" w:color="auto"/>
        <w:left w:val="none" w:sz="0" w:space="0" w:color="auto"/>
        <w:bottom w:val="none" w:sz="0" w:space="0" w:color="auto"/>
        <w:right w:val="none" w:sz="0" w:space="0" w:color="auto"/>
      </w:divBdr>
    </w:div>
    <w:div w:id="1624311103">
      <w:bodyDiv w:val="1"/>
      <w:marLeft w:val="0"/>
      <w:marRight w:val="0"/>
      <w:marTop w:val="0"/>
      <w:marBottom w:val="0"/>
      <w:divBdr>
        <w:top w:val="none" w:sz="0" w:space="0" w:color="auto"/>
        <w:left w:val="none" w:sz="0" w:space="0" w:color="auto"/>
        <w:bottom w:val="none" w:sz="0" w:space="0" w:color="auto"/>
        <w:right w:val="none" w:sz="0" w:space="0" w:color="auto"/>
      </w:divBdr>
    </w:div>
    <w:div w:id="1635214882">
      <w:bodyDiv w:val="1"/>
      <w:marLeft w:val="0"/>
      <w:marRight w:val="0"/>
      <w:marTop w:val="0"/>
      <w:marBottom w:val="0"/>
      <w:divBdr>
        <w:top w:val="none" w:sz="0" w:space="0" w:color="auto"/>
        <w:left w:val="none" w:sz="0" w:space="0" w:color="auto"/>
        <w:bottom w:val="none" w:sz="0" w:space="0" w:color="auto"/>
        <w:right w:val="none" w:sz="0" w:space="0" w:color="auto"/>
      </w:divBdr>
    </w:div>
    <w:div w:id="1673949875">
      <w:bodyDiv w:val="1"/>
      <w:marLeft w:val="0"/>
      <w:marRight w:val="0"/>
      <w:marTop w:val="0"/>
      <w:marBottom w:val="0"/>
      <w:divBdr>
        <w:top w:val="none" w:sz="0" w:space="0" w:color="auto"/>
        <w:left w:val="none" w:sz="0" w:space="0" w:color="auto"/>
        <w:bottom w:val="none" w:sz="0" w:space="0" w:color="auto"/>
        <w:right w:val="none" w:sz="0" w:space="0" w:color="auto"/>
      </w:divBdr>
    </w:div>
    <w:div w:id="1677809842">
      <w:bodyDiv w:val="1"/>
      <w:marLeft w:val="0"/>
      <w:marRight w:val="0"/>
      <w:marTop w:val="0"/>
      <w:marBottom w:val="0"/>
      <w:divBdr>
        <w:top w:val="none" w:sz="0" w:space="0" w:color="auto"/>
        <w:left w:val="none" w:sz="0" w:space="0" w:color="auto"/>
        <w:bottom w:val="none" w:sz="0" w:space="0" w:color="auto"/>
        <w:right w:val="none" w:sz="0" w:space="0" w:color="auto"/>
      </w:divBdr>
    </w:div>
    <w:div w:id="1679652713">
      <w:bodyDiv w:val="1"/>
      <w:marLeft w:val="0"/>
      <w:marRight w:val="0"/>
      <w:marTop w:val="0"/>
      <w:marBottom w:val="0"/>
      <w:divBdr>
        <w:top w:val="none" w:sz="0" w:space="0" w:color="auto"/>
        <w:left w:val="none" w:sz="0" w:space="0" w:color="auto"/>
        <w:bottom w:val="none" w:sz="0" w:space="0" w:color="auto"/>
        <w:right w:val="none" w:sz="0" w:space="0" w:color="auto"/>
      </w:divBdr>
    </w:div>
    <w:div w:id="1711147085">
      <w:bodyDiv w:val="1"/>
      <w:marLeft w:val="0"/>
      <w:marRight w:val="0"/>
      <w:marTop w:val="0"/>
      <w:marBottom w:val="0"/>
      <w:divBdr>
        <w:top w:val="none" w:sz="0" w:space="0" w:color="auto"/>
        <w:left w:val="none" w:sz="0" w:space="0" w:color="auto"/>
        <w:bottom w:val="none" w:sz="0" w:space="0" w:color="auto"/>
        <w:right w:val="none" w:sz="0" w:space="0" w:color="auto"/>
      </w:divBdr>
    </w:div>
    <w:div w:id="1714886632">
      <w:bodyDiv w:val="1"/>
      <w:marLeft w:val="0"/>
      <w:marRight w:val="0"/>
      <w:marTop w:val="0"/>
      <w:marBottom w:val="0"/>
      <w:divBdr>
        <w:top w:val="none" w:sz="0" w:space="0" w:color="auto"/>
        <w:left w:val="none" w:sz="0" w:space="0" w:color="auto"/>
        <w:bottom w:val="none" w:sz="0" w:space="0" w:color="auto"/>
        <w:right w:val="none" w:sz="0" w:space="0" w:color="auto"/>
      </w:divBdr>
    </w:div>
    <w:div w:id="1751122768">
      <w:bodyDiv w:val="1"/>
      <w:marLeft w:val="0"/>
      <w:marRight w:val="0"/>
      <w:marTop w:val="0"/>
      <w:marBottom w:val="0"/>
      <w:divBdr>
        <w:top w:val="none" w:sz="0" w:space="0" w:color="auto"/>
        <w:left w:val="none" w:sz="0" w:space="0" w:color="auto"/>
        <w:bottom w:val="none" w:sz="0" w:space="0" w:color="auto"/>
        <w:right w:val="none" w:sz="0" w:space="0" w:color="auto"/>
      </w:divBdr>
    </w:div>
    <w:div w:id="1752578608">
      <w:bodyDiv w:val="1"/>
      <w:marLeft w:val="0"/>
      <w:marRight w:val="0"/>
      <w:marTop w:val="0"/>
      <w:marBottom w:val="0"/>
      <w:divBdr>
        <w:top w:val="none" w:sz="0" w:space="0" w:color="auto"/>
        <w:left w:val="none" w:sz="0" w:space="0" w:color="auto"/>
        <w:bottom w:val="none" w:sz="0" w:space="0" w:color="auto"/>
        <w:right w:val="none" w:sz="0" w:space="0" w:color="auto"/>
      </w:divBdr>
    </w:div>
    <w:div w:id="1752891399">
      <w:bodyDiv w:val="1"/>
      <w:marLeft w:val="0"/>
      <w:marRight w:val="0"/>
      <w:marTop w:val="0"/>
      <w:marBottom w:val="0"/>
      <w:divBdr>
        <w:top w:val="none" w:sz="0" w:space="0" w:color="auto"/>
        <w:left w:val="none" w:sz="0" w:space="0" w:color="auto"/>
        <w:bottom w:val="none" w:sz="0" w:space="0" w:color="auto"/>
        <w:right w:val="none" w:sz="0" w:space="0" w:color="auto"/>
      </w:divBdr>
    </w:div>
    <w:div w:id="1773552799">
      <w:bodyDiv w:val="1"/>
      <w:marLeft w:val="0"/>
      <w:marRight w:val="0"/>
      <w:marTop w:val="0"/>
      <w:marBottom w:val="0"/>
      <w:divBdr>
        <w:top w:val="none" w:sz="0" w:space="0" w:color="auto"/>
        <w:left w:val="none" w:sz="0" w:space="0" w:color="auto"/>
        <w:bottom w:val="none" w:sz="0" w:space="0" w:color="auto"/>
        <w:right w:val="none" w:sz="0" w:space="0" w:color="auto"/>
      </w:divBdr>
    </w:div>
    <w:div w:id="1779177063">
      <w:bodyDiv w:val="1"/>
      <w:marLeft w:val="0"/>
      <w:marRight w:val="0"/>
      <w:marTop w:val="0"/>
      <w:marBottom w:val="0"/>
      <w:divBdr>
        <w:top w:val="none" w:sz="0" w:space="0" w:color="auto"/>
        <w:left w:val="none" w:sz="0" w:space="0" w:color="auto"/>
        <w:bottom w:val="none" w:sz="0" w:space="0" w:color="auto"/>
        <w:right w:val="none" w:sz="0" w:space="0" w:color="auto"/>
      </w:divBdr>
    </w:div>
    <w:div w:id="1781098017">
      <w:bodyDiv w:val="1"/>
      <w:marLeft w:val="0"/>
      <w:marRight w:val="0"/>
      <w:marTop w:val="0"/>
      <w:marBottom w:val="0"/>
      <w:divBdr>
        <w:top w:val="none" w:sz="0" w:space="0" w:color="auto"/>
        <w:left w:val="none" w:sz="0" w:space="0" w:color="auto"/>
        <w:bottom w:val="none" w:sz="0" w:space="0" w:color="auto"/>
        <w:right w:val="none" w:sz="0" w:space="0" w:color="auto"/>
      </w:divBdr>
    </w:div>
    <w:div w:id="1796290902">
      <w:bodyDiv w:val="1"/>
      <w:marLeft w:val="0"/>
      <w:marRight w:val="0"/>
      <w:marTop w:val="0"/>
      <w:marBottom w:val="0"/>
      <w:divBdr>
        <w:top w:val="none" w:sz="0" w:space="0" w:color="auto"/>
        <w:left w:val="none" w:sz="0" w:space="0" w:color="auto"/>
        <w:bottom w:val="none" w:sz="0" w:space="0" w:color="auto"/>
        <w:right w:val="none" w:sz="0" w:space="0" w:color="auto"/>
      </w:divBdr>
    </w:div>
    <w:div w:id="1801070615">
      <w:bodyDiv w:val="1"/>
      <w:marLeft w:val="0"/>
      <w:marRight w:val="0"/>
      <w:marTop w:val="0"/>
      <w:marBottom w:val="0"/>
      <w:divBdr>
        <w:top w:val="none" w:sz="0" w:space="0" w:color="auto"/>
        <w:left w:val="none" w:sz="0" w:space="0" w:color="auto"/>
        <w:bottom w:val="none" w:sz="0" w:space="0" w:color="auto"/>
        <w:right w:val="none" w:sz="0" w:space="0" w:color="auto"/>
      </w:divBdr>
    </w:div>
    <w:div w:id="1810199303">
      <w:bodyDiv w:val="1"/>
      <w:marLeft w:val="0"/>
      <w:marRight w:val="0"/>
      <w:marTop w:val="0"/>
      <w:marBottom w:val="0"/>
      <w:divBdr>
        <w:top w:val="none" w:sz="0" w:space="0" w:color="auto"/>
        <w:left w:val="none" w:sz="0" w:space="0" w:color="auto"/>
        <w:bottom w:val="none" w:sz="0" w:space="0" w:color="auto"/>
        <w:right w:val="none" w:sz="0" w:space="0" w:color="auto"/>
      </w:divBdr>
    </w:div>
    <w:div w:id="1814711156">
      <w:bodyDiv w:val="1"/>
      <w:marLeft w:val="0"/>
      <w:marRight w:val="0"/>
      <w:marTop w:val="0"/>
      <w:marBottom w:val="0"/>
      <w:divBdr>
        <w:top w:val="none" w:sz="0" w:space="0" w:color="auto"/>
        <w:left w:val="none" w:sz="0" w:space="0" w:color="auto"/>
        <w:bottom w:val="none" w:sz="0" w:space="0" w:color="auto"/>
        <w:right w:val="none" w:sz="0" w:space="0" w:color="auto"/>
      </w:divBdr>
    </w:div>
    <w:div w:id="1821573435">
      <w:bodyDiv w:val="1"/>
      <w:marLeft w:val="0"/>
      <w:marRight w:val="0"/>
      <w:marTop w:val="0"/>
      <w:marBottom w:val="0"/>
      <w:divBdr>
        <w:top w:val="none" w:sz="0" w:space="0" w:color="auto"/>
        <w:left w:val="none" w:sz="0" w:space="0" w:color="auto"/>
        <w:bottom w:val="none" w:sz="0" w:space="0" w:color="auto"/>
        <w:right w:val="none" w:sz="0" w:space="0" w:color="auto"/>
      </w:divBdr>
    </w:div>
    <w:div w:id="1826193009">
      <w:bodyDiv w:val="1"/>
      <w:marLeft w:val="0"/>
      <w:marRight w:val="0"/>
      <w:marTop w:val="0"/>
      <w:marBottom w:val="0"/>
      <w:divBdr>
        <w:top w:val="none" w:sz="0" w:space="0" w:color="auto"/>
        <w:left w:val="none" w:sz="0" w:space="0" w:color="auto"/>
        <w:bottom w:val="none" w:sz="0" w:space="0" w:color="auto"/>
        <w:right w:val="none" w:sz="0" w:space="0" w:color="auto"/>
      </w:divBdr>
    </w:div>
    <w:div w:id="1826820786">
      <w:bodyDiv w:val="1"/>
      <w:marLeft w:val="0"/>
      <w:marRight w:val="0"/>
      <w:marTop w:val="0"/>
      <w:marBottom w:val="0"/>
      <w:divBdr>
        <w:top w:val="none" w:sz="0" w:space="0" w:color="auto"/>
        <w:left w:val="none" w:sz="0" w:space="0" w:color="auto"/>
        <w:bottom w:val="none" w:sz="0" w:space="0" w:color="auto"/>
        <w:right w:val="none" w:sz="0" w:space="0" w:color="auto"/>
      </w:divBdr>
    </w:div>
    <w:div w:id="1845438945">
      <w:bodyDiv w:val="1"/>
      <w:marLeft w:val="0"/>
      <w:marRight w:val="0"/>
      <w:marTop w:val="0"/>
      <w:marBottom w:val="0"/>
      <w:divBdr>
        <w:top w:val="none" w:sz="0" w:space="0" w:color="auto"/>
        <w:left w:val="none" w:sz="0" w:space="0" w:color="auto"/>
        <w:bottom w:val="none" w:sz="0" w:space="0" w:color="auto"/>
        <w:right w:val="none" w:sz="0" w:space="0" w:color="auto"/>
      </w:divBdr>
    </w:div>
    <w:div w:id="1888225175">
      <w:bodyDiv w:val="1"/>
      <w:marLeft w:val="0"/>
      <w:marRight w:val="0"/>
      <w:marTop w:val="0"/>
      <w:marBottom w:val="0"/>
      <w:divBdr>
        <w:top w:val="none" w:sz="0" w:space="0" w:color="auto"/>
        <w:left w:val="none" w:sz="0" w:space="0" w:color="auto"/>
        <w:bottom w:val="none" w:sz="0" w:space="0" w:color="auto"/>
        <w:right w:val="none" w:sz="0" w:space="0" w:color="auto"/>
      </w:divBdr>
    </w:div>
    <w:div w:id="1908882668">
      <w:bodyDiv w:val="1"/>
      <w:marLeft w:val="0"/>
      <w:marRight w:val="0"/>
      <w:marTop w:val="0"/>
      <w:marBottom w:val="0"/>
      <w:divBdr>
        <w:top w:val="none" w:sz="0" w:space="0" w:color="auto"/>
        <w:left w:val="none" w:sz="0" w:space="0" w:color="auto"/>
        <w:bottom w:val="none" w:sz="0" w:space="0" w:color="auto"/>
        <w:right w:val="none" w:sz="0" w:space="0" w:color="auto"/>
      </w:divBdr>
    </w:div>
    <w:div w:id="1921451814">
      <w:bodyDiv w:val="1"/>
      <w:marLeft w:val="0"/>
      <w:marRight w:val="0"/>
      <w:marTop w:val="0"/>
      <w:marBottom w:val="0"/>
      <w:divBdr>
        <w:top w:val="none" w:sz="0" w:space="0" w:color="auto"/>
        <w:left w:val="none" w:sz="0" w:space="0" w:color="auto"/>
        <w:bottom w:val="none" w:sz="0" w:space="0" w:color="auto"/>
        <w:right w:val="none" w:sz="0" w:space="0" w:color="auto"/>
      </w:divBdr>
    </w:div>
    <w:div w:id="1945261491">
      <w:bodyDiv w:val="1"/>
      <w:marLeft w:val="0"/>
      <w:marRight w:val="0"/>
      <w:marTop w:val="0"/>
      <w:marBottom w:val="0"/>
      <w:divBdr>
        <w:top w:val="none" w:sz="0" w:space="0" w:color="auto"/>
        <w:left w:val="none" w:sz="0" w:space="0" w:color="auto"/>
        <w:bottom w:val="none" w:sz="0" w:space="0" w:color="auto"/>
        <w:right w:val="none" w:sz="0" w:space="0" w:color="auto"/>
      </w:divBdr>
    </w:div>
    <w:div w:id="1954048093">
      <w:bodyDiv w:val="1"/>
      <w:marLeft w:val="0"/>
      <w:marRight w:val="0"/>
      <w:marTop w:val="0"/>
      <w:marBottom w:val="0"/>
      <w:divBdr>
        <w:top w:val="none" w:sz="0" w:space="0" w:color="auto"/>
        <w:left w:val="none" w:sz="0" w:space="0" w:color="auto"/>
        <w:bottom w:val="none" w:sz="0" w:space="0" w:color="auto"/>
        <w:right w:val="none" w:sz="0" w:space="0" w:color="auto"/>
      </w:divBdr>
    </w:div>
    <w:div w:id="1972323971">
      <w:bodyDiv w:val="1"/>
      <w:marLeft w:val="0"/>
      <w:marRight w:val="0"/>
      <w:marTop w:val="0"/>
      <w:marBottom w:val="0"/>
      <w:divBdr>
        <w:top w:val="none" w:sz="0" w:space="0" w:color="auto"/>
        <w:left w:val="none" w:sz="0" w:space="0" w:color="auto"/>
        <w:bottom w:val="none" w:sz="0" w:space="0" w:color="auto"/>
        <w:right w:val="none" w:sz="0" w:space="0" w:color="auto"/>
      </w:divBdr>
    </w:div>
    <w:div w:id="1976177750">
      <w:bodyDiv w:val="1"/>
      <w:marLeft w:val="0"/>
      <w:marRight w:val="0"/>
      <w:marTop w:val="0"/>
      <w:marBottom w:val="0"/>
      <w:divBdr>
        <w:top w:val="none" w:sz="0" w:space="0" w:color="auto"/>
        <w:left w:val="none" w:sz="0" w:space="0" w:color="auto"/>
        <w:bottom w:val="none" w:sz="0" w:space="0" w:color="auto"/>
        <w:right w:val="none" w:sz="0" w:space="0" w:color="auto"/>
      </w:divBdr>
    </w:div>
    <w:div w:id="1991669762">
      <w:bodyDiv w:val="1"/>
      <w:marLeft w:val="0"/>
      <w:marRight w:val="0"/>
      <w:marTop w:val="0"/>
      <w:marBottom w:val="0"/>
      <w:divBdr>
        <w:top w:val="none" w:sz="0" w:space="0" w:color="auto"/>
        <w:left w:val="none" w:sz="0" w:space="0" w:color="auto"/>
        <w:bottom w:val="none" w:sz="0" w:space="0" w:color="auto"/>
        <w:right w:val="none" w:sz="0" w:space="0" w:color="auto"/>
      </w:divBdr>
    </w:div>
    <w:div w:id="2009551864">
      <w:bodyDiv w:val="1"/>
      <w:marLeft w:val="0"/>
      <w:marRight w:val="0"/>
      <w:marTop w:val="0"/>
      <w:marBottom w:val="0"/>
      <w:divBdr>
        <w:top w:val="none" w:sz="0" w:space="0" w:color="auto"/>
        <w:left w:val="none" w:sz="0" w:space="0" w:color="auto"/>
        <w:bottom w:val="none" w:sz="0" w:space="0" w:color="auto"/>
        <w:right w:val="none" w:sz="0" w:space="0" w:color="auto"/>
      </w:divBdr>
    </w:div>
    <w:div w:id="2014330562">
      <w:bodyDiv w:val="1"/>
      <w:marLeft w:val="0"/>
      <w:marRight w:val="0"/>
      <w:marTop w:val="0"/>
      <w:marBottom w:val="0"/>
      <w:divBdr>
        <w:top w:val="none" w:sz="0" w:space="0" w:color="auto"/>
        <w:left w:val="none" w:sz="0" w:space="0" w:color="auto"/>
        <w:bottom w:val="none" w:sz="0" w:space="0" w:color="auto"/>
        <w:right w:val="none" w:sz="0" w:space="0" w:color="auto"/>
      </w:divBdr>
    </w:div>
    <w:div w:id="2024700820">
      <w:bodyDiv w:val="1"/>
      <w:marLeft w:val="0"/>
      <w:marRight w:val="0"/>
      <w:marTop w:val="0"/>
      <w:marBottom w:val="0"/>
      <w:divBdr>
        <w:top w:val="none" w:sz="0" w:space="0" w:color="auto"/>
        <w:left w:val="none" w:sz="0" w:space="0" w:color="auto"/>
        <w:bottom w:val="none" w:sz="0" w:space="0" w:color="auto"/>
        <w:right w:val="none" w:sz="0" w:space="0" w:color="auto"/>
      </w:divBdr>
    </w:div>
    <w:div w:id="2048330322">
      <w:bodyDiv w:val="1"/>
      <w:marLeft w:val="0"/>
      <w:marRight w:val="0"/>
      <w:marTop w:val="0"/>
      <w:marBottom w:val="0"/>
      <w:divBdr>
        <w:top w:val="none" w:sz="0" w:space="0" w:color="auto"/>
        <w:left w:val="none" w:sz="0" w:space="0" w:color="auto"/>
        <w:bottom w:val="none" w:sz="0" w:space="0" w:color="auto"/>
        <w:right w:val="none" w:sz="0" w:space="0" w:color="auto"/>
      </w:divBdr>
    </w:div>
    <w:div w:id="2051374363">
      <w:bodyDiv w:val="1"/>
      <w:marLeft w:val="0"/>
      <w:marRight w:val="0"/>
      <w:marTop w:val="0"/>
      <w:marBottom w:val="0"/>
      <w:divBdr>
        <w:top w:val="none" w:sz="0" w:space="0" w:color="auto"/>
        <w:left w:val="none" w:sz="0" w:space="0" w:color="auto"/>
        <w:bottom w:val="none" w:sz="0" w:space="0" w:color="auto"/>
        <w:right w:val="none" w:sz="0" w:space="0" w:color="auto"/>
      </w:divBdr>
    </w:div>
    <w:div w:id="2058703596">
      <w:bodyDiv w:val="1"/>
      <w:marLeft w:val="0"/>
      <w:marRight w:val="0"/>
      <w:marTop w:val="0"/>
      <w:marBottom w:val="0"/>
      <w:divBdr>
        <w:top w:val="none" w:sz="0" w:space="0" w:color="auto"/>
        <w:left w:val="none" w:sz="0" w:space="0" w:color="auto"/>
        <w:bottom w:val="none" w:sz="0" w:space="0" w:color="auto"/>
        <w:right w:val="none" w:sz="0" w:space="0" w:color="auto"/>
      </w:divBdr>
    </w:div>
    <w:div w:id="2065786876">
      <w:bodyDiv w:val="1"/>
      <w:marLeft w:val="0"/>
      <w:marRight w:val="0"/>
      <w:marTop w:val="0"/>
      <w:marBottom w:val="0"/>
      <w:divBdr>
        <w:top w:val="none" w:sz="0" w:space="0" w:color="auto"/>
        <w:left w:val="none" w:sz="0" w:space="0" w:color="auto"/>
        <w:bottom w:val="none" w:sz="0" w:space="0" w:color="auto"/>
        <w:right w:val="none" w:sz="0" w:space="0" w:color="auto"/>
      </w:divBdr>
    </w:div>
    <w:div w:id="2071997756">
      <w:bodyDiv w:val="1"/>
      <w:marLeft w:val="0"/>
      <w:marRight w:val="0"/>
      <w:marTop w:val="0"/>
      <w:marBottom w:val="0"/>
      <w:divBdr>
        <w:top w:val="none" w:sz="0" w:space="0" w:color="auto"/>
        <w:left w:val="none" w:sz="0" w:space="0" w:color="auto"/>
        <w:bottom w:val="none" w:sz="0" w:space="0" w:color="auto"/>
        <w:right w:val="none" w:sz="0" w:space="0" w:color="auto"/>
      </w:divBdr>
    </w:div>
    <w:div w:id="2077698081">
      <w:bodyDiv w:val="1"/>
      <w:marLeft w:val="0"/>
      <w:marRight w:val="0"/>
      <w:marTop w:val="0"/>
      <w:marBottom w:val="0"/>
      <w:divBdr>
        <w:top w:val="none" w:sz="0" w:space="0" w:color="auto"/>
        <w:left w:val="none" w:sz="0" w:space="0" w:color="auto"/>
        <w:bottom w:val="none" w:sz="0" w:space="0" w:color="auto"/>
        <w:right w:val="none" w:sz="0" w:space="0" w:color="auto"/>
      </w:divBdr>
    </w:div>
    <w:div w:id="2079865432">
      <w:bodyDiv w:val="1"/>
      <w:marLeft w:val="0"/>
      <w:marRight w:val="0"/>
      <w:marTop w:val="0"/>
      <w:marBottom w:val="0"/>
      <w:divBdr>
        <w:top w:val="none" w:sz="0" w:space="0" w:color="auto"/>
        <w:left w:val="none" w:sz="0" w:space="0" w:color="auto"/>
        <w:bottom w:val="none" w:sz="0" w:space="0" w:color="auto"/>
        <w:right w:val="none" w:sz="0" w:space="0" w:color="auto"/>
      </w:divBdr>
    </w:div>
    <w:div w:id="2090492353">
      <w:bodyDiv w:val="1"/>
      <w:marLeft w:val="0"/>
      <w:marRight w:val="0"/>
      <w:marTop w:val="0"/>
      <w:marBottom w:val="0"/>
      <w:divBdr>
        <w:top w:val="none" w:sz="0" w:space="0" w:color="auto"/>
        <w:left w:val="none" w:sz="0" w:space="0" w:color="auto"/>
        <w:bottom w:val="none" w:sz="0" w:space="0" w:color="auto"/>
        <w:right w:val="none" w:sz="0" w:space="0" w:color="auto"/>
      </w:divBdr>
    </w:div>
    <w:div w:id="2104104865">
      <w:bodyDiv w:val="1"/>
      <w:marLeft w:val="0"/>
      <w:marRight w:val="0"/>
      <w:marTop w:val="0"/>
      <w:marBottom w:val="0"/>
      <w:divBdr>
        <w:top w:val="none" w:sz="0" w:space="0" w:color="auto"/>
        <w:left w:val="none" w:sz="0" w:space="0" w:color="auto"/>
        <w:bottom w:val="none" w:sz="0" w:space="0" w:color="auto"/>
        <w:right w:val="none" w:sz="0" w:space="0" w:color="auto"/>
      </w:divBdr>
    </w:div>
    <w:div w:id="2115710516">
      <w:bodyDiv w:val="1"/>
      <w:marLeft w:val="0"/>
      <w:marRight w:val="0"/>
      <w:marTop w:val="0"/>
      <w:marBottom w:val="0"/>
      <w:divBdr>
        <w:top w:val="none" w:sz="0" w:space="0" w:color="auto"/>
        <w:left w:val="none" w:sz="0" w:space="0" w:color="auto"/>
        <w:bottom w:val="none" w:sz="0" w:space="0" w:color="auto"/>
        <w:right w:val="none" w:sz="0" w:space="0" w:color="auto"/>
      </w:divBdr>
    </w:div>
    <w:div w:id="2122452862">
      <w:bodyDiv w:val="1"/>
      <w:marLeft w:val="0"/>
      <w:marRight w:val="0"/>
      <w:marTop w:val="0"/>
      <w:marBottom w:val="0"/>
      <w:divBdr>
        <w:top w:val="none" w:sz="0" w:space="0" w:color="auto"/>
        <w:left w:val="none" w:sz="0" w:space="0" w:color="auto"/>
        <w:bottom w:val="none" w:sz="0" w:space="0" w:color="auto"/>
        <w:right w:val="none" w:sz="0" w:space="0" w:color="auto"/>
      </w:divBdr>
    </w:div>
    <w:div w:id="2137719146">
      <w:bodyDiv w:val="1"/>
      <w:marLeft w:val="0"/>
      <w:marRight w:val="0"/>
      <w:marTop w:val="0"/>
      <w:marBottom w:val="0"/>
      <w:divBdr>
        <w:top w:val="none" w:sz="0" w:space="0" w:color="auto"/>
        <w:left w:val="none" w:sz="0" w:space="0" w:color="auto"/>
        <w:bottom w:val="none" w:sz="0" w:space="0" w:color="auto"/>
        <w:right w:val="none" w:sz="0" w:space="0" w:color="auto"/>
      </w:divBdr>
    </w:div>
    <w:div w:id="2146582285">
      <w:bodyDiv w:val="1"/>
      <w:marLeft w:val="0"/>
      <w:marRight w:val="0"/>
      <w:marTop w:val="0"/>
      <w:marBottom w:val="0"/>
      <w:divBdr>
        <w:top w:val="none" w:sz="0" w:space="0" w:color="auto"/>
        <w:left w:val="none" w:sz="0" w:space="0" w:color="auto"/>
        <w:bottom w:val="none" w:sz="0" w:space="0" w:color="auto"/>
        <w:right w:val="none" w:sz="0" w:space="0" w:color="auto"/>
      </w:divBdr>
    </w:div>
    <w:div w:id="2146971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osemgil@uma.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uelten@uni-bremen.de"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mmudarra@uma.es" TargetMode="External"/><Relationship Id="rId4" Type="http://schemas.openxmlformats.org/officeDocument/2006/relationships/settings" Target="settings.xml"/><Relationship Id="rId9" Type="http://schemas.openxmlformats.org/officeDocument/2006/relationships/hyperlink" Target="mailto:andreo@uma.es" TargetMode="Externa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Cambria-Italic">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imesTen-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2585"/>
    <w:rsid w:val="002025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20258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DFE2F1-719B-43EC-B271-5276D8CEBA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62</Pages>
  <Words>82193</Words>
  <Characters>468504</Characters>
  <Application>Microsoft Office Word</Application>
  <DocSecurity>0</DocSecurity>
  <Lines>3904</Lines>
  <Paragraphs>1099</Paragraphs>
  <ScaleCrop>false</ScaleCrop>
  <HeadingPairs>
    <vt:vector size="4" baseType="variant">
      <vt:variant>
        <vt:lpstr>Título</vt:lpstr>
      </vt:variant>
      <vt:variant>
        <vt:i4>1</vt:i4>
      </vt:variant>
      <vt:variant>
        <vt:lpstr>Titel</vt:lpstr>
      </vt:variant>
      <vt:variant>
        <vt:i4>1</vt:i4>
      </vt:variant>
    </vt:vector>
  </HeadingPairs>
  <TitlesOfParts>
    <vt:vector size="2" baseType="lpstr">
      <vt:lpstr/>
      <vt:lpstr/>
    </vt:vector>
  </TitlesOfParts>
  <Company>Universidad de Málaga</Company>
  <LinksUpToDate>false</LinksUpToDate>
  <CharactersWithSpaces>549598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UMA</dc:creator>
  <cp:keywords/>
  <dc:description/>
  <cp:lastModifiedBy>Usuario UMA</cp:lastModifiedBy>
  <cp:revision>6</cp:revision>
  <cp:lastPrinted>2019-05-10T13:20:00Z</cp:lastPrinted>
  <dcterms:created xsi:type="dcterms:W3CDTF">2019-10-04T17:08:00Z</dcterms:created>
  <dcterms:modified xsi:type="dcterms:W3CDTF">2019-10-04T17:18:00Z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http://www.zotero.org/styles/harvard1</vt:lpwstr>
  </property>
  <property fmtid="{D5CDD505-2E9C-101B-9397-08002B2CF9AE}" pid="11" name="Mendeley Recent Style Name 4_1">
    <vt:lpwstr>Harvard reference format 1 (deprecated)</vt:lpwstr>
  </property>
  <property fmtid="{D5CDD505-2E9C-101B-9397-08002B2CF9AE}" pid="12" name="Mendeley Recent Style Id 5_1">
    <vt:lpwstr>http://www.zotero.org/styles/hydrogeology-journal</vt:lpwstr>
  </property>
  <property fmtid="{D5CDD505-2E9C-101B-9397-08002B2CF9AE}" pid="13" name="Mendeley Recent Style Name 5_1">
    <vt:lpwstr>Hydrogeology Journal</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http://www.zotero.org/styles/isotopes-in-environmental-and-health-studies</vt:lpwstr>
  </property>
  <property fmtid="{D5CDD505-2E9C-101B-9397-08002B2CF9AE}" pid="17" name="Mendeley Recent Style Name 7_1">
    <vt:lpwstr>Isotopes in Environmental and Health Studies</vt:lpwstr>
  </property>
  <property fmtid="{D5CDD505-2E9C-101B-9397-08002B2CF9AE}" pid="18" name="Mendeley Recent Style Id 8_1">
    <vt:lpwstr>http://www.zotero.org/styles/journal-of-hydrology</vt:lpwstr>
  </property>
  <property fmtid="{D5CDD505-2E9C-101B-9397-08002B2CF9AE}" pid="19" name="Mendeley Recent Style Name 8_1">
    <vt:lpwstr>Journal of Hydrology</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b4796010-1cce-30e2-bb4b-54a12b842ae9</vt:lpwstr>
  </property>
  <property fmtid="{D5CDD505-2E9C-101B-9397-08002B2CF9AE}" pid="24" name="Mendeley Citation Style_1">
    <vt:lpwstr>http://www.zotero.org/styles/journal-of-hydrology</vt:lpwstr>
  </property>
</Properties>
</file>