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B5A31E" w14:textId="5EFFC001" w:rsidR="00040FEC" w:rsidRPr="00587393" w:rsidRDefault="00040FEC" w:rsidP="00860AB4">
      <w:pPr>
        <w:spacing w:line="480" w:lineRule="auto"/>
        <w:ind w:right="-285" w:firstLine="0"/>
        <w:rPr>
          <w:rFonts w:ascii="Times New Roman" w:hAnsi="Times New Roman" w:cs="Times New Roman"/>
          <w:b/>
          <w:sz w:val="24"/>
          <w:szCs w:val="24"/>
          <w:lang w:val="en-GB"/>
        </w:rPr>
      </w:pPr>
      <w:bookmarkStart w:id="0" w:name="_Hlk42108868"/>
      <w:r w:rsidRPr="00817931">
        <w:rPr>
          <w:rFonts w:ascii="Times New Roman" w:hAnsi="Times New Roman" w:cs="Times New Roman"/>
          <w:b/>
          <w:sz w:val="24"/>
          <w:szCs w:val="24"/>
          <w:lang w:val="en-GB"/>
        </w:rPr>
        <w:t xml:space="preserve">Foot deformities </w:t>
      </w:r>
      <w:r w:rsidRPr="00587393">
        <w:rPr>
          <w:rFonts w:ascii="Times New Roman" w:hAnsi="Times New Roman" w:cs="Times New Roman"/>
          <w:b/>
          <w:sz w:val="24"/>
          <w:szCs w:val="24"/>
          <w:lang w:val="en-GB"/>
        </w:rPr>
        <w:t xml:space="preserve">in patients with diabetic </w:t>
      </w:r>
      <w:r w:rsidR="004B09FE" w:rsidRPr="00587393">
        <w:rPr>
          <w:rFonts w:ascii="Times New Roman" w:hAnsi="Times New Roman" w:cs="Times New Roman"/>
          <w:b/>
          <w:sz w:val="24"/>
          <w:szCs w:val="24"/>
          <w:lang w:val="en-GB"/>
        </w:rPr>
        <w:t xml:space="preserve">mellitus (with and without </w:t>
      </w:r>
      <w:r w:rsidRPr="00587393">
        <w:rPr>
          <w:rFonts w:ascii="Times New Roman" w:hAnsi="Times New Roman" w:cs="Times New Roman"/>
          <w:b/>
          <w:sz w:val="24"/>
          <w:szCs w:val="24"/>
          <w:lang w:val="en-GB"/>
        </w:rPr>
        <w:t>peripheral neuropathy</w:t>
      </w:r>
      <w:r w:rsidR="004B09FE" w:rsidRPr="00587393">
        <w:rPr>
          <w:rFonts w:ascii="Times New Roman" w:hAnsi="Times New Roman" w:cs="Times New Roman"/>
          <w:b/>
          <w:sz w:val="24"/>
          <w:szCs w:val="24"/>
          <w:lang w:val="en-GB"/>
        </w:rPr>
        <w:t>)</w:t>
      </w:r>
    </w:p>
    <w:bookmarkEnd w:id="0"/>
    <w:p w14:paraId="053F8999" w14:textId="2A59F436" w:rsidR="00040FEC" w:rsidRPr="00587393" w:rsidRDefault="00C87910" w:rsidP="00860AB4">
      <w:pPr>
        <w:spacing w:line="480" w:lineRule="auto"/>
        <w:ind w:right="-285" w:firstLine="0"/>
        <w:rPr>
          <w:rFonts w:ascii="Times New Roman" w:hAnsi="Times New Roman" w:cs="Times New Roman"/>
          <w:b/>
          <w:bCs/>
          <w:sz w:val="24"/>
          <w:szCs w:val="24"/>
          <w:lang w:val="en-GB"/>
        </w:rPr>
      </w:pPr>
      <w:r w:rsidRPr="00587393">
        <w:rPr>
          <w:rFonts w:ascii="Times New Roman" w:hAnsi="Times New Roman" w:cs="Times New Roman"/>
          <w:b/>
          <w:bCs/>
          <w:sz w:val="24"/>
          <w:szCs w:val="24"/>
          <w:lang w:val="en-GB"/>
        </w:rPr>
        <w:t>ABSTRACT:</w:t>
      </w:r>
    </w:p>
    <w:p w14:paraId="7034AC3C" w14:textId="4AA0352E" w:rsidR="00C65A68" w:rsidRPr="00587393" w:rsidRDefault="00BF0E4B" w:rsidP="00860AB4">
      <w:pPr>
        <w:spacing w:line="480" w:lineRule="auto"/>
        <w:ind w:firstLine="0"/>
        <w:rPr>
          <w:rFonts w:ascii="Times New Roman" w:hAnsi="Times New Roman" w:cs="Times New Roman"/>
          <w:b/>
          <w:bCs/>
          <w:sz w:val="24"/>
          <w:szCs w:val="24"/>
          <w:lang w:val="en-GB"/>
        </w:rPr>
      </w:pPr>
      <w:r w:rsidRPr="00587393">
        <w:rPr>
          <w:rFonts w:ascii="Times New Roman" w:hAnsi="Times New Roman" w:cs="Times New Roman"/>
          <w:b/>
          <w:bCs/>
          <w:sz w:val="24"/>
          <w:szCs w:val="24"/>
          <w:lang w:val="en-GB"/>
        </w:rPr>
        <w:t>Background</w:t>
      </w:r>
      <w:r w:rsidRPr="00587393">
        <w:rPr>
          <w:rFonts w:ascii="Times New Roman" w:hAnsi="Times New Roman" w:cs="Times New Roman"/>
          <w:sz w:val="24"/>
          <w:szCs w:val="24"/>
          <w:lang w:val="en-GB"/>
        </w:rPr>
        <w:t xml:space="preserve">. </w:t>
      </w:r>
      <w:r w:rsidR="00C87910" w:rsidRPr="00587393">
        <w:rPr>
          <w:rFonts w:ascii="Times New Roman" w:hAnsi="Times New Roman" w:cs="Times New Roman"/>
          <w:sz w:val="24"/>
          <w:szCs w:val="24"/>
          <w:lang w:val="en-GB"/>
        </w:rPr>
        <w:t xml:space="preserve">Diabetic peripheral neuropathy (DPN) is one of the most common complications in diabetes mellitus. It is the disorder that most commonly affects the feet of </w:t>
      </w:r>
      <w:r w:rsidR="00A8335F" w:rsidRPr="00587393">
        <w:rPr>
          <w:rFonts w:ascii="Times New Roman" w:hAnsi="Times New Roman" w:cs="Times New Roman"/>
          <w:sz w:val="24"/>
          <w:szCs w:val="24"/>
          <w:lang w:val="en-GB"/>
        </w:rPr>
        <w:t>people</w:t>
      </w:r>
      <w:r w:rsidR="00C87910" w:rsidRPr="00587393">
        <w:rPr>
          <w:rFonts w:ascii="Times New Roman" w:hAnsi="Times New Roman" w:cs="Times New Roman"/>
          <w:sz w:val="24"/>
          <w:szCs w:val="24"/>
          <w:lang w:val="en-GB"/>
        </w:rPr>
        <w:t xml:space="preserve"> with diabetes. </w:t>
      </w:r>
      <w:r w:rsidR="00C65A68" w:rsidRPr="00587393">
        <w:rPr>
          <w:rFonts w:ascii="Times New Roman" w:hAnsi="Times New Roman" w:cs="Times New Roman"/>
          <w:sz w:val="24"/>
          <w:szCs w:val="24"/>
          <w:lang w:val="en-GB"/>
        </w:rPr>
        <w:t xml:space="preserve">The aim of the present study is to determine the relationship between DPN and the presence of deformities in the foot. </w:t>
      </w:r>
      <w:r w:rsidR="00C87910" w:rsidRPr="00587393">
        <w:rPr>
          <w:rFonts w:ascii="Times New Roman" w:hAnsi="Times New Roman" w:cs="Times New Roman"/>
          <w:b/>
          <w:bCs/>
          <w:sz w:val="24"/>
          <w:szCs w:val="24"/>
          <w:lang w:val="en-GB"/>
        </w:rPr>
        <w:t>Material and</w:t>
      </w:r>
      <w:r w:rsidR="00C87910" w:rsidRPr="00587393">
        <w:rPr>
          <w:rFonts w:ascii="Times New Roman" w:hAnsi="Times New Roman" w:cs="Times New Roman"/>
          <w:sz w:val="24"/>
          <w:szCs w:val="24"/>
          <w:lang w:val="en-GB"/>
        </w:rPr>
        <w:t xml:space="preserve"> </w:t>
      </w:r>
      <w:r w:rsidR="00C87910" w:rsidRPr="00587393">
        <w:rPr>
          <w:rFonts w:ascii="Times New Roman" w:hAnsi="Times New Roman" w:cs="Times New Roman"/>
          <w:b/>
          <w:bCs/>
          <w:sz w:val="24"/>
          <w:szCs w:val="24"/>
          <w:lang w:val="en-GB"/>
        </w:rPr>
        <w:t>Methods</w:t>
      </w:r>
      <w:r w:rsidR="00C87910" w:rsidRPr="00587393">
        <w:rPr>
          <w:rFonts w:ascii="Times New Roman" w:hAnsi="Times New Roman" w:cs="Times New Roman"/>
          <w:sz w:val="24"/>
          <w:szCs w:val="24"/>
          <w:lang w:val="en-GB"/>
        </w:rPr>
        <w:t xml:space="preserve">. </w:t>
      </w:r>
      <w:r w:rsidR="00C65A68" w:rsidRPr="00587393">
        <w:rPr>
          <w:rFonts w:ascii="Times New Roman" w:hAnsi="Times New Roman" w:cs="Times New Roman"/>
          <w:sz w:val="24"/>
          <w:szCs w:val="24"/>
          <w:lang w:val="en-GB"/>
        </w:rPr>
        <w:t>A d</w:t>
      </w:r>
      <w:r w:rsidR="00C65A68" w:rsidRPr="00587393">
        <w:rPr>
          <w:rFonts w:ascii="Times New Roman" w:hAnsi="Times New Roman" w:cs="Times New Roman"/>
          <w:sz w:val="24"/>
          <w:szCs w:val="24"/>
          <w:lang w:val="en-GB" w:eastAsia="ar-SA"/>
        </w:rPr>
        <w:t>escriptive observational study was conducted of</w:t>
      </w:r>
      <w:r w:rsidR="00C65A68" w:rsidRPr="00587393">
        <w:rPr>
          <w:rFonts w:ascii="Times New Roman" w:hAnsi="Times New Roman" w:cs="Times New Roman"/>
          <w:sz w:val="24"/>
          <w:szCs w:val="24"/>
          <w:lang w:val="en-GB"/>
        </w:rPr>
        <w:t xml:space="preserve"> 111 patients diagnosed with D</w:t>
      </w:r>
      <w:r w:rsidR="008C6CED" w:rsidRPr="00587393">
        <w:rPr>
          <w:rFonts w:ascii="Times New Roman" w:hAnsi="Times New Roman" w:cs="Times New Roman"/>
          <w:sz w:val="24"/>
          <w:szCs w:val="24"/>
          <w:lang w:val="en-GB"/>
        </w:rPr>
        <w:t xml:space="preserve">iabetes </w:t>
      </w:r>
      <w:r w:rsidR="00C65A68" w:rsidRPr="00587393">
        <w:rPr>
          <w:rFonts w:ascii="Times New Roman" w:hAnsi="Times New Roman" w:cs="Times New Roman"/>
          <w:sz w:val="24"/>
          <w:szCs w:val="24"/>
          <w:lang w:val="en-GB"/>
        </w:rPr>
        <w:t>M</w:t>
      </w:r>
      <w:r w:rsidR="008C6CED" w:rsidRPr="00587393">
        <w:rPr>
          <w:rFonts w:ascii="Times New Roman" w:hAnsi="Times New Roman" w:cs="Times New Roman"/>
          <w:sz w:val="24"/>
          <w:szCs w:val="24"/>
          <w:lang w:val="en-GB"/>
        </w:rPr>
        <w:t>ellitus (DM)</w:t>
      </w:r>
      <w:r w:rsidR="00C65A68" w:rsidRPr="00587393">
        <w:rPr>
          <w:rFonts w:ascii="Times New Roman" w:hAnsi="Times New Roman" w:cs="Times New Roman"/>
          <w:sz w:val="24"/>
          <w:szCs w:val="24"/>
          <w:lang w:val="en-GB"/>
        </w:rPr>
        <w:t xml:space="preserve"> type 1 or 2. All participants were aged at least 18 years and </w:t>
      </w:r>
      <w:r w:rsidR="002672B7" w:rsidRPr="00587393">
        <w:rPr>
          <w:rFonts w:ascii="Times New Roman" w:hAnsi="Times New Roman" w:cs="Times New Roman"/>
          <w:sz w:val="24"/>
          <w:szCs w:val="24"/>
          <w:lang w:val="en-GB"/>
        </w:rPr>
        <w:t>were previously informed in detail about the aims and procedures of the study</w:t>
      </w:r>
      <w:r w:rsidR="002672B7" w:rsidRPr="00587393">
        <w:rPr>
          <w:rFonts w:ascii="Times New Roman" w:hAnsi="Times New Roman" w:cs="Times New Roman"/>
          <w:sz w:val="24"/>
          <w:szCs w:val="24"/>
          <w:lang w:val="en-GB" w:eastAsia="ar-SA"/>
        </w:rPr>
        <w:t xml:space="preserve">. </w:t>
      </w:r>
      <w:r w:rsidR="00C87910" w:rsidRPr="00587393">
        <w:rPr>
          <w:rFonts w:ascii="Times New Roman" w:hAnsi="Times New Roman" w:cs="Times New Roman"/>
          <w:b/>
          <w:bCs/>
          <w:sz w:val="24"/>
          <w:szCs w:val="24"/>
          <w:lang w:val="en-GB" w:eastAsia="ar-SA"/>
        </w:rPr>
        <w:t>Results.</w:t>
      </w:r>
      <w:r w:rsidR="00C87910" w:rsidRPr="00587393">
        <w:rPr>
          <w:rFonts w:ascii="Times New Roman" w:hAnsi="Times New Roman" w:cs="Times New Roman"/>
          <w:sz w:val="24"/>
          <w:szCs w:val="24"/>
          <w:lang w:val="en-GB" w:eastAsia="ar-SA"/>
        </w:rPr>
        <w:t xml:space="preserve"> </w:t>
      </w:r>
      <w:r w:rsidR="00C65A68" w:rsidRPr="00587393">
        <w:rPr>
          <w:rFonts w:ascii="Times New Roman" w:hAnsi="Times New Roman" w:cs="Times New Roman"/>
          <w:sz w:val="24"/>
          <w:szCs w:val="24"/>
          <w:lang w:val="en-GB" w:eastAsia="ar-SA"/>
        </w:rPr>
        <w:t xml:space="preserve">Regarding the presence of DPN, the only significant relationships were found for the right foot with the deformity of the second toe (claw, hammer or mallet) (p=0.017, OR 0.29 [0.10-0.83]) and for the left foot with the deformity of the second toe (p = 0.048; OR: 0.37 [0.14-1.01]), third toe (p=0.012; OR: 0.29 [0.11-0.79]) and the presence of hallux </w:t>
      </w:r>
      <w:proofErr w:type="spellStart"/>
      <w:r w:rsidR="00C65A68" w:rsidRPr="00587393">
        <w:rPr>
          <w:rFonts w:ascii="Times New Roman" w:hAnsi="Times New Roman" w:cs="Times New Roman"/>
          <w:sz w:val="24"/>
          <w:szCs w:val="24"/>
          <w:lang w:val="en-GB" w:eastAsia="ar-SA"/>
        </w:rPr>
        <w:t>extensus</w:t>
      </w:r>
      <w:proofErr w:type="spellEnd"/>
      <w:r w:rsidR="00C65A68" w:rsidRPr="00587393">
        <w:rPr>
          <w:rFonts w:ascii="Times New Roman" w:hAnsi="Times New Roman" w:cs="Times New Roman"/>
          <w:sz w:val="24"/>
          <w:szCs w:val="24"/>
          <w:lang w:val="en-GB" w:eastAsia="ar-SA"/>
        </w:rPr>
        <w:t xml:space="preserve"> (p = 0.05; OR: 8.27 [1.05-64.98])</w:t>
      </w:r>
      <w:r w:rsidR="002672B7" w:rsidRPr="00587393">
        <w:rPr>
          <w:rFonts w:ascii="Times New Roman" w:hAnsi="Times New Roman" w:cs="Times New Roman"/>
          <w:sz w:val="24"/>
          <w:szCs w:val="24"/>
          <w:lang w:val="en-GB" w:eastAsia="ar-SA"/>
        </w:rPr>
        <w:t xml:space="preserve">. </w:t>
      </w:r>
      <w:r w:rsidR="00C87910" w:rsidRPr="00587393">
        <w:rPr>
          <w:rFonts w:ascii="Times New Roman" w:hAnsi="Times New Roman" w:cs="Times New Roman"/>
          <w:b/>
          <w:bCs/>
          <w:sz w:val="24"/>
          <w:szCs w:val="24"/>
          <w:lang w:val="en-GB" w:eastAsia="ar-SA"/>
        </w:rPr>
        <w:t>Conclusions.</w:t>
      </w:r>
      <w:r w:rsidR="00C87910" w:rsidRPr="00587393">
        <w:rPr>
          <w:rFonts w:ascii="Times New Roman" w:hAnsi="Times New Roman" w:cs="Times New Roman"/>
          <w:sz w:val="24"/>
          <w:szCs w:val="24"/>
          <w:lang w:val="en-GB" w:eastAsia="ar-SA"/>
        </w:rPr>
        <w:t xml:space="preserve"> </w:t>
      </w:r>
      <w:r w:rsidR="002672B7" w:rsidRPr="00587393">
        <w:rPr>
          <w:rFonts w:ascii="Times New Roman" w:hAnsi="Times New Roman" w:cs="Times New Roman"/>
          <w:sz w:val="24"/>
          <w:szCs w:val="24"/>
          <w:lang w:val="en-GB" w:eastAsia="ar-SA"/>
        </w:rPr>
        <w:t xml:space="preserve">A significant number of foot deformities were observed among these patients with DM, regardless of the presence of DPN. These deformities should be carefully evaluated </w:t>
      </w:r>
      <w:proofErr w:type="gramStart"/>
      <w:r w:rsidR="002672B7" w:rsidRPr="00587393">
        <w:rPr>
          <w:rFonts w:ascii="Times New Roman" w:hAnsi="Times New Roman" w:cs="Times New Roman"/>
          <w:sz w:val="24"/>
          <w:szCs w:val="24"/>
          <w:lang w:val="en-GB" w:eastAsia="ar-SA"/>
        </w:rPr>
        <w:t>in order to</w:t>
      </w:r>
      <w:proofErr w:type="gramEnd"/>
      <w:r w:rsidR="002672B7" w:rsidRPr="00587393">
        <w:rPr>
          <w:rFonts w:ascii="Times New Roman" w:hAnsi="Times New Roman" w:cs="Times New Roman"/>
          <w:sz w:val="24"/>
          <w:szCs w:val="24"/>
          <w:lang w:val="en-GB" w:eastAsia="ar-SA"/>
        </w:rPr>
        <w:t xml:space="preserve"> determine the most appropriate treatment at an early stage, which will reduce the risk of ulceration.</w:t>
      </w:r>
      <w:r w:rsidR="00C60782" w:rsidRPr="00587393">
        <w:rPr>
          <w:rFonts w:ascii="Times New Roman" w:hAnsi="Times New Roman" w:cs="Times New Roman"/>
          <w:sz w:val="24"/>
          <w:szCs w:val="24"/>
          <w:lang w:val="en-GB" w:eastAsia="ar-SA"/>
        </w:rPr>
        <w:t xml:space="preserve"> Although it should be use with caution to be transferrable to the general population with peripheral neuropathy.</w:t>
      </w:r>
    </w:p>
    <w:p w14:paraId="03009495" w14:textId="5DB1A184" w:rsidR="00C65A68" w:rsidRPr="00587393" w:rsidRDefault="00C87910" w:rsidP="00860AB4">
      <w:pPr>
        <w:spacing w:line="480" w:lineRule="auto"/>
        <w:ind w:right="-285" w:firstLine="0"/>
        <w:rPr>
          <w:rFonts w:ascii="Times New Roman" w:hAnsi="Times New Roman" w:cs="Times New Roman"/>
          <w:sz w:val="24"/>
          <w:szCs w:val="24"/>
          <w:lang w:val="en-GB"/>
        </w:rPr>
      </w:pPr>
      <w:r w:rsidRPr="00587393">
        <w:rPr>
          <w:rFonts w:ascii="Times New Roman" w:hAnsi="Times New Roman" w:cs="Times New Roman"/>
          <w:b/>
          <w:bCs/>
          <w:sz w:val="24"/>
          <w:szCs w:val="24"/>
          <w:lang w:val="en-GB"/>
        </w:rPr>
        <w:t>KEY-WORDS</w:t>
      </w:r>
      <w:r w:rsidR="00C65A68" w:rsidRPr="00587393">
        <w:rPr>
          <w:rFonts w:ascii="Times New Roman" w:hAnsi="Times New Roman" w:cs="Times New Roman"/>
          <w:b/>
          <w:bCs/>
          <w:sz w:val="24"/>
          <w:szCs w:val="24"/>
          <w:lang w:val="en-GB"/>
        </w:rPr>
        <w:t>:</w:t>
      </w:r>
      <w:r w:rsidR="00C65A68" w:rsidRPr="00587393">
        <w:rPr>
          <w:rFonts w:ascii="Times New Roman" w:hAnsi="Times New Roman" w:cs="Times New Roman"/>
          <w:sz w:val="24"/>
          <w:szCs w:val="24"/>
          <w:lang w:val="en-GB"/>
        </w:rPr>
        <w:t xml:space="preserve"> Deformities; Diabetic Peripheral Neuropathy; Foot; H</w:t>
      </w:r>
      <w:r w:rsidR="006546B1" w:rsidRPr="00587393">
        <w:rPr>
          <w:rFonts w:ascii="Times New Roman" w:hAnsi="Times New Roman" w:cs="Times New Roman"/>
          <w:sz w:val="24"/>
          <w:szCs w:val="24"/>
          <w:lang w:val="en-GB"/>
        </w:rPr>
        <w:t>y</w:t>
      </w:r>
      <w:r w:rsidR="00C65A68" w:rsidRPr="00587393">
        <w:rPr>
          <w:rFonts w:ascii="Times New Roman" w:hAnsi="Times New Roman" w:cs="Times New Roman"/>
          <w:sz w:val="24"/>
          <w:szCs w:val="24"/>
          <w:lang w:val="en-GB"/>
        </w:rPr>
        <w:t>perkeratosis.</w:t>
      </w:r>
    </w:p>
    <w:p w14:paraId="5CDBC2A9" w14:textId="75C7C7D3" w:rsidR="00391C86" w:rsidRPr="00587393" w:rsidRDefault="00391C86" w:rsidP="00860AB4">
      <w:pPr>
        <w:spacing w:line="480" w:lineRule="auto"/>
        <w:ind w:right="-285" w:firstLine="0"/>
        <w:rPr>
          <w:rFonts w:ascii="Times New Roman" w:hAnsi="Times New Roman" w:cs="Times New Roman"/>
          <w:sz w:val="24"/>
          <w:szCs w:val="24"/>
          <w:lang w:val="en-GB"/>
        </w:rPr>
      </w:pPr>
    </w:p>
    <w:p w14:paraId="0C49E237" w14:textId="09781580" w:rsidR="00391C86" w:rsidRPr="00587393" w:rsidRDefault="00391C86" w:rsidP="00860AB4">
      <w:pPr>
        <w:spacing w:line="480" w:lineRule="auto"/>
        <w:ind w:right="-285" w:firstLine="0"/>
        <w:rPr>
          <w:rFonts w:ascii="Times New Roman" w:hAnsi="Times New Roman" w:cs="Times New Roman"/>
          <w:sz w:val="24"/>
          <w:szCs w:val="24"/>
          <w:lang w:val="en-GB"/>
        </w:rPr>
      </w:pPr>
    </w:p>
    <w:p w14:paraId="5272400A" w14:textId="2C541E0C" w:rsidR="00E70296" w:rsidRPr="00587393" w:rsidRDefault="00C87910" w:rsidP="00BF0E4B">
      <w:pPr>
        <w:pStyle w:val="Prrafodelista"/>
        <w:numPr>
          <w:ilvl w:val="0"/>
          <w:numId w:val="10"/>
        </w:numPr>
        <w:spacing w:after="160" w:line="480" w:lineRule="auto"/>
        <w:rPr>
          <w:rFonts w:ascii="Times New Roman" w:hAnsi="Times New Roman" w:cs="Times New Roman"/>
          <w:b/>
          <w:sz w:val="24"/>
          <w:szCs w:val="24"/>
          <w:lang w:val="en-GB"/>
        </w:rPr>
      </w:pPr>
      <w:r w:rsidRPr="00587393">
        <w:rPr>
          <w:rFonts w:ascii="Times New Roman" w:hAnsi="Times New Roman" w:cs="Times New Roman"/>
          <w:b/>
          <w:sz w:val="24"/>
          <w:szCs w:val="24"/>
          <w:lang w:val="en-GB"/>
        </w:rPr>
        <w:lastRenderedPageBreak/>
        <w:t>INTRODUCTION</w:t>
      </w:r>
    </w:p>
    <w:p w14:paraId="351E2924" w14:textId="5613F792" w:rsidR="00522E0D" w:rsidRPr="00587393" w:rsidRDefault="00522E0D"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Diabetes is among the most common non-communicable diseases worldwide, and in recent decades its prevalence has greatly increased worldwide</w:t>
      </w:r>
      <w:r w:rsidR="00C52DA0" w:rsidRPr="00587393">
        <w:rPr>
          <w:rFonts w:ascii="Times New Roman" w:hAnsi="Times New Roman" w:cs="Times New Roman"/>
          <w:sz w:val="24"/>
          <w:szCs w:val="24"/>
          <w:lang w:val="en-GB"/>
        </w:rPr>
        <w:t>, a</w:t>
      </w:r>
      <w:r w:rsidRPr="00587393">
        <w:rPr>
          <w:rFonts w:ascii="Times New Roman" w:hAnsi="Times New Roman" w:cs="Times New Roman"/>
          <w:sz w:val="24"/>
          <w:szCs w:val="24"/>
          <w:lang w:val="en-GB"/>
        </w:rPr>
        <w:t xml:space="preserve"> chang</w:t>
      </w:r>
      <w:r w:rsidR="00C52DA0" w:rsidRPr="00587393">
        <w:rPr>
          <w:rFonts w:ascii="Times New Roman" w:hAnsi="Times New Roman" w:cs="Times New Roman"/>
          <w:sz w:val="24"/>
          <w:szCs w:val="24"/>
          <w:lang w:val="en-GB"/>
        </w:rPr>
        <w:t>e that is</w:t>
      </w:r>
      <w:r w:rsidRPr="00587393">
        <w:rPr>
          <w:rFonts w:ascii="Times New Roman" w:hAnsi="Times New Roman" w:cs="Times New Roman"/>
          <w:sz w:val="24"/>
          <w:szCs w:val="24"/>
          <w:lang w:val="en-GB"/>
        </w:rPr>
        <w:t xml:space="preserve"> alter</w:t>
      </w:r>
      <w:r w:rsidR="00C52DA0" w:rsidRPr="00587393">
        <w:rPr>
          <w:rFonts w:ascii="Times New Roman" w:hAnsi="Times New Roman" w:cs="Times New Roman"/>
          <w:sz w:val="24"/>
          <w:szCs w:val="24"/>
          <w:lang w:val="en-GB"/>
        </w:rPr>
        <w:t>ing</w:t>
      </w:r>
      <w:r w:rsidRPr="00587393">
        <w:rPr>
          <w:rFonts w:ascii="Times New Roman" w:hAnsi="Times New Roman" w:cs="Times New Roman"/>
          <w:sz w:val="24"/>
          <w:szCs w:val="24"/>
          <w:lang w:val="en-GB"/>
        </w:rPr>
        <w:t xml:space="preserve"> the profile</w:t>
      </w:r>
      <w:r w:rsidR="00C52DA0" w:rsidRPr="00587393">
        <w:rPr>
          <w:rFonts w:ascii="Times New Roman" w:hAnsi="Times New Roman" w:cs="Times New Roman"/>
          <w:sz w:val="24"/>
          <w:szCs w:val="24"/>
          <w:lang w:val="en-GB"/>
        </w:rPr>
        <w:t xml:space="preserve"> of the disease</w:t>
      </w:r>
      <w:r w:rsidRPr="00587393">
        <w:rPr>
          <w:rFonts w:ascii="Times New Roman" w:hAnsi="Times New Roman" w:cs="Times New Roman"/>
          <w:sz w:val="24"/>
          <w:szCs w:val="24"/>
          <w:lang w:val="en-GB"/>
        </w:rPr>
        <w:t xml:space="preserve">, provoking a higher incidence of specific complications </w:t>
      </w:r>
      <w:r w:rsidR="00002E0A" w:rsidRPr="00587393">
        <w:rPr>
          <w:rFonts w:ascii="Times New Roman" w:hAnsi="Times New Roman" w:cs="Times New Roman"/>
          <w:sz w:val="24"/>
          <w:szCs w:val="24"/>
          <w:lang w:val="en-GB"/>
        </w:rPr>
        <w:fldChar w:fldCharType="begin" w:fldLock="1"/>
      </w:r>
      <w:r w:rsidR="005D4F0E" w:rsidRPr="00587393">
        <w:rPr>
          <w:rFonts w:ascii="Times New Roman" w:hAnsi="Times New Roman" w:cs="Times New Roman"/>
          <w:sz w:val="24"/>
          <w:szCs w:val="24"/>
          <w:lang w:val="en-GB"/>
        </w:rPr>
        <w:instrText>ADDIN CSL_CITATION {"citationItems":[{"id":"ITEM-1","itemData":{"DOI":"10.1007/s00125-018-4711-2","ISSN":"14320428","abstract":"In recent decades, large increases in diabetes prevalence have been demonstrated in virtually all regions of the world. The increase in the number of people with diabetes or with a longer duration of diabetes is likely to alter the disease profile in many populations around the globe, particularly due to a higher incidence of diabetes-specific complications, such as kidney failure and peripheral arterial disease. The epidemiology of other conditions frequently associated with diabetes, including infections and cardiovascular disease, may also change, with direct effects on quality of life, demands on health services and economic costs. The current understanding of the international burden of and variation in diabetes-related complications is poor. The available data suggest that rates of myocardial infarction, stroke and amputation are decreasing among people with diabetes, in parallel with declining mortality. However, these data predominantly come from studies in only a few high-income countries. Trends in other complications of diabetes, such as end-stage renal disease, retinopathy and cancer, are less well explored. In this review, we synthesise data from population-based studies on trends in diabetes complications, with the objectives of: (1) characterising recent and long-term trends in diabetes-related complications; (2) describing regional variation in the excess risk of complications, where possible; and (3) identifying and prioritising gaps for future surveillance and study.","author":[{"dropping-particle":"","family":"Harding","given":"Jessica L.","non-dropping-particle":"","parse-names":false,"suffix":""},{"dropping-particle":"","family":"Pavkov","given":"Meda E.","non-dropping-particle":"","parse-names":false,"suffix":""},{"dropping-particle":"","family":"Magliano","given":"Dianna J.","non-dropping-particle":"","parse-names":false,"suffix":""},{"dropping-particle":"","family":"Shaw","given":"Jonathan E.","non-dropping-particle":"","parse-names":false,"suffix":""},{"dropping-particle":"","family":"Gregg","given":"Edward W.","non-dropping-particle":"","parse-names":false,"suffix":""}],"container-title":"Diabetologia","id":"ITEM-1","issued":{"date-parts":[["2019"]]},"title":"Global trends in diabetes complications: a review of current evidence","type":"article"},"uris":["http://www.mendeley.com/documents/?uuid=afb703da-b708-40a3-9872-60b8bcd71966"]}],"mendeley":{"formattedCitation":"[1]","plainTextFormattedCitation":"[1]","previouslyFormattedCitation":"[1]"},"properties":{"noteIndex":0},"schema":"https://github.com/citation-style-language/schema/raw/master/csl-citation.json"}</w:instrText>
      </w:r>
      <w:r w:rsidR="00002E0A" w:rsidRPr="00587393">
        <w:rPr>
          <w:rFonts w:ascii="Times New Roman" w:hAnsi="Times New Roman" w:cs="Times New Roman"/>
          <w:sz w:val="24"/>
          <w:szCs w:val="24"/>
          <w:lang w:val="en-GB"/>
        </w:rPr>
        <w:fldChar w:fldCharType="separate"/>
      </w:r>
      <w:r w:rsidR="00BF0E4B" w:rsidRPr="00587393">
        <w:rPr>
          <w:rFonts w:ascii="Times New Roman" w:hAnsi="Times New Roman" w:cs="Times New Roman"/>
          <w:noProof/>
          <w:sz w:val="24"/>
          <w:szCs w:val="24"/>
          <w:lang w:val="en-GB"/>
        </w:rPr>
        <w:t>[1]</w:t>
      </w:r>
      <w:r w:rsidR="00002E0A"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w:t>
      </w:r>
    </w:p>
    <w:p w14:paraId="6451BD79" w14:textId="783412CE" w:rsidR="00522E0D" w:rsidRPr="00587393" w:rsidRDefault="00522E0D"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Pe</w:t>
      </w:r>
      <w:r w:rsidR="00A8335F" w:rsidRPr="00587393">
        <w:rPr>
          <w:rFonts w:ascii="Times New Roman" w:hAnsi="Times New Roman" w:cs="Times New Roman"/>
          <w:sz w:val="24"/>
          <w:szCs w:val="24"/>
          <w:lang w:val="en-GB"/>
        </w:rPr>
        <w:t>ople</w:t>
      </w:r>
      <w:r w:rsidRPr="00587393">
        <w:rPr>
          <w:rFonts w:ascii="Times New Roman" w:hAnsi="Times New Roman" w:cs="Times New Roman"/>
          <w:sz w:val="24"/>
          <w:szCs w:val="24"/>
          <w:lang w:val="en-GB"/>
        </w:rPr>
        <w:t xml:space="preserve"> with diabetes </w:t>
      </w:r>
      <w:r w:rsidR="00C52DA0" w:rsidRPr="00587393">
        <w:rPr>
          <w:rFonts w:ascii="Times New Roman" w:hAnsi="Times New Roman" w:cs="Times New Roman"/>
          <w:sz w:val="24"/>
          <w:szCs w:val="24"/>
          <w:lang w:val="en-GB"/>
        </w:rPr>
        <w:t xml:space="preserve">mellitus (DM) type 2 </w:t>
      </w:r>
      <w:r w:rsidRPr="00587393">
        <w:rPr>
          <w:rFonts w:ascii="Times New Roman" w:hAnsi="Times New Roman" w:cs="Times New Roman"/>
          <w:sz w:val="24"/>
          <w:szCs w:val="24"/>
          <w:lang w:val="en-GB"/>
        </w:rPr>
        <w:t xml:space="preserve">are at increased risk of medical complications due to various complex, interconnected mechanisms, among which long-term </w:t>
      </w:r>
      <w:r w:rsidR="008D715B" w:rsidRPr="00587393">
        <w:rPr>
          <w:rFonts w:ascii="Times New Roman" w:hAnsi="Times New Roman" w:cs="Times New Roman"/>
          <w:sz w:val="24"/>
          <w:szCs w:val="24"/>
          <w:lang w:val="en-GB"/>
        </w:rPr>
        <w:t xml:space="preserve">diabetic </w:t>
      </w:r>
      <w:r w:rsidRPr="00587393">
        <w:rPr>
          <w:rFonts w:ascii="Times New Roman" w:hAnsi="Times New Roman" w:cs="Times New Roman"/>
          <w:sz w:val="24"/>
          <w:szCs w:val="24"/>
          <w:lang w:val="en-GB"/>
        </w:rPr>
        <w:t xml:space="preserve">peripheral neuropathy (DPN) is one of </w:t>
      </w:r>
      <w:bookmarkStart w:id="1" w:name="_Hlk65668740"/>
      <w:r w:rsidRPr="00587393">
        <w:rPr>
          <w:rFonts w:ascii="Times New Roman" w:hAnsi="Times New Roman" w:cs="Times New Roman"/>
          <w:sz w:val="24"/>
          <w:szCs w:val="24"/>
          <w:lang w:val="en-GB"/>
        </w:rPr>
        <w:t>the most common</w:t>
      </w:r>
      <w:r w:rsidR="005D4F0E" w:rsidRPr="00587393">
        <w:rPr>
          <w:rFonts w:ascii="Times New Roman" w:hAnsi="Times New Roman" w:cs="Times New Roman"/>
          <w:sz w:val="24"/>
          <w:szCs w:val="24"/>
          <w:lang w:val="en-GB"/>
        </w:rPr>
        <w:t>, affecting 30% of people with diabetes</w:t>
      </w:r>
      <w:r w:rsidR="005D4F0E" w:rsidRPr="00587393">
        <w:rPr>
          <w:rFonts w:ascii="Times New Roman" w:hAnsi="Times New Roman" w:cs="Times New Roman"/>
          <w:sz w:val="24"/>
          <w:szCs w:val="24"/>
          <w:lang w:val="en-GB"/>
        </w:rPr>
        <w:fldChar w:fldCharType="begin" w:fldLock="1"/>
      </w:r>
      <w:r w:rsidR="005D4F0E" w:rsidRPr="00587393">
        <w:rPr>
          <w:rFonts w:ascii="Times New Roman" w:hAnsi="Times New Roman" w:cs="Times New Roman"/>
          <w:sz w:val="24"/>
          <w:szCs w:val="24"/>
          <w:lang w:val="en-GB"/>
        </w:rPr>
        <w:instrText>ADDIN CSL_CITATION {"citationItems":[{"id":"ITEM-1","itemData":{"DOI":"10.1371/journal.pone.0212574","ISSN":"19326203","PMID":"30785930","abstract":"Diabetic peripheral neuropathy (DPN), the most common chronic complication of diabetes, has become an important public health crisis worldwide. Given that DPN is extremely difficult to treat, determining its risk factors and controlling it at an early stage is critical to preventing its serious consequences and the burden of social disease. Current studies suggest that the risk factors for diabetic peripheral neuropathy are the duration of diabetes, age, glycosylated hemoglobin A1c (HbA1c), diabetic retinopathy (DR), smoking, and body mass Index (BMI). However, most of the aforementioned studies are cross-sectional, and the sample sizes are very limited, so the strength of causal reasoning is relatively low. The current study systematically evaluated DPN’s influencing factors in patients with type 2 diabetes using evidence-based medicine. Overall, 16 included studies (14 cross-sectional studies and 2 case-control studies including 12,116 cases) that conformed to the present criteria were included in the final analysis. The results suggested that the duration of diabetes (MD 2.5, 95% CI 1.71~3.29), age (MD 4.00, 95% CI 3.05~4.95), HbA1c (MD 0.48, 95% CI 0.33~0.64), and DR (OR 2.34, 95% CI 1.74~3.16) are associated with significantly increased risks of DPN among diabetic patients, while BMI, smoking, total triglyceride (TG), and total cholesterol (TC) did not indicate any risks of increasing DPN. The findings provide a scientific basis for a further understanding of the causes of type 2 diabetes complicated with peripheral neuropathy and the improvement of preventive strategies. The next step is to conduct further high-quality prospective cohort studies to validate this paper’s findings.","author":[{"dropping-particle":"","family":"Liu","given":"Xiuxiu","non-dropping-particle":"","parse-names":false,"suffix":""},{"dropping-particle":"","family":"Xu","given":"Yuyan","non-dropping-particle":"","parse-names":false,"suffix":""},{"dropping-particle":"","family":"An","given":"Miaomiao","non-dropping-particle":"","parse-names":false,"suffix":""},{"dropping-particle":"","family":"Zeng","given":"Qibing","non-dropping-particle":"","parse-names":false,"suffix":""}],"container-title":"PLoS ONE","id":"ITEM-1","issue":"2","issued":{"date-parts":[["2019","2","1"]]},"publisher":"Public Library of Science","title":"The risk factors for diabetic peripheral neuropathy: A meta-analysis","type":"article-journal","volume":"14"},"uris":["http://www.mendeley.com/documents/?uuid=ebaf9f29-e00c-3133-9101-8d8840b3f33e"]},{"id":"ITEM-2","itemData":{"DOI":"10.1016/j.pcd.2019.12.005","ISSN":"18780210","PMID":"31917119","abstract":"Aims: We aimed to determine pooled prevalence of diabetic peripheral neuropathy (DPN) in patients with diabetes and to explore the impacts of research variables on prevalence estimates. Methods: A systematic search was performed in PubMed, EMBASE, The Cochrane Library and Scopus from onset up to July 2018 to identify articles investigating the prevalence of DPN. Random-effects models were used to calculate the pooled prevalence of DPN. The heterogeneity of the study was estimated with the I2 statistic. The publication bias was described by Egger's test and funnel plot. Results: A total of 29 studies with a total of 50,112 participants were included in this meta-analysis. The results showed that the pooled prevalence of DPN was 30% (95% confidence interval, CI 25–34%). The pooled prevalence of DPN among patients with type 2 diabetes mellitus was higher than patients with type 1 diabetes mellitus (31.5%, 95% CI 24.4–38.6% vs 17.5%, 95% CI 4.8–30.2%). The pooled prevalence of DPN of studies involving a mixed type of diabetes mellitus was 24.8% (95% CI 13.1–36.5%, I2 = 99.1%). Conclusions: Medical staff should strengthen the evaluation and diagnosis of DPN. Moreover, they need to teach diabetic patients how to prevent this complication.","author":[{"dropping-particle":"","family":"Sun","given":"Juan","non-dropping-particle":"","parse-names":false,"suffix":""},{"dropping-particle":"","family":"Wang","given":"Ya","non-dropping-particle":"","parse-names":false,"suffix":""},{"dropping-particle":"","family":"Zhang","given":"Xiaoyi","non-dropping-particle":"","parse-names":false,"suffix":""},{"dropping-particle":"","family":"Zhu","given":"Shengze","non-dropping-particle":"","parse-names":false,"suffix":""},{"dropping-particle":"","family":"He","given":"Hong","non-dropping-particle":"","parse-names":false,"suffix":""}],"container-title":"Primary Care Diabetes","id":"ITEM-2","issue":"5","issued":{"date-parts":[["2020","10","1"]]},"page":"435-444","publisher":"Elsevier Ltd","title":"Prevalence of peripheral neuropathy in patients with diabetes: A systematic review and meta-analysis","type":"article-journal","volume":"14"},"uris":["http://www.mendeley.com/documents/?uuid=a166f753-4b07-3e58-ba21-05002010d536"]}],"mendeley":{"formattedCitation":"[2,3]","plainTextFormattedCitation":"[2,3]","previouslyFormattedCitation":"[2,3]"},"properties":{"noteIndex":0},"schema":"https://github.com/citation-style-language/schema/raw/master/csl-citation.json"}</w:instrText>
      </w:r>
      <w:r w:rsidR="005D4F0E" w:rsidRPr="00587393">
        <w:rPr>
          <w:rFonts w:ascii="Times New Roman" w:hAnsi="Times New Roman" w:cs="Times New Roman"/>
          <w:sz w:val="24"/>
          <w:szCs w:val="24"/>
          <w:lang w:val="en-GB"/>
        </w:rPr>
        <w:fldChar w:fldCharType="separate"/>
      </w:r>
      <w:r w:rsidR="005D4F0E" w:rsidRPr="00587393">
        <w:rPr>
          <w:rFonts w:ascii="Times New Roman" w:hAnsi="Times New Roman" w:cs="Times New Roman"/>
          <w:noProof/>
          <w:sz w:val="24"/>
          <w:szCs w:val="24"/>
          <w:lang w:val="en-GB"/>
        </w:rPr>
        <w:t>[2,3]</w:t>
      </w:r>
      <w:r w:rsidR="005D4F0E" w:rsidRPr="00587393">
        <w:rPr>
          <w:rFonts w:ascii="Times New Roman" w:hAnsi="Times New Roman" w:cs="Times New Roman"/>
          <w:sz w:val="24"/>
          <w:szCs w:val="24"/>
          <w:lang w:val="en-GB"/>
        </w:rPr>
        <w:fldChar w:fldCharType="end"/>
      </w:r>
      <w:r w:rsidR="005D4F0E" w:rsidRPr="00587393">
        <w:rPr>
          <w:rFonts w:ascii="Times New Roman" w:hAnsi="Times New Roman" w:cs="Times New Roman"/>
          <w:sz w:val="24"/>
          <w:szCs w:val="24"/>
          <w:lang w:val="en-GB"/>
        </w:rPr>
        <w:t xml:space="preserve"> where 83.4% is in the Southeast Asian Region (Bangladesh, Bhutan, Democratic Republic of Korea, India, Indonesia, Maldives, Myanmar, Nepal, Sri Lanka, Thailand and Timor-Leste)</w:t>
      </w:r>
      <w:r w:rsidR="005D4F0E" w:rsidRPr="00587393">
        <w:rPr>
          <w:rFonts w:ascii="Times New Roman" w:hAnsi="Times New Roman" w:cs="Times New Roman"/>
          <w:sz w:val="24"/>
          <w:szCs w:val="24"/>
          <w:lang w:val="en-GB"/>
        </w:rPr>
        <w:fldChar w:fldCharType="begin" w:fldLock="1"/>
      </w:r>
      <w:r w:rsidR="008937AA" w:rsidRPr="00587393">
        <w:rPr>
          <w:rFonts w:ascii="Times New Roman" w:hAnsi="Times New Roman" w:cs="Times New Roman"/>
          <w:sz w:val="24"/>
          <w:szCs w:val="24"/>
          <w:lang w:val="en-GB"/>
        </w:rPr>
        <w:instrText>ADDIN CSL_CITATION {"citationItems":[{"id":"ITEM-1","itemData":{"ISSN":"00309982","PMID":"29371725","abstract":"The most common and debilitating microvascular complication of diabetes is diabetic peripheral neuropathy (DPN), affecting 50-90% of people with diabetes. The major manifestations of DPN are painful (pDPN) and painless diabetic peripheral neuropathy. Painful symptoms, occur in the feet and are worse at night and whilst they alert both the patient and physician, are often misdiagnosed and mismanaged. The devastating presentation of painless neuropathy with loss of sensation is foot ulceration and Charcot foot. The explosion of diabetes, especially in the South East Asian (SEA) region will result in an increasing prevalence of both painful and painless diabetic peripheral neuropathy. PubMed, EMBASE, Medline and Google Scholar databases were searched between 1990 and 2017. This highlights the widely varying prevalence of DPN and pDPN in the World Health Organization (WHO) defined SEA countries and the dearth of published studies, especially in pDPN. We believe this will provide new direction for future research on DPN in the SEA region.","author":[{"dropping-particle":"","family":"Almuhannadi","given":"Hamad","non-dropping-particle":"","parse-names":false,"suffix":""},{"dropping-particle":"","family":"Ponirakis","given":"Georgios","non-dropping-particle":"","parse-names":false,"suffix":""},{"dropping-particle":"","family":"Khan","given":"Adnan","non-dropping-particle":"","parse-names":false,"suffix":""},{"dropping-particle":"","family":"Malik","given":"Rayaz Ahmed","non-dropping-particle":"","parse-names":false,"suffix":""}],"container-title":"Journal of the Pakistan Medical Association","id":"ITEM-1","issued":{"date-parts":[["2018"]]},"title":"Diabetic neuropathy and painful diabetic neuropathy: Cinderella complications in South East Asia","type":"article"},"uris":["http://www.mendeley.com/documents/?uuid=b709d8bf-9756-4fd6-a01d-bfe8de182155"]}],"mendeley":{"formattedCitation":"[4]","plainTextFormattedCitation":"[4]","previouslyFormattedCitation":"[4]"},"properties":{"noteIndex":0},"schema":"https://github.com/citation-style-language/schema/raw/master/csl-citation.json"}</w:instrText>
      </w:r>
      <w:r w:rsidR="005D4F0E" w:rsidRPr="00587393">
        <w:rPr>
          <w:rFonts w:ascii="Times New Roman" w:hAnsi="Times New Roman" w:cs="Times New Roman"/>
          <w:sz w:val="24"/>
          <w:szCs w:val="24"/>
          <w:lang w:val="en-GB"/>
        </w:rPr>
        <w:fldChar w:fldCharType="separate"/>
      </w:r>
      <w:r w:rsidR="005D4F0E" w:rsidRPr="00587393">
        <w:rPr>
          <w:rFonts w:ascii="Times New Roman" w:hAnsi="Times New Roman" w:cs="Times New Roman"/>
          <w:noProof/>
          <w:sz w:val="24"/>
          <w:szCs w:val="24"/>
          <w:lang w:val="en-GB"/>
        </w:rPr>
        <w:t>[4]</w:t>
      </w:r>
      <w:r w:rsidR="005D4F0E" w:rsidRPr="00587393">
        <w:rPr>
          <w:rFonts w:ascii="Times New Roman" w:hAnsi="Times New Roman" w:cs="Times New Roman"/>
          <w:sz w:val="24"/>
          <w:szCs w:val="24"/>
          <w:lang w:val="en-GB"/>
        </w:rPr>
        <w:fldChar w:fldCharType="end"/>
      </w:r>
      <w:r w:rsidR="005D4F0E" w:rsidRPr="00587393">
        <w:rPr>
          <w:rFonts w:ascii="Times New Roman" w:hAnsi="Times New Roman" w:cs="Times New Roman"/>
          <w:sz w:val="24"/>
          <w:szCs w:val="24"/>
          <w:lang w:val="en-GB"/>
        </w:rPr>
        <w:t xml:space="preserve"> or 71.2% in regions from China</w:t>
      </w:r>
      <w:r w:rsidR="008937AA" w:rsidRPr="00587393">
        <w:rPr>
          <w:rFonts w:ascii="Times New Roman" w:hAnsi="Times New Roman" w:cs="Times New Roman"/>
          <w:sz w:val="24"/>
          <w:szCs w:val="24"/>
          <w:lang w:val="en-GB"/>
        </w:rPr>
        <w:fldChar w:fldCharType="begin" w:fldLock="1"/>
      </w:r>
      <w:r w:rsidR="00B536D2" w:rsidRPr="00587393">
        <w:rPr>
          <w:rFonts w:ascii="Times New Roman" w:hAnsi="Times New Roman" w:cs="Times New Roman"/>
          <w:sz w:val="24"/>
          <w:szCs w:val="24"/>
          <w:lang w:val="en-GB"/>
        </w:rPr>
        <w:instrText>ADDIN CSL_CITATION {"citationItems":[{"id":"ITEM-1","itemData":{"DOI":"10.3760/cma.j.issn.0254-6450.2019.12.014","ISSN":"20954255","abstract":"Objective: To investigate the prevalence and risk factors of diabetic peripheral neuropathy in type 2 diabetic patients under community management programs. Methods: A crosssectional study was conducted on T2DM patients in eight communities in Wuhan and Changshu cities. Data would included questionnaire, body measurement, blood testing and clinical examination. The criterion of diabetic peripheral neuropathy was under the combination of symptoms with five physical examinations. Binary logistic regression model was used to analyze the influential factors. Results: The overall prevalence of peripheral neuropathy was 71.2% among the diabetic patients who were managed in primary care health services in the two cities. The binary logistic regression method identified older age (≥60 years, OR = 239, 95%CI: 1.95-2.94), longer diabetic duration (≥10 years, OR= 1.25, 95% CI: 1.02-1.54), and worse postprandial glucose control (2 h postprandial plasma glucose &gt;10.0 mmol/L: OR=1.65, 95%C7:1.33-2.04) (all P&lt;0.05) as risk factors for the presence of diabetic peripheral neuropathy, while higher education level was protective factor (compared to patients with education levels of primary school or below, OR = 0.52, 95% CI: 0.41-0.66; OR=0.59, 95%CI: 0.44-0.79; OR = 0.64, 95%CI: 0.44-0.94 for those with education levels of junior high school, senior high school, and college, respectively). Conclusions: High rates of diabetic peripheral neuropathy among T2DM patients suggested the urgent need for early screening and standardized management at the community levels. It is necessary to promote appropriate screening techniques and methods to identify the peripheral neuropathy, in the primary health service institutions.","author":[{"dropping-particle":"","family":"Li","given":"Qin","non-dropping-particle":"","parse-names":false,"suffix":""},{"dropping-particle":"","family":"Jingya","given":"Niu","non-dropping-particle":"","parse-names":false,"suffix":""},{"dropping-particle":"","family":"Jinyi","given":"Zhou","non-dropping-particle":"","parse-names":false,"suffix":""},{"dropping-particle":"","family":"Qingjun","given":"Zhang","non-dropping-particle":"","parse-names":false,"suffix":""},{"dropping-particle":"","family":"Fang","given":"Zhou","non-dropping-particle":"","parse-names":false,"suffix":""},{"dropping-particle":"","family":"Ning","given":"Zhang","non-dropping-particle":"","parse-names":false,"suffix":""},{"dropping-particle":"","family":"Zhengyuan","given":"Zhou","non-dropping-particle":"","parse-names":false,"suffix":""},{"dropping-particle":"","family":"Hongyan","given":"Sheng","non-dropping-particle":"","parse-names":false,"suffix":""},{"dropping-particle":"","family":"Shicheng","given":"Ren","non-dropping-particle":"","parse-names":false,"suffix":""},{"dropping-particle":"","family":"Jian","given":"Su","non-dropping-particle":"","parse-names":false,"suffix":""},{"dropping-particle":"","family":"Cihua","given":"Zhu","non-dropping-particle":"","parse-names":false,"suffix":""},{"dropping-particle":"","family":"Hongyan","given":"Lyu","non-dropping-particle":"","parse-names":false,"suffix":""},{"dropping-particle":"","family":"Wenjuan","given":"Wang","non-dropping-particle":"","parse-names":false,"suffix":""}],"container-title":"Chinese Journal of Endemiology","id":"ITEM-1","issue":"12","issued":{"date-parts":[["2019"]]},"page":"1578-1584","publisher":"Chinese Medical Association","title":"Prevalence and risk factors of diabetic peripheral neuropathy in Chinese communities","type":"article-journal","volume":"40"},"uris":["http://www.mendeley.com/documents/?uuid=c19b0570-0e5d-3b3d-b6ea-91798d62f064"]}],"mendeley":{"formattedCitation":"[5]","plainTextFormattedCitation":"[5]","previouslyFormattedCitation":"[5]"},"properties":{"noteIndex":0},"schema":"https://github.com/citation-style-language/schema/raw/master/csl-citation.json"}</w:instrText>
      </w:r>
      <w:r w:rsidR="008937AA" w:rsidRPr="00587393">
        <w:rPr>
          <w:rFonts w:ascii="Times New Roman" w:hAnsi="Times New Roman" w:cs="Times New Roman"/>
          <w:sz w:val="24"/>
          <w:szCs w:val="24"/>
          <w:lang w:val="en-GB"/>
        </w:rPr>
        <w:fldChar w:fldCharType="separate"/>
      </w:r>
      <w:r w:rsidR="008937AA" w:rsidRPr="00587393">
        <w:rPr>
          <w:rFonts w:ascii="Times New Roman" w:hAnsi="Times New Roman" w:cs="Times New Roman"/>
          <w:noProof/>
          <w:sz w:val="24"/>
          <w:szCs w:val="24"/>
          <w:lang w:val="en-GB"/>
        </w:rPr>
        <w:t>[5]</w:t>
      </w:r>
      <w:r w:rsidR="008937AA" w:rsidRPr="00587393">
        <w:rPr>
          <w:rFonts w:ascii="Times New Roman" w:hAnsi="Times New Roman" w:cs="Times New Roman"/>
          <w:sz w:val="24"/>
          <w:szCs w:val="24"/>
          <w:lang w:val="en-GB"/>
        </w:rPr>
        <w:fldChar w:fldCharType="end"/>
      </w:r>
      <w:r w:rsidR="008937AA" w:rsidRPr="00587393">
        <w:rPr>
          <w:rFonts w:ascii="Times New Roman" w:hAnsi="Times New Roman" w:cs="Times New Roman"/>
          <w:sz w:val="24"/>
          <w:szCs w:val="24"/>
          <w:lang w:val="en-GB"/>
        </w:rPr>
        <w:t>.</w:t>
      </w:r>
      <w:r w:rsidR="004915B5" w:rsidRPr="00587393">
        <w:rPr>
          <w:rFonts w:ascii="Times New Roman" w:hAnsi="Times New Roman" w:cs="Times New Roman"/>
          <w:sz w:val="24"/>
          <w:szCs w:val="24"/>
          <w:lang w:val="en-GB"/>
        </w:rPr>
        <w:t xml:space="preserve"> </w:t>
      </w:r>
      <w:r w:rsidR="000B0214" w:rsidRPr="00AC6D29">
        <w:rPr>
          <w:rFonts w:ascii="Times New Roman" w:hAnsi="Times New Roman" w:cs="Times New Roman"/>
          <w:color w:val="FF0000"/>
          <w:sz w:val="24"/>
          <w:szCs w:val="24"/>
          <w:lang w:val="en-GB"/>
        </w:rPr>
        <w:t>In Europe</w:t>
      </w:r>
      <w:r w:rsidR="00CD4899" w:rsidRPr="00AC6D29">
        <w:rPr>
          <w:rFonts w:ascii="Times New Roman" w:hAnsi="Times New Roman" w:cs="Times New Roman"/>
          <w:color w:val="FF0000"/>
          <w:sz w:val="24"/>
          <w:szCs w:val="24"/>
          <w:lang w:val="en-GB"/>
        </w:rPr>
        <w:t>, this prevalence</w:t>
      </w:r>
      <w:r w:rsidR="00B95D9A" w:rsidRPr="00AC6D29">
        <w:rPr>
          <w:rFonts w:ascii="Times New Roman" w:hAnsi="Times New Roman" w:cs="Times New Roman"/>
          <w:color w:val="FF0000"/>
          <w:sz w:val="24"/>
          <w:szCs w:val="24"/>
          <w:lang w:val="en-GB"/>
        </w:rPr>
        <w:t xml:space="preserve"> ranges</w:t>
      </w:r>
      <w:r w:rsidR="00B839A4" w:rsidRPr="00AC6D29">
        <w:rPr>
          <w:rFonts w:ascii="Times New Roman" w:hAnsi="Times New Roman" w:cs="Times New Roman"/>
          <w:color w:val="FF0000"/>
          <w:sz w:val="24"/>
          <w:szCs w:val="24"/>
          <w:lang w:val="en-GB"/>
        </w:rPr>
        <w:t xml:space="preserve"> </w:t>
      </w:r>
      <w:r w:rsidR="00B21E70" w:rsidRPr="00AC6D29">
        <w:rPr>
          <w:rFonts w:ascii="Times New Roman" w:hAnsi="Times New Roman" w:cs="Times New Roman"/>
          <w:color w:val="FF0000"/>
          <w:sz w:val="24"/>
          <w:szCs w:val="24"/>
          <w:lang w:val="en-GB"/>
        </w:rPr>
        <w:t>between 6-51%</w:t>
      </w:r>
      <w:r w:rsidR="004F70DD" w:rsidRPr="00AC6D29">
        <w:rPr>
          <w:rFonts w:ascii="Times New Roman" w:hAnsi="Times New Roman" w:cs="Times New Roman"/>
          <w:color w:val="FF0000"/>
          <w:sz w:val="24"/>
          <w:szCs w:val="24"/>
          <w:lang w:val="en-GB"/>
        </w:rPr>
        <w:t xml:space="preserve">, </w:t>
      </w:r>
      <w:r w:rsidR="004C4A62" w:rsidRPr="00AC6D29">
        <w:rPr>
          <w:rFonts w:ascii="Times New Roman" w:hAnsi="Times New Roman" w:cs="Times New Roman"/>
          <w:color w:val="FF0000"/>
          <w:sz w:val="24"/>
          <w:szCs w:val="24"/>
          <w:lang w:val="en-GB"/>
        </w:rPr>
        <w:t>d</w:t>
      </w:r>
      <w:r w:rsidR="004F70DD" w:rsidRPr="00AC6D29">
        <w:rPr>
          <w:rFonts w:ascii="Times New Roman" w:hAnsi="Times New Roman" w:cs="Times New Roman"/>
          <w:color w:val="FF0000"/>
          <w:sz w:val="24"/>
          <w:szCs w:val="24"/>
          <w:lang w:val="en-GB"/>
        </w:rPr>
        <w:t>epend</w:t>
      </w:r>
      <w:r w:rsidR="004C4A62" w:rsidRPr="00AC6D29">
        <w:rPr>
          <w:rFonts w:ascii="Times New Roman" w:hAnsi="Times New Roman" w:cs="Times New Roman"/>
          <w:color w:val="FF0000"/>
          <w:sz w:val="24"/>
          <w:szCs w:val="24"/>
          <w:lang w:val="en-GB"/>
        </w:rPr>
        <w:t>ing</w:t>
      </w:r>
      <w:r w:rsidR="004F70DD" w:rsidRPr="00AC6D29">
        <w:rPr>
          <w:rFonts w:ascii="Times New Roman" w:hAnsi="Times New Roman" w:cs="Times New Roman"/>
          <w:color w:val="FF0000"/>
          <w:sz w:val="24"/>
          <w:szCs w:val="24"/>
          <w:lang w:val="en-GB"/>
        </w:rPr>
        <w:t xml:space="preserve"> on the population</w:t>
      </w:r>
      <w:r w:rsidR="004C4A62" w:rsidRPr="00AC6D29">
        <w:rPr>
          <w:rFonts w:ascii="Times New Roman" w:hAnsi="Times New Roman" w:cs="Times New Roman"/>
          <w:color w:val="FF0000"/>
          <w:sz w:val="24"/>
          <w:szCs w:val="24"/>
          <w:lang w:val="en-GB"/>
        </w:rPr>
        <w:t xml:space="preserve"> studied</w:t>
      </w:r>
      <w:r w:rsidR="005F3ABA" w:rsidRPr="00AC6D29">
        <w:rPr>
          <w:rFonts w:ascii="Times New Roman" w:hAnsi="Times New Roman" w:cs="Times New Roman"/>
          <w:color w:val="FF0000"/>
          <w:sz w:val="24"/>
          <w:szCs w:val="24"/>
          <w:lang w:val="en-GB"/>
        </w:rPr>
        <w:fldChar w:fldCharType="begin" w:fldLock="1"/>
      </w:r>
      <w:r w:rsidR="005F3ABA" w:rsidRPr="00AC6D29">
        <w:rPr>
          <w:rFonts w:ascii="Times New Roman" w:hAnsi="Times New Roman" w:cs="Times New Roman"/>
          <w:color w:val="FF0000"/>
          <w:sz w:val="24"/>
          <w:szCs w:val="24"/>
          <w:lang w:val="en-GB"/>
        </w:rPr>
        <w:instrText>ADDIN CSL_CITATION {"citationItems":[{"id":"ITEM-1","itemData":{"DOI":"10.1016/j.diabres.2007.01.005","ISSN":"01688227","PMID":"17306411","abstract":"Background: Peripheral arterial disease (PAD) and peripheral neuropathy (PN) are serious complications of diabetes, but early detection and intervention may reduce this morbidity. The degree to which PAD and PN develop before diabetes diagnosis has not been established among a representative sample of U.S. adults. Objective: To compare the prevalence of lower extremity diseases (LEDs) among U.S. adults aged 40 or older with previously diagnosed diabetes, undiagnosed diabetes, impaired fasting glucose, and normal glucose levels. Research design and methods: We analyzed cross-sectional data of a nationally representative sample of 3607 U.S. adults from the 1999-2004 National Health and Nutrition Examination Surveys (NHANES). Subjects were divided into four groups on the basis of their fasting plasma glucose (FPG) levels and interview responses: normal glucose levels (FPG &lt; 100 mg/dl), impaired fasting glucose (IFG; FPG 100-125 mg/dl), undiagnosed diabetes (FPG ≥ 126 and no self-reported diabetes), and diagnosed diabetes. PN was assessed by monofilament testing at three sites on each foot and defined as ≥1 insensate area. PAD was defined as an ankle-brachial blood pressure index &lt;0.9. Any LED was defined as the presence of PAD or PN or a history of non-healing ulcer or amputation. Results: The prevalence of PN was lowest among persons with normal glucose (10.5%) and IFG (11.9%) and highest among those with undiagnosed (16.6%) and diagnosed diabetes (19.4%). PAD prevalence was also lowest among persons with normal glucose (3.9%), similar among those with IFG (5.4%), and significantly higher among those with undiagnosed (9.2%) and diagnosed diabetes (7.5%). Any LED was present in about 27% of persons with both undiagnosed diabetes and diagnosed diabetes. Conclusions: LED prevalence was nearly as high among persons with previously undiagnosed diabetes as among those with diagnosed diabetes, but it was not appreciably higher among persons with impaired fasting glucose than among those with normal glucose levels. These results suggest that LED detection efforts should be focused on persons with diabetes, including those with undiagnosed diabetes. © 2007 Elsevier Ireland Ltd. All rights reserved.","author":[{"dropping-particle":"","family":"Gregg","given":"Edward W.","non-dropping-particle":"","parse-names":false,"suffix":""},{"dropping-particle":"","family":"Gu","given":"Qiuping","non-dropping-particle":"","parse-names":false,"suffix":""},{"dropping-particle":"","family":"Williams","given":"Desmond","non-dropping-particle":"","parse-names":false,"suffix":""},{"dropping-particle":"","family":"Rekeneire","given":"Nathalie","non-dropping-particle":"de","parse-names":false,"suffix":""},{"dropping-particle":"","family":"Cheng","given":"Yiling J.","non-dropping-particle":"","parse-names":false,"suffix":""},{"dropping-particle":"","family":"Geiss","given":"Linda","non-dropping-particle":"","parse-names":false,"suffix":""},{"dropping-particle":"","family":"Engelgau","given":"Michael","non-dropping-particle":"","parse-names":false,"suffix":""}],"container-title":"Diabetes Research and Clinical Practice","id":"ITEM-1","issued":{"date-parts":[["2007"]]},"title":"Prevalence of lower extremity diseases associated with normal glucose levels, impaired fasting glucose, and diabetes among U.S. adults aged 40 or older","type":"article-journal"},"uris":["http://www.mendeley.com/documents/?uuid=364b9183-6826-48ec-9315-66023810044f"]},{"id":"ITEM-2","itemData":{"DOI":"10.1007/s001250051063","ISSN":"0012-186X","PMID":"9833931","abstract":"A multiregional cross-sectional study of clinical diabetic polyneuropathy (DPN) was carried out among Spanish diabetes patients using a standard system for scoring symptoms and signs of polyneuropathy. The main patient sample comprised 2644 patients (54.7% women) aged 15-74 years (mean 57.2 +/- 0.3 years), 86.9% of whom had Type II (non-insulin-dependent) diabetes mellitus and 29.4% were attending hospital clinics. Mean duration of diabetes since diagnosis was 10.2 +/- 0.2 years. The prevalence of DPN was 22.7% (95% confidence interval 21.2-24.3%) in the whole sample, 12.9% (9.4-16.5%) among patients with Type I (insulin-dependent) diabetes mellitus and 24.1% (22.4-25.9%) among patients with Type II diabetes; there was no significant difference in prevalence between men and women. Prevalence increased with age (from &lt; 5% in the 15- to 19-year-old age group to 29.5% in the 70- to 74-year-old group) and with duration of diabetes since diagnosis (from 14.2% among those with duration &lt; 5 years to 44.2% among those with duration &gt; 30 years). In a supplementary sample of 161 diabetic patients aged 75 to 79 years (excluded from the main sample to prevent confusion between diabetes-induced and ageing-induced neuropathies), prevalence was 37.8%. Ninety-three patients (3.3%) had or had had foot ulcers and 21 of these 93 (0.7%) had undergone amputation; 90.8% of ulcerated patients had Type II diabetes, and 54% had DPN (in most cases with loss of perception of vibration), as against a prevalence of DPN of 19.9% among patients without ulcers. We conclude that nearly a quarter of Spanish diabetic patients have DPN; that over 90% of DPN patients have Type II diabetes; that the prevalence of DPN increases with age and with the duration of the disease, and that the risk of foot ulcers among DPN patients is about three times the risk among diabetic patients without DPN. We accordingly emphasize the responsibility of primary care physicians to try to prevent diabetic foot lesions by early diagnosis of DPN.","author":[{"dropping-particle":"","family":"Cabezas-Cerrato","given":"J","non-dropping-particle":"","parse-names":false,"suffix":""}],"container-title":"Diabetologia","id":"ITEM-2","issued":{"date-parts":[["1998"]]},"page":"1263-1269","title":"The prevalence of clinical diabetic polyneuropathy in Spain: a study in primary care and hospital clinic groups. Neuropathy Spanish Study Group of the Spanish Diabetes Society (SDS).","type":"article-journal","volume":"41(11)"},"uris":["http://www.mendeley.com/documents/?uuid=5f394f55-1068-49d3-a849-f75d08c4f734"]}],"mendeley":{"formattedCitation":"[6,7]","plainTextFormattedCitation":"[6,7]"},"properties":{"noteIndex":0},"schema":"https://github.com/citation-style-language/schema/raw/master/csl-citation.json"}</w:instrText>
      </w:r>
      <w:r w:rsidR="005F3ABA" w:rsidRPr="00AC6D29">
        <w:rPr>
          <w:rFonts w:ascii="Times New Roman" w:hAnsi="Times New Roman" w:cs="Times New Roman"/>
          <w:color w:val="FF0000"/>
          <w:sz w:val="24"/>
          <w:szCs w:val="24"/>
          <w:lang w:val="en-GB"/>
        </w:rPr>
        <w:fldChar w:fldCharType="separate"/>
      </w:r>
      <w:r w:rsidR="005F3ABA" w:rsidRPr="00AC6D29">
        <w:rPr>
          <w:rFonts w:ascii="Times New Roman" w:hAnsi="Times New Roman" w:cs="Times New Roman"/>
          <w:noProof/>
          <w:color w:val="FF0000"/>
          <w:sz w:val="24"/>
          <w:szCs w:val="24"/>
          <w:lang w:val="en-GB"/>
        </w:rPr>
        <w:t>[6,7]</w:t>
      </w:r>
      <w:r w:rsidR="005F3ABA" w:rsidRPr="00AC6D29">
        <w:rPr>
          <w:rFonts w:ascii="Times New Roman" w:hAnsi="Times New Roman" w:cs="Times New Roman"/>
          <w:color w:val="FF0000"/>
          <w:sz w:val="24"/>
          <w:szCs w:val="24"/>
          <w:lang w:val="en-GB"/>
        </w:rPr>
        <w:fldChar w:fldCharType="end"/>
      </w:r>
      <w:r w:rsidR="004C4A62" w:rsidRPr="00AC6D29">
        <w:rPr>
          <w:rFonts w:ascii="Times New Roman" w:hAnsi="Times New Roman" w:cs="Times New Roman"/>
          <w:color w:val="FF0000"/>
          <w:sz w:val="24"/>
          <w:szCs w:val="24"/>
          <w:lang w:val="en-GB"/>
        </w:rPr>
        <w:t>.</w:t>
      </w:r>
      <w:r w:rsidR="008937AA" w:rsidRPr="00AC6D29">
        <w:rPr>
          <w:rFonts w:ascii="Times New Roman" w:hAnsi="Times New Roman" w:cs="Times New Roman"/>
          <w:color w:val="FF0000"/>
          <w:sz w:val="24"/>
          <w:szCs w:val="24"/>
          <w:lang w:val="en-GB"/>
        </w:rPr>
        <w:t xml:space="preserve"> </w:t>
      </w:r>
      <w:bookmarkEnd w:id="1"/>
      <w:r w:rsidRPr="00587393">
        <w:rPr>
          <w:rFonts w:ascii="Times New Roman" w:hAnsi="Times New Roman" w:cs="Times New Roman"/>
          <w:sz w:val="24"/>
          <w:szCs w:val="24"/>
          <w:lang w:val="en-GB"/>
        </w:rPr>
        <w:t xml:space="preserve">Sensorimotor polyneuropathy first affects the extremities of the lower limbs and then spreads through the body. It is the disorder that most commonly affects the feet of </w:t>
      </w:r>
      <w:r w:rsidR="00A8335F" w:rsidRPr="00587393">
        <w:rPr>
          <w:rFonts w:ascii="Times New Roman" w:hAnsi="Times New Roman" w:cs="Times New Roman"/>
          <w:sz w:val="24"/>
          <w:szCs w:val="24"/>
          <w:lang w:val="en-GB"/>
        </w:rPr>
        <w:t>people</w:t>
      </w:r>
      <w:r w:rsidRPr="00587393">
        <w:rPr>
          <w:rFonts w:ascii="Times New Roman" w:hAnsi="Times New Roman" w:cs="Times New Roman"/>
          <w:sz w:val="24"/>
          <w:szCs w:val="24"/>
          <w:lang w:val="en-GB"/>
        </w:rPr>
        <w:t xml:space="preserve"> with diabetes</w:t>
      </w:r>
      <w:r w:rsidR="00D72D9C"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{"citationItems":[{"id":"ITEM-1","itemData":{"URL":"https://pubmed.ncbi.nlm.nih.gov/7720030/","accessed":{"date-parts":[["2020","6","11"]]},"author":[{"dropping-particle":"","family":"Veves A","given":"Sarnow MR.","non-dropping-particle":"","parse-names":false,"suffix":""}],"container-title":"Clin Podiatr Med Surg","id":"ITEM-1","issued":{"date-parts":[["1995"]]},"page":"19-30","title":"Diagnosis, Classification, and Treatment of Diabetic Peripheral Neuropathy - PubMed","type":"webpage"},"uris":["http://www.mendeley.com/documents/?uuid=d1eb1b3d-7252-38fa-af51-5e5f3dbce8f1"]},{"id":"ITEM-2","itemData":{"DOI":"10.1016/j.fcl.2011.01.002","ISSN":"10837515","abstract":"Diabetic peripheral neuropathy likely affects up to one-third of adults with diabetes. All diabetic patients are likely to develop peripheral neuropathy if they live sufficiently long. Recognition is crucial for initiation of the preventive strategies that have been demonstrated to decrease the potential risk for the development of diabetic foot ulcers, foot infection, Charcot foot, or amputation. The mainstay of current treatment is optimal glucose and hemoglobin A 1C control. Drug therapy has limited potential for controlling the associated pain. Alternative methods of treatment have thus far demonstrated limited success. © 2011 Elsevier Inc.","author":[{"dropping-particle":"","family":"Pinzur","given":"Michael S.","non-dropping-particle":"","parse-names":false,"suffix":""}],"container-title":"Foot and Ankle Clinics","id":"ITEM-2","issue":"2","issued":{"date-parts":[["2011","6","1"]]},"page":"345-349","publisher":"Elsevier","title":"Diabetic Peripheral Neuropathy","type":"article","volume":"16"},"uris":["http://www.mendeley.com/documents/?uuid=a1434a0f-b05e-38bf-9255-e4ac011ef982"]},{"id":"ITEM-3","itemData":{"DOI":"10.1016/j.clinthera.2018.04.001","ISSN":"1879114X","abstract":"Purpose: Diabetic peripheral neuropathy (DPN) is the commonest cause of neuropathy worldwide, and its prevalence increases with the duration of diabetes. It affects approximately half of patients with diabetes. DPN is symmetric and predominantly sensory, starting distally and gradually spreading proximally in a glove-and-stocking distribution. It causes substantial morbidity and is associated with increased mortality. The unrelenting nature of pain in this condition can negatively affect a patient's sleep, mood, and functionality and result in a poor quality of life. The purpose of this review was to critically review the current literature on the diagnosis and treatment of DPN, with a focus on the treatment of neuropathic pain in DPN. Methods: A comprehensive literature review was undertaken, incorporating article searches in electronic databases (EMBASE, PubMed, OVID) and reference lists of relevant articles with the authors' expertise in DPN. This review considers seminal and novel research in epidemiology; diagnosis, especially in relation to novel surrogate end points; and the treatment of neuropathic pain in DPN. We also consider potential new pharmacotherapies for painful DPN. Findings: DPN is often misdiagnosed and inadequately treated. Other than improving glycemic control, there is no licensed pathogenetic treatment for diabetic neuropathy. Management of painful DPN remains challenging due to difficulties in personalizing therapy and ascertaining the best dosing strategy, choice of initial pharmacotherapy, consideration of combination therapy, and deciding on defining treatment for poor analgesic responders. Duloxetine and pregabalin remain first-line therapy for neuropathic pain in DPN in all 5 of the major published guidelines by the American Association of Clinical Endocrinologists, American Academy of Neurology, European Federation of Neurological Societies, National Institute of Clinical Excellence (United Kingdom), and the American Diabetes Association, and their use has been approved by the US Food and Drug Administration. Implications: Clinical recognition of DPN is imperative for allowing timely symptom management to reduce the morbidity associated with this condition.","author":[{"dropping-particle":"","family":"Iqbal","given":"Zohaib","non-dropping-particle":"","parse-names":false,"suffix":""},{"dropping-particle":"","family":"Azmi","given":"Shazli","non-dropping-particle":"","parse-names":false,"suffix":""},{"dropping-particle":"","family":"Yadav","given":"Rahul","non-dropping-particle":"","parse-names":false,"suffix":""},{"dropping-particle":"","family":"Ferdousi","given":"Maryam","non-dropping-particle":"","parse-names":false,"suffix":""},{"dropping-particle":"","family":"Kumar","given":"Mohit","non-dropping-particle":"","parse-names":false,"suffix":""},{"dropping-particle":"","family":"Cuthbertson","given":"Daniel J.","non-dropping-particle":"","parse-names":false,"suffix":""},{"dropping-particle":"","family":"Lim","given":"Jonathan","non-dropping-particle":"","parse-names":false,"suffix":""},{"dropping-particle":"","family":"Malik","given":"Rayaz A.","non-dropping-particle":"","parse-names":false,"suffix":""},{"dropping-particle":"","family":"Alam","given":"Uazman","non-dropping-particle":"","parse-names":false,"suffix":""}],"container-title":"Clinical Therapeutics","id":"ITEM-3","issued":{"date-parts":[["2018"]]},"page":"828-849","title":"Diabetic Peripheral Neuropathy: Epidemiology, Diagnosis, and Pharmacotherapy","type":"article"},"uris":["http://www.mendeley.com/documents/?uuid=679374e6-2635-4ff1-9dfb-a84a7653bf8d"]}],"mendeley":{"formattedCitation":"[8–10]","plainTextFormattedCitation":"[8–10]","previouslyFormattedCitation":"[8–10]"},"properties":{"noteIndex":0},"schema":"https://github.com/citation-style-language/schema/raw/master/csl-citation.json"}</w:instrText>
      </w:r>
      <w:r w:rsidR="00D72D9C"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[8–10]</w:t>
      </w:r>
      <w:r w:rsidR="00D72D9C"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and underlies 80% of the ulcerations observed </w:t>
      </w:r>
      <w:r w:rsidR="00D72D9C"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{"citationItems":[{"id":"ITEM-1","itemData":{"ISSN":"22516093","PMID":"23113086","abstract":"Background: Diabetic peripheral neuropathy (DPN) accounts for 80% of diabetic foot ulceration; therefore neurologic examination plays a critical role in screening at risk patients. Our objective was assessment the prevalence of DPN and related factors based on clinical findings. Methods: This cross-sectional study was conducted on 124 diabetics who were randomly recruited from Diabetes Clinic of Dr. Shariati University Hospital (Tehran/Iran) in 2004. After gathering demographic data and blood sampling for fasting blood sugar (FBS), the questionnaires United Kingdom (UK), Michigan, Diabetic Neuropathy Score (DNS), and 10-g monofilament testing were administered. Analysis tests were chi-square, pearson correlation and logistic regression. Results: The patient's age ranged 17 -75 years; with 44% male. Ninety one percent suffered from type two diabetes and the mean duration of diabetes was 10 years. The mean FBS level was 181.5 mg/dl. While the prevalence of DPN based on Michigan, DNS, and monofilament testing was about 32-38%, some 54% were diagnosed by UK test. Tingling in the lower extremity was the most frequent complaint (42%). The strongest linear correlation was reported between Michigan and DNS (r= 0.7), and then between monofilament test and DNS (r= 0.6). The age &gt; 50 years, length of diabetes &gt; 10 years, and FBS &gt;200 mg/dl were the main risk factors for DPN based on DNS. Conclusion: It seems that the combination of Michigan and monofilament test can provide an accurate screening tool for detecting DPN. In addition, tight glucose control, regular assessment of the lower extremity, and to educate diabetics is urged in elderly diabetics, longer duration of diabetes, and those with high FBS.","author":[{"dropping-particle":"","family":"Tabatabaei-Malazy","given":"O.","non-dropping-particle":"","parse-names":false,"suffix":""},{"dropping-particle":"","family":"Mohajeri-Tehrani","given":"M. R.","non-dropping-particle":"","parse-names":false,"suffix":""},{"dropping-particle":"","family":"Madani","given":"S. P.","non-dropping-particle":"","parse-names":false,"suffix":""},{"dropping-particle":"","family":"Heshmat","given":"R.","non-dropping-particle":"","parse-names":false,"suffix":""},{"dropping-particle":"","family":"Larijani","given":"B.","non-dropping-particle":"","parse-names":false,"suffix":""}],"container-title":"Iranian Journal of Public Health","id":"ITEM-1","issued":{"date-parts":[["2011"]]},"page":"55-62","title":"The prevalence of diabetic peripheral neuropathy and related factors","type":"article-journal","volume":"40(3)"},"uris":["http://www.mendeley.com/documents/?uuid=f434f1e4-1112-457a-99c4-dabf0b00c6af"]}],"mendeley":{"formattedCitation":"[11]","plainTextFormattedCitation":"[11]","previouslyFormattedCitation":"[11]"},"properties":{"noteIndex":0},"schema":"https://github.com/citation-style-language/schema/raw/master/csl-citation.json"}</w:instrText>
      </w:r>
      <w:r w:rsidR="00D72D9C"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[11]</w:t>
      </w:r>
      <w:r w:rsidR="00D72D9C"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typically provoking deformities such as hallux valgus, claw/hammer toe, prominent metatarsal heads, </w:t>
      </w:r>
      <w:proofErr w:type="spellStart"/>
      <w:r w:rsidRPr="00587393">
        <w:rPr>
          <w:rFonts w:ascii="Times New Roman" w:hAnsi="Times New Roman" w:cs="Times New Roman"/>
          <w:sz w:val="24"/>
          <w:szCs w:val="24"/>
          <w:lang w:val="en-GB"/>
        </w:rPr>
        <w:t>cavus</w:t>
      </w:r>
      <w:proofErr w:type="spellEnd"/>
      <w:r w:rsidRPr="00587393">
        <w:rPr>
          <w:rFonts w:ascii="Times New Roman" w:hAnsi="Times New Roman" w:cs="Times New Roman"/>
          <w:sz w:val="24"/>
          <w:szCs w:val="24"/>
          <w:lang w:val="en-GB"/>
        </w:rPr>
        <w:t xml:space="preserve"> foot and Charcot</w:t>
      </w:r>
      <w:r w:rsidR="00FE5C33" w:rsidRPr="00587393">
        <w:rPr>
          <w:rFonts w:ascii="Times New Roman" w:hAnsi="Times New Roman" w:cs="Times New Roman"/>
          <w:sz w:val="24"/>
          <w:szCs w:val="24"/>
          <w:lang w:val="en-GB"/>
        </w:rPr>
        <w:t>’</w:t>
      </w:r>
      <w:r w:rsidRPr="00587393">
        <w:rPr>
          <w:rFonts w:ascii="Times New Roman" w:hAnsi="Times New Roman" w:cs="Times New Roman"/>
          <w:sz w:val="24"/>
          <w:szCs w:val="24"/>
          <w:lang w:val="en-GB"/>
        </w:rPr>
        <w:t xml:space="preserve">s foot </w:t>
      </w:r>
      <w:r w:rsidR="00D72D9C"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{"citationItems":[{"id":"ITEM-1","itemData":{"DOI":"10.2174/1573399815666191001101910","ISSN":"15733998","PMID":"31573891","abstract":"OBJECTIVES: To determine the prevalence of, and factors associated with, people with foot deformities, among patients with diabetes in Jordan. METHODS: A cross-sectional study was conducted on 1000 diabetic participants recruited from the National Center for Diabetes, Endocrinology, and Genetics in Jordan. Participants had their feet clinically examined to detect the following foot deformity outcomes: Hallux valgus, claw/hammer toe, prominent metatarsal heads, limited joint mobility, pes cavus, Charcot foot, and amputations. Sociodemographic and health variables were also collected from participants' interviews, medical records, or clinical examination. Logistic regression was used to analyse associations between variables and each foot deformity outcome. RESULTS: Of the 1000 diabetic patients: Hallux valgus was found in 17.4%, claw\\hammer toe in 16%, prominent metatarsal head in 14.2%, limited joint mobility in 9.4%, pes cavus in 3.2%, Charcot foot in 2.1%, and amputations in 1.7%. Hallux valgus was associated with gender (p=0.012), age (p&lt;0.01) and shoe choices (p=0.031); claw\\hammer toe was associated with age (p=0.04), retinopathy (p&lt;0.001), sensory and painful neuropathy (p&lt;0.001); limited joint mobility was associated with age only (p=0.001); Charcot foot was associated with glycemic control (p=0.016), hypertension (p&lt;0.000), sensory neuropathy (p&lt;0.001), and painful neuropathy (p&lt;0.001); and, amputations were associated with duration of diabetes (p&lt;0.043), sensory neuropathy (p=0.001), and painful neuropathy (p=0.001). CONCLUSION: Prevalence of different foot deformities in Jordan variated between 1.7% - 17.4%. Sociodemographic factors such as age, gender and shoes choices or presence of diabetes-related microvascular complications (neuropathy and retinopathy) or hypertension were independently associated with foot deformities among the Jordanian diabetic population.","author":[{"dropping-particle":"","family":"Ababneh","given":"Anas","non-dropping-particle":"","parse-names":false,"suffix":""},{"dropping-particle":"","family":"Bakri","given":"Faris G.","non-dropping-particle":"","parse-names":false,"suffix":""},{"dropping-particle":"","family":"Khader","given":"Yousef","non-dropping-particle":"","parse-names":false,"suffix":""},{"dropping-particle":"","family":"Lazzarini","given":"Peter","non-dropping-particle":"","parse-names":false,"suffix":""},{"dropping-particle":"","family":"Ajlouni","given":"Kamel","non-dropping-particle":"","parse-names":false,"suffix":""}],"container-title":"Current Diabetes Reviews","id":"ITEM-1","issued":{"date-parts":[["2019"]]},"title":"Prevalence and Associates of Foot Deformities among Patients with Diabetes in Jordan","type":"article-journal"},"uris":["http://www.mendeley.com/documents/?uuid=08b3b3ce-95e3-473c-b990-eda2b9a7b2f7"]}],"mendeley":{"formattedCitation":"[12]","plainTextFormattedCitation":"[12]","previouslyFormattedCitation":"[12]"},"properties":{"noteIndex":0},"schema":"https://github.com/citation-style-language/schema/raw/master/csl-citation.json"}</w:instrText>
      </w:r>
      <w:r w:rsidR="00D72D9C"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[12]</w:t>
      </w:r>
      <w:r w:rsidR="00D72D9C"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w:t>
      </w:r>
      <w:r w:rsidR="002174C6" w:rsidRPr="00587393">
        <w:rPr>
          <w:rFonts w:ascii="Times New Roman" w:hAnsi="Times New Roman" w:cs="Times New Roman"/>
          <w:sz w:val="24"/>
          <w:szCs w:val="24"/>
          <w:lang w:val="en-GB"/>
        </w:rPr>
        <w:t>These</w:t>
      </w:r>
      <w:r w:rsidRPr="00587393">
        <w:rPr>
          <w:rFonts w:ascii="Times New Roman" w:hAnsi="Times New Roman" w:cs="Times New Roman"/>
          <w:sz w:val="24"/>
          <w:szCs w:val="24"/>
          <w:lang w:val="en-GB"/>
        </w:rPr>
        <w:t xml:space="preserve"> foot deformities play a critical role</w:t>
      </w:r>
      <w:r w:rsidR="002174C6" w:rsidRPr="00587393">
        <w:rPr>
          <w:rFonts w:ascii="Times New Roman" w:hAnsi="Times New Roman" w:cs="Times New Roman"/>
          <w:sz w:val="24"/>
          <w:szCs w:val="24"/>
          <w:lang w:val="en-GB"/>
        </w:rPr>
        <w:t xml:space="preserve"> in undermining the patient</w:t>
      </w:r>
      <w:r w:rsidR="00FE5C33" w:rsidRPr="00587393">
        <w:rPr>
          <w:rFonts w:ascii="Times New Roman" w:hAnsi="Times New Roman" w:cs="Times New Roman"/>
          <w:sz w:val="24"/>
          <w:szCs w:val="24"/>
          <w:lang w:val="en-GB"/>
        </w:rPr>
        <w:t>’</w:t>
      </w:r>
      <w:r w:rsidR="002174C6" w:rsidRPr="00587393">
        <w:rPr>
          <w:rFonts w:ascii="Times New Roman" w:hAnsi="Times New Roman" w:cs="Times New Roman"/>
          <w:sz w:val="24"/>
          <w:szCs w:val="24"/>
          <w:lang w:val="en-GB"/>
        </w:rPr>
        <w:t>s wellbeing and in this respect one of the major risk factors for ulceration</w:t>
      </w:r>
      <w:r w:rsidR="00FE5C33" w:rsidRPr="00587393">
        <w:rPr>
          <w:rFonts w:ascii="Times New Roman" w:hAnsi="Times New Roman" w:cs="Times New Roman"/>
          <w:sz w:val="24"/>
          <w:szCs w:val="24"/>
          <w:lang w:val="en-GB"/>
        </w:rPr>
        <w:t xml:space="preserve"> </w:t>
      </w:r>
      <w:r w:rsidR="002174C6" w:rsidRPr="00587393">
        <w:rPr>
          <w:rFonts w:ascii="Times New Roman" w:hAnsi="Times New Roman" w:cs="Times New Roman"/>
          <w:sz w:val="24"/>
          <w:szCs w:val="24"/>
          <w:lang w:val="en-GB"/>
        </w:rPr>
        <w:t xml:space="preserve">is DPN, </w:t>
      </w:r>
      <w:r w:rsidRPr="00587393">
        <w:rPr>
          <w:rFonts w:ascii="Times New Roman" w:hAnsi="Times New Roman" w:cs="Times New Roman"/>
          <w:sz w:val="24"/>
          <w:szCs w:val="24"/>
          <w:lang w:val="en-GB"/>
        </w:rPr>
        <w:t xml:space="preserve">together with </w:t>
      </w:r>
      <w:r w:rsidR="006546B1" w:rsidRPr="00587393">
        <w:rPr>
          <w:rFonts w:ascii="Times New Roman" w:hAnsi="Times New Roman" w:cs="Times New Roman"/>
          <w:sz w:val="24"/>
          <w:szCs w:val="24"/>
          <w:lang w:val="en-GB"/>
        </w:rPr>
        <w:t>lower extremity arterial disease (LEAD)</w:t>
      </w:r>
      <w:r w:rsidRPr="00587393">
        <w:rPr>
          <w:rFonts w:ascii="Times New Roman" w:hAnsi="Times New Roman" w:cs="Times New Roman"/>
          <w:sz w:val="24"/>
          <w:szCs w:val="24"/>
          <w:lang w:val="en-GB"/>
        </w:rPr>
        <w:t xml:space="preserve"> </w:t>
      </w:r>
      <w:r w:rsidR="002174C6" w:rsidRPr="00587393">
        <w:rPr>
          <w:rFonts w:ascii="Times New Roman" w:hAnsi="Times New Roman" w:cs="Times New Roman"/>
          <w:sz w:val="24"/>
          <w:szCs w:val="24"/>
          <w:lang w:val="en-GB"/>
        </w:rPr>
        <w:t>and/</w:t>
      </w:r>
      <w:r w:rsidRPr="00587393">
        <w:rPr>
          <w:rFonts w:ascii="Times New Roman" w:hAnsi="Times New Roman" w:cs="Times New Roman"/>
          <w:sz w:val="24"/>
          <w:szCs w:val="24"/>
          <w:lang w:val="en-GB"/>
        </w:rPr>
        <w:t xml:space="preserve">or </w:t>
      </w:r>
      <w:r w:rsidR="002174C6" w:rsidRPr="00587393">
        <w:rPr>
          <w:rFonts w:ascii="Times New Roman" w:hAnsi="Times New Roman" w:cs="Times New Roman"/>
          <w:sz w:val="24"/>
          <w:szCs w:val="24"/>
          <w:lang w:val="en-GB"/>
        </w:rPr>
        <w:t xml:space="preserve">the use of </w:t>
      </w:r>
      <w:r w:rsidRPr="00587393">
        <w:rPr>
          <w:rFonts w:ascii="Times New Roman" w:hAnsi="Times New Roman" w:cs="Times New Roman"/>
          <w:sz w:val="24"/>
          <w:szCs w:val="24"/>
          <w:lang w:val="en-GB"/>
        </w:rPr>
        <w:t xml:space="preserve">inappropriate footwear </w:t>
      </w:r>
      <w:r w:rsidR="001245AD"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{"citationItems":[{"id":"ITEM-1","itemData":{"DOI":"10.1016/S0248-8663(08)73949-3","ISSN":"1768-3122","abstract":"Since diabetes mellitus is growing at epidemic proportions worldwide, the prevalence of diabetes-related complications is bound to increase. Diabetic foot disorders, a major source of disability and morbidity, are a significant burden for the community and a true public health problem. Many epidemiological data have been published on the diabetic foot but they are difficult to interpret because of variability in the methodology and in the definitions used in these studies. Moreover, there is a lack of consistency in population characteristics (ethnicity, social level, accessibility to care) and how results are expressed. In westernized countries, two of 100 diabetic patients are estimated to suffer from a foot ulcer every year. Amputation rates vary considerably: incidence ranges from 1 per thousand in the Madrid area and in Japan to up to 20 per thousand in some Indian tribes in North America. In metropolitan France, the incidence of lower-limb amputation is approximately 2 per thousand but with marked regional differences, and in French overseas territories, the incidence rate is much higher. Nevertheless, the risk for ulceration and amputation is much higher in diabetics compared to the nondiabetic population: the lifetime risk of a diabetic individual developing an ulcer is as high as 25% and it is estimated that every 30s an amputation is performed for a diabetic somewhere in the world. As reviewed in this paper, peripheral neuropathy, arterial disease, and foot deformities are the main factors accounting for this increased risk. Age and sex as well as social and cultural status are contributing factors. Knowing these factors is essential to classify every diabetic using a risk grading system and to take preventive measures accordingly.","author":[{"dropping-particle":"","family":"Richard","given":"J. L.","non-dropping-particle":"","parse-names":false,"suffix":""},{"dropping-particle":"","family":"Schuldiner","given":"S.","non-dropping-particle":"","parse-names":false,"suffix":""}],"container-title":"Revue de Medecine Interne","id":"ITEM-1","issue":"Sept","issued":{"date-parts":[["2008"]]},"page":"222-30","title":"Epidemiology of diabetic foot problems","type":"article-journal","volume":"29"},"uris":["http://www.mendeley.com/documents/?uuid=bfcee3e8-ca4e-4b99-ac76-482358d4192b"]},{"id":"ITEM-2","itemData":{"DOI":"10.1016/j.diabres.2008.07.025","ISSN":"01688227","PMID":"18829126","abstract":"Aims: We assessed baseline clinical foot shape for 2939 feet of diabetic subjects who were monitored prospectively for foot ulceration. Methods: Assessments included hammer/claw toes, hallux valgus, hallux limitus, prominent metatarsal heads, bony prominences, Charcot deformity, plantar callus, foot type, muscle atrophy, ankle and hallux mobility, and neuropathy. Risk factors were linked to ulcer occurrence and location via a Cox proportional hazards model. Results: Hammer/claw toes (hazard ratio [HR] (95% confidence interval [CI]) = 1.43 (1.06, 1.94) p = 0.02), marked hammer/claw toes (HR = 1.77 (1.18, 2.66) p = 0.006), bony prominences (HR = 1.38 (1.02, 1.88), p = 0.04), and foot type (Charcot or drop foot vs. neutrally aligned) (HR = 2.34 (1.33, 4.10), p = 0.003) were significant risk factors for ulceration adjusting for age, body mass index, insulin medication, ulcer history and amputation history. With adjustment for neuropathy only hammer/claw toes (HR = 1.40 (1.03, 1.90), p = 0.03) and foot type (HR = 1.76 (1.04, 3.04), p = 0.05) were significantly related to ulceration. However, there was no relationship between ulcer location and foot deformity. Conclusions: Certain foot deformities were predictive of ulceration, although there was no relationship between clinical foot deformity and ulcer location.","author":[{"dropping-particle":"","family":"Cowley","given":"Matthew S.","non-dropping-particle":"","parse-names":false,"suffix":""},{"dropping-particle":"","family":"Boyko","given":"Edward J.","non-dropping-particle":"","parse-names":false,"suffix":""},{"dropping-particle":"","family":"Shofer","given":"Jane B.","non-dropping-particle":"","parse-names":false,"suffix":""},{"dropping-particle":"","family":"Ahroni","given":"Jessie H.","non-dropping-particle":"","parse-names":false,"suffix":""},{"dropping-particle":"","family":"Ledoux","given":"William R.","non-dropping-particle":"","parse-names":false,"suffix":""}],"container-title":"Diabetes Research and Clinical Practice","id":"ITEM-2","issued":{"date-parts":[["2008"]]},"page":"226-232","title":"Foot ulcer risk and location in relation to prospective clinical assessment of foot shape and mobility among persons with diabetes","type":"article-journal","volume":"82(2)"},"uris":["http://www.mendeley.com/documents/?uuid=2089be1c-3893-4e31-8b51-0cd01e83b084"]},{"id":"ITEM-3","itemData":{"DOI":"10.1155/2018/7631659","abstract":"Aim/Introduction. This study was carried out to assess the incidence and risk factors of diabetic foot ulcer (DFU). Materials and Methods. In this prospective cohort study in a university hospital, all the participants were examined and followed up for new DFU as final outcome for two years. To analyze the data, the variables were first evaluated with a univariate analysis. Then variables with P value &lt; 0.2 were tested with a multivariate analysis, using backward-elimination multiple logistic regression. Results. Among 605 patients, 39 cases had DFU, so we followed up the remaining 566 patients without any present or history of DFU. A two-year cumulative incidence of diabetic foot ulcer was 5.62% (95% CI 3.89-8.02). After analysis, previous history of DFU or amputation [OR = 9.65, 95% CI (2.13-43.78), P value = 0.003], insulin usage [OR = 5.78, 95% CI (2.37-14.07), P value &lt; 0.01], gender [OR = 3.23, 95% CI (1.33-7.83), P value = 0.01], distal neuropathy [OR = 3.37, 95% CI (1.40-8.09), P value = 0.007], and foot deformity [OR = 3.02, 95% CI (1.10-8.29), P value = 0.032] had a statistically significant relationship with DFU incidence. Conclusion. Our data showed that the average annual DFU incidence is about 2.8%. Independent risk factors of DFU development were previous history of DFU or amputation, insulin consumption, gender, distal neuropathy, and foot deformity. These findings provide support for a multifactorial etiology for DFU.","author":[{"dropping-particle":"","family":"Yazdanpanah","given":"Leila","non-dropping-particle":"","parse-names":false,"suffix":""},{"dropping-particle":"","family":"Shahbazian","given":"Hajieh","non-dropping-particle":"","parse-names":false,"suffix":""},{"dropping-particle":"","family":"Nazari","given":"Iraj","non-dropping-particle":"","parse-names":false,"suffix":""},{"dropping-particle":"","family":"Arti","given":"Hamid Reza","non-dropping-particle":"","parse-names":false,"suffix":""},{"dropping-particle":"","family":"Ahmadi","given":"Fatemeh","non-dropping-particle":"","parse-names":false,"suffix":""},{"dropping-particle":"","family":"Mohammadianinejad","given":"Seyed Ehsan","non-dropping-particle":"","parse-names":false,"suffix":""},{"dropping-particle":"","family":"Cheraghian","given":"Bahman","non-dropping-particle":"","parse-names":false,"suffix":""},{"dropping-particle":"","family":"Hesam","given":"Saeed","non-dropping-particle":"","parse-names":false,"suffix":""}],"container-title":"Intonal Journal Endocrinol","id":"ITEM-3","issue":"Mar","issued":{"date-parts":[["2018"]]},"title":"Incidence and Risk Factors of Diabetic Foot Ulcer: A Population-Based Diabetic Foot Cohort (ADFC Study)-Two-Year Follow-Up Study","type":"article-journal","volume":"15"},"uris":["http://www.mendeley.com/documents/?uuid=f38f83cb-d618-3d7b-aee5-eb2b19f9b5f5"]},{"id":"ITEM-4","itemData":{"DOI":"10.1002/dmrr.2319","ISSN":"15207552","abstract":"Improving ability to predict and prevent diabetic foot ulceration is imperative because of the high personal and financial costs of this complication. We therefore conducted a systematic review in order to identify all studies of factors associated with DFU and assess whether available DFU risk stratification systems incorporate those factors of highest potential value. We performed a search in PubMed for studies published through April 2011 that analysed the association between independent variables and DFU. Articles were selected by two investigators-independently and blind to each other. Divergences were solved by a third investigator. A total of 71 studies were included that evaluated the association between diabetic foot ulceration and more than 100 independent variables. The variables most frequently assessed were age, gender, diabetes duration, BMI, HbA1c and neuropathy. Diabetic foot ulceration prevalence varied greatly among studies. The majority of the identified variables were assessed by only two or fewer studies. Diabetic neuropathy, peripheral vascular disease, foot deformity and previous diabetic foot ulceration or lower extremity amputation - which are the most common variables included in risk stratification systems - were consistently associated with diabetic foot ulceration development. Existing diabetic foot ulceration risk stratification systems often include variables shown repeatedly in the literature to be strongly predictive of this outcome. Improvement of these risk classification systems though is impaired because of deficiencies noted, including a great lack of standardization in outcome definition and variable selection and measurement. © 2012 John Wiley &amp; Sons, Ltd.","author":[{"dropping-particle":"","family":"Monteiro-Soares","given":"M.","non-dropping-particle":"","parse-names":false,"suffix":""},{"dropping-particle":"","family":"Boyko","given":"E. J.","non-dropping-particle":"","parse-names":false,"suffix":""},{"dropping-particle":"","family":"Ribeiro","given":"J.","non-dropping-particle":"","parse-names":false,"suffix":""},{"dropping-particle":"","family":"Ribeiro","given":"I.","non-dropping-particle":"","parse-names":false,"suffix":""},{"dropping-particle":"","family":"Dinis-Ribeiro","given":"M.","non-dropping-particle":"","parse-names":false,"suffix":""}],"container-title":"Diabetes/Metabolism Research and Reviews","id":"ITEM-4","issued":{"date-parts":[["2012"]]},"page":"574-600","title":"Predictive factors for diabetic foot ulceration: A systematic review","type":"article"},"uris":["http://www.mendeley.com/documents/?uuid=dac94003-13b3-4adf-916a-5f3ddc88de14"]}],"mendeley":{"formattedCitation":"[13–16]","plainTextFormattedCitation":"[13–16]","previouslyFormattedCitation":"[13–16]"},"properties":{"noteIndex":0},"schema":"https://github.com/citation-style-language/schema/raw/master/csl-citation.json"}</w:instrText>
      </w:r>
      <w:r w:rsidR="001245AD"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[13–16]</w:t>
      </w:r>
      <w:r w:rsidR="001245AD"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Furthermore, </w:t>
      </w:r>
      <w:r w:rsidR="002174C6" w:rsidRPr="00587393">
        <w:rPr>
          <w:rFonts w:ascii="Times New Roman" w:hAnsi="Times New Roman" w:cs="Times New Roman"/>
          <w:sz w:val="24"/>
          <w:szCs w:val="24"/>
          <w:lang w:val="en-GB"/>
        </w:rPr>
        <w:t xml:space="preserve">DPN alters </w:t>
      </w:r>
      <w:r w:rsidR="00804EAF" w:rsidRPr="00587393">
        <w:rPr>
          <w:rFonts w:ascii="Times New Roman" w:hAnsi="Times New Roman" w:cs="Times New Roman"/>
          <w:sz w:val="24"/>
          <w:szCs w:val="24"/>
          <w:lang w:val="en-GB"/>
        </w:rPr>
        <w:t xml:space="preserve">patients’ </w:t>
      </w:r>
      <w:r w:rsidRPr="00587393">
        <w:rPr>
          <w:rFonts w:ascii="Times New Roman" w:hAnsi="Times New Roman" w:cs="Times New Roman"/>
          <w:sz w:val="24"/>
          <w:szCs w:val="24"/>
          <w:lang w:val="en-GB"/>
        </w:rPr>
        <w:t xml:space="preserve">biomechanics, </w:t>
      </w:r>
      <w:r w:rsidR="002174C6" w:rsidRPr="00587393">
        <w:rPr>
          <w:rFonts w:ascii="Times New Roman" w:hAnsi="Times New Roman" w:cs="Times New Roman"/>
          <w:sz w:val="24"/>
          <w:szCs w:val="24"/>
          <w:lang w:val="en-GB"/>
        </w:rPr>
        <w:t xml:space="preserve">increasing </w:t>
      </w:r>
      <w:r w:rsidRPr="00587393">
        <w:rPr>
          <w:rFonts w:ascii="Times New Roman" w:hAnsi="Times New Roman" w:cs="Times New Roman"/>
          <w:sz w:val="24"/>
          <w:szCs w:val="24"/>
          <w:lang w:val="en-GB"/>
        </w:rPr>
        <w:t xml:space="preserve">plantar pressure in the forefoot area and </w:t>
      </w:r>
      <w:r w:rsidR="002174C6" w:rsidRPr="00587393">
        <w:rPr>
          <w:rFonts w:ascii="Times New Roman" w:hAnsi="Times New Roman" w:cs="Times New Roman"/>
          <w:sz w:val="24"/>
          <w:szCs w:val="24"/>
          <w:lang w:val="en-GB"/>
        </w:rPr>
        <w:t xml:space="preserve">extending the </w:t>
      </w:r>
      <w:r w:rsidRPr="00587393">
        <w:rPr>
          <w:rFonts w:ascii="Times New Roman" w:hAnsi="Times New Roman" w:cs="Times New Roman"/>
          <w:sz w:val="24"/>
          <w:szCs w:val="24"/>
          <w:lang w:val="en-GB"/>
        </w:rPr>
        <w:t xml:space="preserve">duration of the gait support phase </w:t>
      </w:r>
      <w:r w:rsidR="001245AD"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{"citationItems":[{"id":"ITEM-1","itemData":{"DOI":"10.1016/j.clinbiomech.2013.08.004","ISSN":"02680033","PMID":"24035444","abstract":"Background Diabetic peripheral neuropathy is an important cause of foot ulceration and limb loss. This systematic review and meta-analysis investigated the effect of diabetic peripheral neuropathy on gait, dynamic electromyography and dynamic plantar pressures. Methods Electronic databases were searched systematically for articles reporting the effect of diabetic peripheral neuropathy on gait, dynamic electromyography and plantar pressures. Searches were restricted to articles published between January 2000 and April 2012. Outcome measures assessed included spatiotemporal parameters, lower limb kinematics, kinetics, muscle activation and plantar pressure. Meta-analyses were carried out on all outcome measures reported by ≥ 3 studies. Findings Sixteen studies were included consisting of 382 neuropathy participants, 216 diabetes controls without neuropathy and 207 healthy controls. Meta-analysis was performed on 11 gait variables. A high level of heterogeneity was noted between studies. Meta-analysis results suggested a longer stance time and moderately higher plantar pressures in diabetic peripheral neuropathy patients at the rearfoot, midfoot and forefoot compared to controls. Systematic review of studies suggested potential differences in the biomechanical characteristics (kinematics, kinetics, EMG) of diabetic neuropathy patients. However these findings were inconsistent and limited by small sample sizes. Interpretation Current evidence suggests that patients with diabetic peripheral neuropathy have elevated plantar pressures and occupy a longer duration of time in the stance-phase during gait. Firm conclusions are hampered by the heterogeneity and small sample sizes of available studies. © 2013 Elsevier Ltd.","author":[{"dropping-particle":"","family":"Fernando","given":"Malindu","non-dropping-particle":"","parse-names":false,"suffix":""},{"dropping-particle":"","family":"Crowther","given":"Robert","non-dropping-particle":"","parse-names":false,"suffix":""},{"dropping-particle":"","family":"Lazzarini","given":"Peter","non-dropping-particle":"","parse-names":false,"suffix":""},{"dropping-particle":"","family":"Sangla","given":"Kunwarjit","non-dropping-particle":"","parse-names":false,"suffix":""},{"dropping-particle":"","family":"Cunningham","given":"Margaret","non-dropping-particle":"","parse-names":false,"suffix":""},{"dropping-particle":"","family":"Buttner","given":"Petra","non-dropping-particle":"","parse-names":false,"suffix":""},{"dropping-particle":"","family":"Golledge","given":"Jonathan","non-dropping-particle":"","parse-names":false,"suffix":""}],"container-title":"Clinical Biomechanics","id":"ITEM-1","issued":{"date-parts":[["2013"]]},"page":"831-845","title":"Biomechanical characteristics of peripheral diabetic neuropathy: A systematic review and meta-analysis of findings from the gait cycle, muscle activity and dynamic barefoot plantar pressure","type":"article"},"uris":["http://www.mendeley.com/documents/?uuid=a0e5091c-e493-4326-978e-fc16a4a97005"]}],"mendeley":{"formattedCitation":"[17]","plainTextFormattedCitation":"[17]","previouslyFormattedCitation":"[17]"},"properties":{"noteIndex":0},"schema":"https://github.com/citation-style-language/schema/raw/master/csl-citation.json"}</w:instrText>
      </w:r>
      <w:r w:rsidR="001245AD"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[17]</w:t>
      </w:r>
      <w:r w:rsidR="001245AD"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w:t>
      </w:r>
      <w:r w:rsidR="002174C6" w:rsidRPr="00587393">
        <w:rPr>
          <w:rFonts w:ascii="Times New Roman" w:hAnsi="Times New Roman" w:cs="Times New Roman"/>
          <w:sz w:val="24"/>
          <w:szCs w:val="24"/>
          <w:lang w:val="en-GB"/>
        </w:rPr>
        <w:t xml:space="preserve">which exposes </w:t>
      </w:r>
      <w:r w:rsidRPr="00587393">
        <w:rPr>
          <w:rFonts w:ascii="Times New Roman" w:hAnsi="Times New Roman" w:cs="Times New Roman"/>
          <w:sz w:val="24"/>
          <w:szCs w:val="24"/>
          <w:lang w:val="en-GB"/>
        </w:rPr>
        <w:t xml:space="preserve">the foot </w:t>
      </w:r>
      <w:r w:rsidR="002174C6" w:rsidRPr="00587393">
        <w:rPr>
          <w:rFonts w:ascii="Times New Roman" w:hAnsi="Times New Roman" w:cs="Times New Roman"/>
          <w:sz w:val="24"/>
          <w:szCs w:val="24"/>
          <w:lang w:val="en-GB"/>
        </w:rPr>
        <w:t xml:space="preserve">to severe </w:t>
      </w:r>
      <w:r w:rsidRPr="00587393">
        <w:rPr>
          <w:rFonts w:ascii="Times New Roman" w:hAnsi="Times New Roman" w:cs="Times New Roman"/>
          <w:sz w:val="24"/>
          <w:szCs w:val="24"/>
          <w:lang w:val="en-GB"/>
        </w:rPr>
        <w:t>complications.</w:t>
      </w:r>
    </w:p>
    <w:p w14:paraId="322F5D02" w14:textId="4A3D6D96" w:rsidR="00183190" w:rsidRPr="00587393" w:rsidRDefault="00183190"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 xml:space="preserve">The main physical causes of foot deformities are atrophy of the intrinsic foot musculature, muscle weakness and impaired joint mobility </w:t>
      </w:r>
      <w:r w:rsidR="004937A2"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{"citationItems":[{"id":"ITEM-1","itemData":{"DOI":"10.1177/0309364615592705","ISSN":"17461553","abstract":"Background: Diabetes mellitus causes a multitude of complications. Foot ulceration is one complication with serious consequences, amputation. Foot deformities contribute to ulcer development. It would be advantageous to ascertain whether foot deformities are preventable as their presence increases amputation risk. Objectives: The objectives were to understand the development of foot deformities in diabetes and explore their biomechanical effects. Study design: Literature review. Methods: In February 2014 CINAHL, Embase, Ovid and Medline were searched. Studies in English of adults with Diabetes that reported neuropathy, foot deformities or associated gait abnormalities were included for review. All study designs were considered. The articles' quality was considered high overall, assessed using SIGN and CARS. Results: In total, 17 studies were reviewed. The main themes identified in relation to foot deformities were nerve function, intrinsic foot muscles, muscle weakness and limited joint mobility. Nerve function and intrinsic foot muscle atrophy did not display definitive associations with foot deformities. However, muscle weakness and limited joint mobility were associated with foot deformities, although the relationship is still unclear. Conclusion: The development of common foot deformities in diabetes is not well understood. The literature did not support the common belief that motor neuropathy, atrophy and muscle imbalance cause foot deformities. Clinical relevance An understanding of the aetiology of foot deformities in diabetes mellitus may allow for pro-active management of the foot in anticipation of the development of foot deformities and ulceration. If the aetiology of deformity was established preventative treatment may reduce the incidence of foot deformities and resultant ulcerations and amputations.","author":[{"dropping-particle":"","family":"Allan","given":"Joanne","non-dropping-particle":"","parse-names":false,"suffix":""},{"dropping-particle":"","family":"Munro","given":"William","non-dropping-particle":"","parse-names":false,"suffix":""},{"dropping-particle":"","family":"Figgins","given":"Elaine","non-dropping-particle":"","parse-names":false,"suffix":""}],"container-title":"Prosthetics and Orthotics International","id":"ITEM-1","issued":{"date-parts":[["2016"]]},"page":"182-192","title":"Foot deformities within the diabetic foot and their influence on biomechanics: A review of the literature","type":"article"},"uris":["http://www.mendeley.com/documents/?uuid=8c47be47-db7e-4796-9eb8-80665a197eed"]}],"mendeley":{"formattedCitation":"[18]","plainTextFormattedCitation":"[18]","previouslyFormattedCitation":"[18]"},"properties":{"noteIndex":0},"schema":"https://github.com/citation-style-language/schema/raw/master/csl-citation.json"}</w:instrText>
      </w:r>
      <w:r w:rsidR="004937A2"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[18]</w:t>
      </w:r>
      <w:r w:rsidR="004937A2"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w:t>
      </w:r>
    </w:p>
    <w:p w14:paraId="456F9502" w14:textId="0965B222" w:rsidR="00183190" w:rsidRPr="00587393" w:rsidRDefault="00183190"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lastRenderedPageBreak/>
        <w:t>It is vitally important to be aware of the factors that favour ulceration so that</w:t>
      </w:r>
      <w:r w:rsidR="00A8335F" w:rsidRPr="00587393">
        <w:rPr>
          <w:rFonts w:ascii="Times New Roman" w:hAnsi="Times New Roman" w:cs="Times New Roman"/>
          <w:sz w:val="24"/>
          <w:szCs w:val="24"/>
          <w:lang w:val="en-GB"/>
        </w:rPr>
        <w:t xml:space="preserve"> people</w:t>
      </w:r>
      <w:r w:rsidRPr="00587393">
        <w:rPr>
          <w:rFonts w:ascii="Times New Roman" w:hAnsi="Times New Roman" w:cs="Times New Roman"/>
          <w:sz w:val="24"/>
          <w:szCs w:val="24"/>
          <w:lang w:val="en-GB"/>
        </w:rPr>
        <w:t xml:space="preserve"> with diabetes can be stratified according to the degree of risk presented and specific preventive measures established. Accordingly, the main aim of the present study is </w:t>
      </w:r>
      <w:bookmarkStart w:id="2" w:name="_Hlk42108969"/>
      <w:r w:rsidRPr="00587393">
        <w:rPr>
          <w:rFonts w:ascii="Times New Roman" w:hAnsi="Times New Roman" w:cs="Times New Roman"/>
          <w:sz w:val="24"/>
          <w:szCs w:val="24"/>
          <w:lang w:val="en-GB"/>
        </w:rPr>
        <w:t>to determine the relationship between DPN and the presence of deformities in the foot, to facilitate the design and application of a model</w:t>
      </w:r>
      <w:r w:rsidR="00C52DA0" w:rsidRPr="00587393">
        <w:rPr>
          <w:rFonts w:ascii="Times New Roman" w:hAnsi="Times New Roman" w:cs="Times New Roman"/>
          <w:sz w:val="24"/>
          <w:szCs w:val="24"/>
          <w:lang w:val="en-GB"/>
        </w:rPr>
        <w:t xml:space="preserve"> of primary prevention</w:t>
      </w:r>
      <w:bookmarkEnd w:id="2"/>
      <w:r w:rsidRPr="00587393">
        <w:rPr>
          <w:rFonts w:ascii="Times New Roman" w:hAnsi="Times New Roman" w:cs="Times New Roman"/>
          <w:sz w:val="24"/>
          <w:szCs w:val="24"/>
          <w:lang w:val="en-GB"/>
        </w:rPr>
        <w:t>.</w:t>
      </w:r>
    </w:p>
    <w:p w14:paraId="60361AB0" w14:textId="1791D95C" w:rsidR="00531B2F" w:rsidRPr="00587393" w:rsidRDefault="00C87910" w:rsidP="00BF0E4B">
      <w:pPr>
        <w:pStyle w:val="Prrafodelista"/>
        <w:numPr>
          <w:ilvl w:val="0"/>
          <w:numId w:val="10"/>
        </w:numPr>
        <w:spacing w:line="480" w:lineRule="auto"/>
        <w:rPr>
          <w:rFonts w:ascii="Times New Roman" w:hAnsi="Times New Roman" w:cs="Times New Roman"/>
          <w:b/>
          <w:sz w:val="24"/>
          <w:szCs w:val="24"/>
          <w:lang w:val="en-GB" w:eastAsia="ar-SA"/>
        </w:rPr>
      </w:pPr>
      <w:r w:rsidRPr="00587393">
        <w:rPr>
          <w:rFonts w:ascii="Times New Roman" w:hAnsi="Times New Roman" w:cs="Times New Roman"/>
          <w:b/>
          <w:sz w:val="24"/>
          <w:szCs w:val="24"/>
          <w:lang w:val="en-GB" w:eastAsia="ar-SA"/>
        </w:rPr>
        <w:t>MATERIAL AND METHODS</w:t>
      </w:r>
    </w:p>
    <w:p w14:paraId="16AAC375" w14:textId="36FE66B3" w:rsidR="005F13FC" w:rsidRPr="00587393" w:rsidRDefault="00BF0E4B"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b/>
          <w:sz w:val="24"/>
          <w:szCs w:val="24"/>
          <w:lang w:val="en-GB"/>
        </w:rPr>
        <w:t>2.</w:t>
      </w:r>
      <w:proofErr w:type="gramStart"/>
      <w:r w:rsidRPr="00587393">
        <w:rPr>
          <w:rFonts w:ascii="Times New Roman" w:hAnsi="Times New Roman" w:cs="Times New Roman"/>
          <w:b/>
          <w:sz w:val="24"/>
          <w:szCs w:val="24"/>
          <w:lang w:val="en-GB"/>
        </w:rPr>
        <w:t>1.</w:t>
      </w:r>
      <w:r w:rsidR="00611777" w:rsidRPr="00587393">
        <w:rPr>
          <w:rFonts w:ascii="Times New Roman" w:hAnsi="Times New Roman" w:cs="Times New Roman"/>
          <w:b/>
          <w:sz w:val="24"/>
          <w:szCs w:val="24"/>
          <w:lang w:val="en-GB"/>
        </w:rPr>
        <w:t>Ethical</w:t>
      </w:r>
      <w:proofErr w:type="gramEnd"/>
      <w:r w:rsidR="00611777" w:rsidRPr="00587393">
        <w:rPr>
          <w:rFonts w:ascii="Times New Roman" w:hAnsi="Times New Roman" w:cs="Times New Roman"/>
          <w:b/>
          <w:sz w:val="24"/>
          <w:szCs w:val="24"/>
          <w:lang w:val="en-GB"/>
        </w:rPr>
        <w:t xml:space="preserve"> approval</w:t>
      </w:r>
      <w:r w:rsidR="005F13FC" w:rsidRPr="00587393">
        <w:rPr>
          <w:rFonts w:ascii="Times New Roman" w:hAnsi="Times New Roman" w:cs="Times New Roman"/>
          <w:b/>
          <w:sz w:val="24"/>
          <w:szCs w:val="24"/>
          <w:lang w:val="en-GB" w:eastAsia="ar-SA"/>
        </w:rPr>
        <w:t>:</w:t>
      </w:r>
      <w:r w:rsidR="005F13FC" w:rsidRPr="00587393">
        <w:rPr>
          <w:rFonts w:ascii="Times New Roman" w:hAnsi="Times New Roman" w:cs="Times New Roman"/>
          <w:sz w:val="24"/>
          <w:szCs w:val="24"/>
          <w:lang w:val="en-GB"/>
        </w:rPr>
        <w:t xml:space="preserve"> </w:t>
      </w:r>
      <w:r w:rsidR="00A73904" w:rsidRPr="00587393">
        <w:rPr>
          <w:rFonts w:ascii="Times New Roman" w:hAnsi="Times New Roman" w:cs="Times New Roman"/>
          <w:sz w:val="24"/>
          <w:szCs w:val="24"/>
          <w:lang w:val="en-GB"/>
        </w:rPr>
        <w:t xml:space="preserve">All patients involved in this study were previously informed in detail about the aims and procedures of the study. The study data were anonymised, in accordance with the ethical principles for medical research in humans proposed in the Declaration of Helsinki. The study protocol (No. 13/305) was approved by the Clinical Research Ethics Committee </w:t>
      </w:r>
      <w:r w:rsidR="004654AD" w:rsidRPr="00587393">
        <w:rPr>
          <w:rFonts w:ascii="Times New Roman" w:hAnsi="Times New Roman" w:cs="Times New Roman"/>
          <w:sz w:val="24"/>
          <w:szCs w:val="24"/>
          <w:lang w:val="en-GB"/>
        </w:rPr>
        <w:t xml:space="preserve">at </w:t>
      </w:r>
      <w:r w:rsidR="00860AB4" w:rsidRPr="00587393">
        <w:rPr>
          <w:rFonts w:ascii="Times New Roman" w:hAnsi="Times New Roman" w:cs="Times New Roman"/>
          <w:sz w:val="24"/>
          <w:szCs w:val="24"/>
          <w:lang w:val="en-GB"/>
        </w:rPr>
        <w:t>University Hospital.</w:t>
      </w:r>
      <w:r w:rsidR="00A73904" w:rsidRPr="00587393">
        <w:rPr>
          <w:rFonts w:ascii="Times New Roman" w:hAnsi="Times New Roman" w:cs="Times New Roman"/>
          <w:sz w:val="24"/>
          <w:szCs w:val="24"/>
          <w:lang w:val="en-GB"/>
        </w:rPr>
        <w:t xml:space="preserve"> </w:t>
      </w:r>
    </w:p>
    <w:p w14:paraId="30191A19" w14:textId="06991E2E" w:rsidR="00611777" w:rsidRPr="00587393" w:rsidRDefault="00BF0E4B"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b/>
          <w:sz w:val="24"/>
          <w:szCs w:val="24"/>
          <w:lang w:val="en-GB"/>
        </w:rPr>
        <w:t>2.</w:t>
      </w:r>
      <w:proofErr w:type="gramStart"/>
      <w:r w:rsidRPr="00587393">
        <w:rPr>
          <w:rFonts w:ascii="Times New Roman" w:hAnsi="Times New Roman" w:cs="Times New Roman"/>
          <w:b/>
          <w:sz w:val="24"/>
          <w:szCs w:val="24"/>
          <w:lang w:val="en-GB"/>
        </w:rPr>
        <w:t>2.</w:t>
      </w:r>
      <w:r w:rsidR="00611777" w:rsidRPr="00587393">
        <w:rPr>
          <w:rFonts w:ascii="Times New Roman" w:hAnsi="Times New Roman" w:cs="Times New Roman"/>
          <w:b/>
          <w:sz w:val="24"/>
          <w:szCs w:val="24"/>
          <w:lang w:val="en-GB"/>
        </w:rPr>
        <w:t>Design</w:t>
      </w:r>
      <w:proofErr w:type="gramEnd"/>
      <w:r w:rsidR="00611777" w:rsidRPr="00587393">
        <w:rPr>
          <w:rFonts w:ascii="Times New Roman" w:hAnsi="Times New Roman" w:cs="Times New Roman"/>
          <w:sz w:val="24"/>
          <w:szCs w:val="24"/>
          <w:lang w:val="en-GB" w:eastAsia="ar-SA"/>
        </w:rPr>
        <w:t xml:space="preserve">: </w:t>
      </w:r>
      <w:r w:rsidR="00A73904" w:rsidRPr="00587393">
        <w:rPr>
          <w:rFonts w:ascii="Times New Roman" w:hAnsi="Times New Roman" w:cs="Times New Roman"/>
          <w:sz w:val="24"/>
          <w:szCs w:val="24"/>
          <w:lang w:val="en-GB" w:eastAsia="ar-SA"/>
        </w:rPr>
        <w:t>Descriptive observational study.</w:t>
      </w:r>
    </w:p>
    <w:p w14:paraId="497BCAA4" w14:textId="424D3FB7" w:rsidR="00A73904" w:rsidRPr="00587393" w:rsidRDefault="00BF0E4B"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b/>
          <w:sz w:val="24"/>
          <w:szCs w:val="24"/>
          <w:lang w:val="en-GB"/>
        </w:rPr>
        <w:t>2.</w:t>
      </w:r>
      <w:proofErr w:type="gramStart"/>
      <w:r w:rsidRPr="00587393">
        <w:rPr>
          <w:rFonts w:ascii="Times New Roman" w:hAnsi="Times New Roman" w:cs="Times New Roman"/>
          <w:b/>
          <w:sz w:val="24"/>
          <w:szCs w:val="24"/>
          <w:lang w:val="en-GB"/>
        </w:rPr>
        <w:t>3.</w:t>
      </w:r>
      <w:r w:rsidR="00611777" w:rsidRPr="00587393">
        <w:rPr>
          <w:rFonts w:ascii="Times New Roman" w:hAnsi="Times New Roman" w:cs="Times New Roman"/>
          <w:b/>
          <w:sz w:val="24"/>
          <w:szCs w:val="24"/>
          <w:lang w:val="en-GB"/>
        </w:rPr>
        <w:t>Participants</w:t>
      </w:r>
      <w:proofErr w:type="gramEnd"/>
      <w:r w:rsidR="00611777" w:rsidRPr="00587393">
        <w:rPr>
          <w:rFonts w:ascii="Times New Roman" w:hAnsi="Times New Roman" w:cs="Times New Roman"/>
          <w:b/>
          <w:sz w:val="24"/>
          <w:szCs w:val="24"/>
          <w:lang w:val="en-GB"/>
        </w:rPr>
        <w:t>:</w:t>
      </w:r>
      <w:r w:rsidR="00611777" w:rsidRPr="00587393">
        <w:rPr>
          <w:rFonts w:ascii="Times New Roman" w:hAnsi="Times New Roman" w:cs="Times New Roman"/>
          <w:sz w:val="24"/>
          <w:szCs w:val="24"/>
          <w:lang w:val="en-GB"/>
        </w:rPr>
        <w:t xml:space="preserve"> </w:t>
      </w:r>
      <w:bookmarkStart w:id="3" w:name="_Hlk42109014"/>
      <w:r w:rsidR="00A73904" w:rsidRPr="00587393">
        <w:rPr>
          <w:rFonts w:ascii="Times New Roman" w:hAnsi="Times New Roman" w:cs="Times New Roman"/>
          <w:sz w:val="24"/>
          <w:szCs w:val="24"/>
          <w:lang w:val="en-GB"/>
        </w:rPr>
        <w:t>A convenie</w:t>
      </w:r>
      <w:r w:rsidR="00804EAF" w:rsidRPr="00587393">
        <w:rPr>
          <w:rFonts w:ascii="Times New Roman" w:hAnsi="Times New Roman" w:cs="Times New Roman"/>
          <w:sz w:val="24"/>
          <w:szCs w:val="24"/>
          <w:lang w:val="en-GB"/>
        </w:rPr>
        <w:t>nce sample was obtained from 111</w:t>
      </w:r>
      <w:r w:rsidR="00A73904" w:rsidRPr="00587393">
        <w:rPr>
          <w:rFonts w:ascii="Times New Roman" w:hAnsi="Times New Roman" w:cs="Times New Roman"/>
          <w:sz w:val="24"/>
          <w:szCs w:val="24"/>
          <w:lang w:val="en-GB"/>
        </w:rPr>
        <w:t xml:space="preserve"> patients diagnosed with </w:t>
      </w:r>
      <w:r w:rsidR="004654AD" w:rsidRPr="00587393">
        <w:rPr>
          <w:rFonts w:ascii="Times New Roman" w:hAnsi="Times New Roman" w:cs="Times New Roman"/>
          <w:sz w:val="24"/>
          <w:szCs w:val="24"/>
          <w:lang w:val="en-GB"/>
        </w:rPr>
        <w:t xml:space="preserve">DM </w:t>
      </w:r>
      <w:bookmarkEnd w:id="3"/>
      <w:r w:rsidR="00A73904" w:rsidRPr="00587393">
        <w:rPr>
          <w:rFonts w:ascii="Times New Roman" w:hAnsi="Times New Roman" w:cs="Times New Roman"/>
          <w:sz w:val="24"/>
          <w:szCs w:val="24"/>
          <w:lang w:val="en-GB"/>
        </w:rPr>
        <w:t>type 1 or 2</w:t>
      </w:r>
      <w:r w:rsidR="00A82B30" w:rsidRPr="00587393">
        <w:rPr>
          <w:rFonts w:ascii="Times New Roman" w:hAnsi="Times New Roman" w:cs="Times New Roman"/>
          <w:sz w:val="24"/>
          <w:szCs w:val="24"/>
          <w:lang w:val="en-GB"/>
        </w:rPr>
        <w:t xml:space="preserve"> </w:t>
      </w:r>
      <w:r w:rsidR="00A82B30" w:rsidRPr="00AC6D29">
        <w:rPr>
          <w:rFonts w:ascii="Times New Roman" w:hAnsi="Times New Roman" w:cs="Times New Roman"/>
          <w:color w:val="FF0000"/>
          <w:sz w:val="24"/>
          <w:szCs w:val="24"/>
          <w:lang w:val="en-GB"/>
        </w:rPr>
        <w:t>in Hospital of San Juan, Alicante, Spain</w:t>
      </w:r>
      <w:r w:rsidR="00A73904" w:rsidRPr="00AC6D29">
        <w:rPr>
          <w:rFonts w:ascii="Times New Roman" w:hAnsi="Times New Roman" w:cs="Times New Roman"/>
          <w:color w:val="FF0000"/>
          <w:sz w:val="24"/>
          <w:szCs w:val="24"/>
          <w:lang w:val="en-GB"/>
        </w:rPr>
        <w:t xml:space="preserve">. </w:t>
      </w:r>
      <w:r w:rsidR="00A73904" w:rsidRPr="00587393">
        <w:rPr>
          <w:rFonts w:ascii="Times New Roman" w:hAnsi="Times New Roman" w:cs="Times New Roman"/>
          <w:sz w:val="24"/>
          <w:szCs w:val="24"/>
          <w:lang w:val="en-GB"/>
        </w:rPr>
        <w:t xml:space="preserve">All participants were aged at least 18 years, had a history of DM of at least five years and presented no ulcerative lesions on the foot. Patients diagnosed with systemic neurological disease, or who had previously suffered a stroke with sequelae in the lower limbs or who had undergone major amputation in either foot were excluded. The sampling was consecutive, from the patients who attended the </w:t>
      </w:r>
      <w:r w:rsidR="004654AD" w:rsidRPr="00587393">
        <w:rPr>
          <w:rFonts w:ascii="Times New Roman" w:hAnsi="Times New Roman" w:cs="Times New Roman"/>
          <w:sz w:val="24"/>
          <w:szCs w:val="24"/>
          <w:lang w:val="en-GB"/>
        </w:rPr>
        <w:t>e</w:t>
      </w:r>
      <w:r w:rsidR="00A73904" w:rsidRPr="00587393">
        <w:rPr>
          <w:rFonts w:ascii="Times New Roman" w:hAnsi="Times New Roman" w:cs="Times New Roman"/>
          <w:sz w:val="24"/>
          <w:szCs w:val="24"/>
          <w:lang w:val="en-GB"/>
        </w:rPr>
        <w:t>ndocrinology consultation at the Hospital and who met the above criteria for inclusion.</w:t>
      </w:r>
    </w:p>
    <w:p w14:paraId="7720FB75" w14:textId="016C537E" w:rsidR="00A73904" w:rsidRPr="00587393" w:rsidRDefault="00A73904"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Data on sociodemographic variables were obtained from a clinical interview with each patient. Comorbidity was determined by recording the presence of DM-related complications and of risk factors such as smoking habit and lack of physical activity. The level of metabolic control was ascertained according to the last analysis performed during </w:t>
      </w:r>
      <w:r w:rsidRPr="00587393">
        <w:rPr>
          <w:rFonts w:ascii="Times New Roman" w:hAnsi="Times New Roman" w:cs="Times New Roman"/>
          <w:sz w:val="24"/>
          <w:szCs w:val="24"/>
          <w:lang w:val="en-GB" w:eastAsia="ar-SA"/>
        </w:rPr>
        <w:lastRenderedPageBreak/>
        <w:t>the six months prior to the patient</w:t>
      </w:r>
      <w:r w:rsidR="00FE5C33" w:rsidRPr="00587393">
        <w:rPr>
          <w:rFonts w:ascii="Times New Roman" w:hAnsi="Times New Roman" w:cs="Times New Roman"/>
          <w:sz w:val="24"/>
          <w:szCs w:val="24"/>
          <w:lang w:val="en-GB" w:eastAsia="ar-SA"/>
        </w:rPr>
        <w:t>’</w:t>
      </w:r>
      <w:r w:rsidRPr="00587393">
        <w:rPr>
          <w:rFonts w:ascii="Times New Roman" w:hAnsi="Times New Roman" w:cs="Times New Roman"/>
          <w:sz w:val="24"/>
          <w:szCs w:val="24"/>
          <w:lang w:val="en-GB" w:eastAsia="ar-SA"/>
        </w:rPr>
        <w:t xml:space="preserve">s inclusion in the study, </w:t>
      </w:r>
      <w:proofErr w:type="gramStart"/>
      <w:r w:rsidRPr="00587393">
        <w:rPr>
          <w:rFonts w:ascii="Times New Roman" w:hAnsi="Times New Roman" w:cs="Times New Roman"/>
          <w:sz w:val="24"/>
          <w:szCs w:val="24"/>
          <w:lang w:val="en-GB" w:eastAsia="ar-SA"/>
        </w:rPr>
        <w:t>taking into account</w:t>
      </w:r>
      <w:proofErr w:type="gramEnd"/>
      <w:r w:rsidRPr="00587393">
        <w:rPr>
          <w:rFonts w:ascii="Times New Roman" w:hAnsi="Times New Roman" w:cs="Times New Roman"/>
          <w:sz w:val="24"/>
          <w:szCs w:val="24"/>
          <w:lang w:val="en-GB" w:eastAsia="ar-SA"/>
        </w:rPr>
        <w:t xml:space="preserve"> the following parameters: glycaemia, glycated haemoglobin (HbA1c), triglycerides, total cholesterol, HDL cholesterol, LDL cholesterol, creatinine and glomerular filtration.</w:t>
      </w:r>
    </w:p>
    <w:p w14:paraId="054E1175" w14:textId="17EF13E7" w:rsidR="00C742AF" w:rsidRPr="00587393" w:rsidRDefault="00BF0E4B"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b/>
          <w:sz w:val="24"/>
          <w:szCs w:val="24"/>
          <w:lang w:val="en-GB" w:eastAsia="ar-SA"/>
        </w:rPr>
        <w:t>2.</w:t>
      </w:r>
      <w:proofErr w:type="gramStart"/>
      <w:r w:rsidRPr="00587393">
        <w:rPr>
          <w:rFonts w:ascii="Times New Roman" w:hAnsi="Times New Roman" w:cs="Times New Roman"/>
          <w:b/>
          <w:sz w:val="24"/>
          <w:szCs w:val="24"/>
          <w:lang w:val="en-GB" w:eastAsia="ar-SA"/>
        </w:rPr>
        <w:t>4.</w:t>
      </w:r>
      <w:r w:rsidR="00413EEA" w:rsidRPr="00587393">
        <w:rPr>
          <w:rFonts w:ascii="Times New Roman" w:hAnsi="Times New Roman" w:cs="Times New Roman"/>
          <w:b/>
          <w:sz w:val="24"/>
          <w:szCs w:val="24"/>
          <w:lang w:val="en-GB" w:eastAsia="ar-SA"/>
        </w:rPr>
        <w:t>Procedure</w:t>
      </w:r>
      <w:proofErr w:type="gramEnd"/>
      <w:r w:rsidR="00611777" w:rsidRPr="00587393">
        <w:rPr>
          <w:rFonts w:ascii="Times New Roman" w:hAnsi="Times New Roman" w:cs="Times New Roman"/>
          <w:b/>
          <w:sz w:val="24"/>
          <w:szCs w:val="24"/>
          <w:lang w:val="en-GB" w:eastAsia="ar-SA"/>
        </w:rPr>
        <w:t>:</w:t>
      </w:r>
      <w:r w:rsidR="001E3489" w:rsidRPr="00587393">
        <w:rPr>
          <w:rFonts w:ascii="Times New Roman" w:hAnsi="Times New Roman" w:cs="Times New Roman"/>
          <w:sz w:val="24"/>
          <w:szCs w:val="24"/>
          <w:lang w:val="en-GB" w:eastAsia="ar-SA"/>
        </w:rPr>
        <w:t xml:space="preserve"> </w:t>
      </w:r>
      <w:r w:rsidR="00C742AF" w:rsidRPr="00587393">
        <w:rPr>
          <w:rFonts w:ascii="Times New Roman" w:hAnsi="Times New Roman" w:cs="Times New Roman"/>
          <w:sz w:val="24"/>
          <w:szCs w:val="24"/>
          <w:lang w:val="en-GB" w:eastAsia="ar-SA"/>
        </w:rPr>
        <w:t>Having obtained the patient</w:t>
      </w:r>
      <w:r w:rsidR="00FE5C33" w:rsidRPr="00587393">
        <w:rPr>
          <w:rFonts w:ascii="Times New Roman" w:hAnsi="Times New Roman" w:cs="Times New Roman"/>
          <w:sz w:val="24"/>
          <w:szCs w:val="24"/>
          <w:lang w:val="en-GB" w:eastAsia="ar-SA"/>
        </w:rPr>
        <w:t>’</w:t>
      </w:r>
      <w:r w:rsidR="00C742AF" w:rsidRPr="00587393">
        <w:rPr>
          <w:rFonts w:ascii="Times New Roman" w:hAnsi="Times New Roman" w:cs="Times New Roman"/>
          <w:sz w:val="24"/>
          <w:szCs w:val="24"/>
          <w:lang w:val="en-GB" w:eastAsia="ar-SA"/>
        </w:rPr>
        <w:t>s medical history, a general examination was then conducted, as follows. The patient was weighed, barefoot, on a Tanita TBF 300 body composition analyser, and his/her height was measured using a Harpenden stadiometer (</w:t>
      </w:r>
      <w:proofErr w:type="spellStart"/>
      <w:r w:rsidR="00C742AF" w:rsidRPr="00587393">
        <w:rPr>
          <w:rFonts w:ascii="Times New Roman" w:hAnsi="Times New Roman" w:cs="Times New Roman"/>
          <w:sz w:val="24"/>
          <w:szCs w:val="24"/>
          <w:lang w:val="en-GB" w:eastAsia="ar-SA"/>
        </w:rPr>
        <w:t>Holtain</w:t>
      </w:r>
      <w:proofErr w:type="spellEnd"/>
      <w:r w:rsidR="00C742AF" w:rsidRPr="00587393">
        <w:rPr>
          <w:rFonts w:ascii="Times New Roman" w:hAnsi="Times New Roman" w:cs="Times New Roman"/>
          <w:sz w:val="24"/>
          <w:szCs w:val="24"/>
          <w:lang w:val="en-GB" w:eastAsia="ar-SA"/>
        </w:rPr>
        <w:t xml:space="preserve"> Limited). The body mass index was calculated from the weight and height data thus obtained. Vascular condition was assessed by palpation of the posterior tibial and pedal pulses. The ankle-brachial pressure index (ABPI) was calculated as the arterial pressure of the </w:t>
      </w:r>
      <w:r w:rsidR="00C44E49" w:rsidRPr="00587393">
        <w:rPr>
          <w:rFonts w:ascii="Times New Roman" w:hAnsi="Times New Roman" w:cs="Times New Roman"/>
          <w:sz w:val="24"/>
          <w:szCs w:val="24"/>
          <w:lang w:val="en-GB" w:eastAsia="ar-SA"/>
        </w:rPr>
        <w:t>ankle</w:t>
      </w:r>
      <w:r w:rsidR="00C742AF" w:rsidRPr="00587393">
        <w:rPr>
          <w:rFonts w:ascii="Times New Roman" w:hAnsi="Times New Roman" w:cs="Times New Roman"/>
          <w:sz w:val="24"/>
          <w:szCs w:val="24"/>
          <w:lang w:val="en-GB" w:eastAsia="ar-SA"/>
        </w:rPr>
        <w:t xml:space="preserve"> divided by that of the </w:t>
      </w:r>
      <w:r w:rsidR="00C44E49" w:rsidRPr="00587393">
        <w:rPr>
          <w:rFonts w:ascii="Times New Roman" w:hAnsi="Times New Roman" w:cs="Times New Roman"/>
          <w:sz w:val="24"/>
          <w:szCs w:val="24"/>
          <w:lang w:val="en-GB" w:eastAsia="ar-SA"/>
        </w:rPr>
        <w:t>arm</w:t>
      </w:r>
      <w:r w:rsidR="00C742AF" w:rsidRPr="00587393">
        <w:rPr>
          <w:rFonts w:ascii="Times New Roman" w:hAnsi="Times New Roman" w:cs="Times New Roman"/>
          <w:sz w:val="24"/>
          <w:szCs w:val="24"/>
          <w:lang w:val="en-GB" w:eastAsia="ar-SA"/>
        </w:rPr>
        <w:t xml:space="preserve">, </w:t>
      </w:r>
      <w:r w:rsidR="00B428DB" w:rsidRPr="00587393">
        <w:rPr>
          <w:rFonts w:ascii="Times New Roman" w:hAnsi="Times New Roman" w:cs="Times New Roman"/>
          <w:sz w:val="24"/>
          <w:szCs w:val="24"/>
          <w:lang w:val="en-GB" w:eastAsia="ar-SA"/>
        </w:rPr>
        <w:t xml:space="preserve">these parameters being </w:t>
      </w:r>
      <w:r w:rsidR="00C742AF" w:rsidRPr="00587393">
        <w:rPr>
          <w:rFonts w:ascii="Times New Roman" w:hAnsi="Times New Roman" w:cs="Times New Roman"/>
          <w:sz w:val="24"/>
          <w:szCs w:val="24"/>
          <w:lang w:val="en-GB" w:eastAsia="ar-SA"/>
        </w:rPr>
        <w:t xml:space="preserve">determined by means of a bi-directional </w:t>
      </w:r>
      <w:proofErr w:type="spellStart"/>
      <w:r w:rsidR="00C742AF" w:rsidRPr="00587393">
        <w:rPr>
          <w:rFonts w:ascii="Times New Roman" w:hAnsi="Times New Roman" w:cs="Times New Roman"/>
          <w:sz w:val="24"/>
          <w:szCs w:val="24"/>
          <w:lang w:val="en-GB" w:eastAsia="ar-SA"/>
        </w:rPr>
        <w:t>Smartdop</w:t>
      </w:r>
      <w:proofErr w:type="spellEnd"/>
      <w:r w:rsidR="00C742AF" w:rsidRPr="00587393">
        <w:rPr>
          <w:rFonts w:ascii="Times New Roman" w:hAnsi="Times New Roman" w:cs="Times New Roman"/>
          <w:sz w:val="24"/>
          <w:szCs w:val="24"/>
          <w:lang w:val="en-GB" w:eastAsia="ar-SA"/>
        </w:rPr>
        <w:t xml:space="preserve"> 45 </w:t>
      </w:r>
      <w:proofErr w:type="spellStart"/>
      <w:r w:rsidR="00C742AF" w:rsidRPr="00587393">
        <w:rPr>
          <w:rFonts w:ascii="Times New Roman" w:hAnsi="Times New Roman" w:cs="Times New Roman"/>
          <w:sz w:val="24"/>
          <w:szCs w:val="24"/>
          <w:lang w:val="en-GB" w:eastAsia="ar-SA"/>
        </w:rPr>
        <w:t>Hadeco</w:t>
      </w:r>
      <w:proofErr w:type="spellEnd"/>
      <w:r w:rsidR="00C742AF" w:rsidRPr="00587393">
        <w:rPr>
          <w:rFonts w:ascii="Times New Roman" w:hAnsi="Times New Roman" w:cs="Times New Roman"/>
          <w:sz w:val="24"/>
          <w:szCs w:val="24"/>
          <w:lang w:val="en-GB" w:eastAsia="ar-SA"/>
        </w:rPr>
        <w:t xml:space="preserve">® doppler probe. The ABI is considered pathological for values &lt;0.9 or </w:t>
      </w:r>
      <w:r w:rsidR="00C44E49" w:rsidRPr="00587393">
        <w:rPr>
          <w:rFonts w:ascii="Times New Roman" w:hAnsi="Times New Roman" w:cs="Times New Roman"/>
          <w:sz w:val="24"/>
          <w:szCs w:val="24"/>
          <w:lang w:val="en-GB" w:eastAsia="ar-SA"/>
        </w:rPr>
        <w:t>≥</w:t>
      </w:r>
      <w:r w:rsidR="00C742AF" w:rsidRPr="00587393">
        <w:rPr>
          <w:rFonts w:ascii="Times New Roman" w:hAnsi="Times New Roman" w:cs="Times New Roman"/>
          <w:sz w:val="24"/>
          <w:szCs w:val="24"/>
          <w:lang w:val="en-GB" w:eastAsia="ar-SA"/>
        </w:rPr>
        <w:t xml:space="preserve">1.3 </w:t>
      </w:r>
      <w:r w:rsidR="00F6515A"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{"citationItems":[{"id":"ITEM-1","itemData":{"DOI":"10.3109/07853890903521070","ISSN":"13652060","abstract":"Atherosclerotic peripheral arterial disease (PAD) is highly prevalent in the elderly and subjects with atherosclerotic risk factors such as smoking, diabetes mellitus, hypertension, and hyperlipidemia. Importantly, PAD is rarely an isolated condition, but rather a manifestation of systemic atherosclerosis. Hence, there is often coexisting disease in the coronary and cerebral arteries and, consequently, an increased risk of myocardial infarction and stroke. Intermittent claudication is the classic symptom of PAD, yet up to 50% of patients are asymptomatic. Despite the availability of reliable, non-invasive screening tests, PAD is largely underdiagnosed and undertreated, mostly due to the paucity of symptoms and underutilization of screening tools. The ankle-brachial index (ABI), a simple, rapid, and inexpensive diagnostic tool, holds much prognostic value for PAD diagnosis and is ideal for implementation in the primary care physician's office. The early detection of PAD with ABI screening and subsequent medical management represents a critical opportunity to prevent considerable vascular morbidity and mortality. The management of PAD must address claudication symptoms (with cilostazol or pentoxifylline, or in severe cases endovascular or surgical revascularization) and modifiable atherosclerotic risk factors (with an aggressive global risk-reduction regimen involving lifestyle modifications, exercise, smoking cessation, and antiplatelet, lipid-lowering, and antihypertensive therapy). © 2010 Informa UK Ltd.","author":[{"dropping-particle":"","family":"Ferreira","given":"Alexandre C.","non-dropping-particle":"","parse-names":false,"suffix":""},{"dropping-particle":"","family":"MacEdo","given":"Francisco Yturi Bulcão","non-dropping-particle":"","parse-names":false,"suffix":""}],"container-title":"Annals of Medicine","id":"ITEM-1","issued":{"date-parts":[["2010"]]},"page":"139-150","title":"A review of simple, non-invasive means of assessing peripheral arterial disease and implications for medical management","type":"article"},"uris":["http://www.mendeley.com/documents/?uuid=e6b38be9-9ece-4a48-80e6-1311ff4b174e"]},{"id":"ITEM-2","itemData":{"DOI":"10.1016/j.arteri.2011.03.006","ISSN":"02149168","author":[{"dropping-particle":"","family":"Vallejo","given":"Olga García","non-dropping-particle":"","parse-names":false,"suffix":""}],"container-title":"Clinica e Investigacion en Arteriosclerosis","id":"ITEM-2","issued":{"date-parts":[["2011"]]},"page":"29","title":"Utilidad del índice tobillo-brazo para el diagnostico de la enfermedad arterial periférica","type":"article-journal","volume":"23(1)"},"uris":["http://www.mendeley.com/documents/?uuid=fd9250d9-1cce-4f9b-8563-704e9bd31311"]},{"id":"ITEM-3","itemData":{"author":[{"dropping-particle":"","family":"Kabul HK, Aydogdu A","given":"Tasci I.","non-dropping-particle":"","parse-names":false,"suffix":""}],"id":"ITEM-3","issued":{"date-parts":[["2012"]]},"number-of-pages":"691-92","title":"Calculation Methods of Ankle Brachial Index and Correct Diagnosis of Peripheral Arterial Disease","type":"report"},"uris":["http://www.mendeley.com/documents/?uuid=d6d9657f-1728-3d37-9e43-0343514a9a5f"]},{"id":"ITEM-4","itemData":{"DOI":"10.1016/j.enfcli.2012.06.001","ISSN":"1579-2013","abstract":"Peripheral arterial disease (PAD) is one of the systemic manifestations of atherothrombosis. The subjects with atherosclerosis in a particular vascular bed are at increased risk of cardiovascular and cerebrovascular complications. The diagnostic methods currently available in Primary Care (PC) for the diagnosis of PAD are pedal pulse palpation, oscillometry and Doppler. We designed a descriptive study to determine the prevalence of PAD in diabetic patients by calculating their ankle-brachial index (ABI) using portable Doppler HADECO SMARTDOP 30EX and OMRON automatic blood pressure by two previously trained investigators-examiners, a doctor and a nurse. It was also intended to compare the results obtained with both diagnostic methods and learn the predictive value of a vascular event with an abnormal ABI. The prevalences of PAD measured with portable Doppler and automatic sphygmomanometer were 29.3 (95% CI; 23.3 to 35.8) and 15.3 (95% CI; 10.2 to 20.5), respectively. The intraclass correlation coefficient (ICC) showed an acceptable match of results obtained with the ABI automatic blood pressure compared to Doppler technique. We found in our study that the history variables of PAD, age, duration of diabetes, and sex showed statistical significance with PAD. The correlation coefficients of both ABI measurement with the existence of a cardiovascular event proved to be significant for patients with levels below 0.9 with a chi-squared P&lt;.05. Early detection of PAD in the clinic enables preventive strategies to be established and to intensify the treatment in these cases.","author":[{"dropping-particle":"","family":"Novo-García","given":"Carmen","non-dropping-particle":"","parse-names":false,"suffix":""},{"dropping-particle":"","family":"Ciria-Uriel","given":"Javier","non-dropping-particle":"","parse-names":false,"suffix":""},{"dropping-particle":"","family":"Novo-García","given":"Enrique","non-dropping-particle":"","parse-names":false,"suffix":""},{"dropping-particle":"","family":"Niño-de Mateo","given":"Mercedes","non-dropping-particle":"","parse-names":false,"suffix":""}],"container-title":"Enfermeria Clinica","id":"ITEM-4","issued":{"date-parts":[["2012"]]},"page":"198-204","title":"Determination of ankle-brachial index using a portable doppler and a blood pressure measuring device in diabetic patients","type":"article-journal","volume":"22(4)"},"uris":["http://www.mendeley.com/documents/?uuid=c70743d7-67a1-4974-84da-a98ad5bb5eb7"]},{"id":"ITEM-5","itemData":{"DOI":"10.1016/j.recesp.2011.11.007","ISSN":"03008932","author":[{"dropping-particle":"","family":"Tendera","given":"Michel","non-dropping-particle":"","parse-names":false,"suffix":""},{"dropping-particle":"","family":"Aboyans","given":"Victor","non-dropping-particle":"","parse-names":false,"suffix":""},{"dropping-particle":"","family":"Bartelink","given":"Marie Louise","non-dropping-particle":"","parse-names":false,"suffix":""},{"dropping-particle":"","family":"Baumgartner","given":"Iris","non-dropping-particle":"","parse-names":false,"suffix":""},{"dropping-particle":"","family":"Clément","given":"Denis","non-dropping-particle":"","parse-names":false,"suffix":""},{"dropping-particle":"","family":"Collet","given":"Jean Philippe","non-dropping-particle":"","parse-names":false,"suffix":""},{"dropping-particle":"","family":"Cremonesi","given":"Alberto","non-dropping-particle":"","parse-names":false,"suffix":""},{"dropping-particle":"","family":"Carlo","given":"Marco","non-dropping-particle":"De","parse-names":false,"suffix":""},{"dropping-particle":"","family":"Erbel","given":"Raimund","non-dropping-particle":"","parse-names":false,"suffix":""},{"dropping-particle":"","family":"Fowkes","given":"F. Gerry R.","non-dropping-particle":"","parse-names":false,"suffix":""},{"dropping-particle":"","family":"Heras","given":"Magda","non-dropping-particle":"","parse-names":false,"suffix":""},{"dropping-particle":"","family":"Kownator","given":"Serge","non-dropping-particle":"","parse-names":false,"suffix":""},{"dropping-particle":"","family":"Minar","given":"Erich","non-dropping-particle":"","parse-names":false,"suffix":""},{"dropping-particle":"","family":"Ostergren","given":"Jan","non-dropping-particle":"","parse-names":false,"suffix":""},{"dropping-particle":"","family":"Poldermans","given":"Don","non-dropping-particle":"","parse-names":false,"suffix":""},{"dropping-particle":"","family":"Riambau","given":"Vincent","non-dropping-particle":"","parse-names":false,"suffix":""},{"dropping-particle":"","family":"Roffi","given":"Marco","non-dropping-particle":"","parse-names":false,"suffix":""},{"dropping-particle":"","family":"Röther","given":"Joachim","non-dropping-particle":"","parse-names":false,"suffix":""},{"dropping-particle":"","family":"Sievert","given":"Horst","non-dropping-particle":"","parse-names":false,"suffix":""},{"dropping-particle":"","family":"Sambeek","given":"Marc","non-dropping-particle":"Van","parse-names":false,"suffix":""},{"dropping-particle":"","family":"Zeller","given":"Thomas","non-dropping-particle":"","parse-names":false,"suffix":""}],"container-title":"Revista Espanola de Cardiologia","id":"ITEM-5","issued":{"date-parts":[["2012"]]},"page":"172","title":"Guía de práctica clíníca de la ESC sobre diagnóstico y tratamiento de las enfermedades arteriales periféricas","type":"article-journal","volume":"65(2)"},"uris":["http://www.mendeley.com/documents/?uuid=eb7a9051-aefc-4ed5-bbe1-ea94aeed078f"]}],"mendeley":{"formattedCitation":"[19–23]","plainTextFormattedCitation":"[19–23]","previouslyFormattedCitation":"[19–23]"},"properties":{"noteIndex":0},"schema":"https://github.com/citation-style-language/schema/raw/master/csl-citation.json"}</w:instrText>
      </w:r>
      <w:r w:rsidR="00F6515A"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[19–23]</w:t>
      </w:r>
      <w:r w:rsidR="00F6515A" w:rsidRPr="00587393">
        <w:rPr>
          <w:rFonts w:ascii="Times New Roman" w:hAnsi="Times New Roman" w:cs="Times New Roman"/>
          <w:sz w:val="24"/>
          <w:szCs w:val="24"/>
          <w:lang w:val="en-GB" w:eastAsia="ar-SA"/>
        </w:rPr>
        <w:fldChar w:fldCharType="end"/>
      </w:r>
      <w:r w:rsidR="00C742AF" w:rsidRPr="00587393">
        <w:rPr>
          <w:rFonts w:ascii="Times New Roman" w:hAnsi="Times New Roman" w:cs="Times New Roman"/>
          <w:sz w:val="24"/>
          <w:szCs w:val="24"/>
          <w:lang w:val="en-GB" w:eastAsia="ar-SA"/>
        </w:rPr>
        <w:t>.</w:t>
      </w:r>
    </w:p>
    <w:p w14:paraId="7D8AA43C" w14:textId="25B5C3F4" w:rsidR="00B428DB" w:rsidRPr="00587393" w:rsidRDefault="00B428DB"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 xml:space="preserve">The patient was examined for sensory neuropathy in accordance with </w:t>
      </w:r>
      <w:r w:rsidR="004654AD" w:rsidRPr="00587393">
        <w:rPr>
          <w:rFonts w:ascii="Times New Roman" w:hAnsi="Times New Roman" w:cs="Times New Roman"/>
          <w:sz w:val="24"/>
          <w:szCs w:val="24"/>
          <w:lang w:val="en-GB"/>
        </w:rPr>
        <w:t xml:space="preserve">the </w:t>
      </w:r>
      <w:r w:rsidRPr="00587393">
        <w:rPr>
          <w:rFonts w:ascii="Times New Roman" w:hAnsi="Times New Roman" w:cs="Times New Roman"/>
          <w:sz w:val="24"/>
          <w:szCs w:val="24"/>
          <w:lang w:val="en-GB"/>
        </w:rPr>
        <w:t>recommendations</w:t>
      </w:r>
      <w:r w:rsidR="004654AD" w:rsidRPr="00587393">
        <w:rPr>
          <w:rFonts w:ascii="Times New Roman" w:hAnsi="Times New Roman" w:cs="Times New Roman"/>
          <w:sz w:val="24"/>
          <w:szCs w:val="24"/>
          <w:lang w:val="en-GB"/>
        </w:rPr>
        <w:t xml:space="preserve"> of the American Diabetes Association</w:t>
      </w:r>
      <w:r w:rsidRPr="00587393">
        <w:rPr>
          <w:rFonts w:ascii="Times New Roman" w:hAnsi="Times New Roman" w:cs="Times New Roman"/>
          <w:sz w:val="24"/>
          <w:szCs w:val="24"/>
          <w:lang w:val="en-GB"/>
        </w:rPr>
        <w:t xml:space="preserve">, using a 128 Hz tuning fork to evaluate vibratory sensitivity and a Semmens-Weinstein 10 gr monofilament to determine sensitivity to pressure </w:t>
      </w:r>
      <w:r w:rsidR="00F6515A"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{"citationItems":[{"id":"ITEM-1","itemData":{"DOI":"10.2337/dc08-9021","ISSN":"01495992","author":[{"dropping-particle":"","family":"Boulton","given":"Andrew J.M.","non-dropping-particle":"","parse-names":false,"suffix":""},{"dropping-particle":"","family":"Armstrong","given":"David G.","non-dropping-particle":"","parse-names":false,"suffix":""},{"dropping-particle":"","family":"Albert","given":"Stephen F.","non-dropping-particle":"","parse-names":false,"suffix":""},{"dropping-particle":"","family":"Frykberg","given":"Robert G.","non-dropping-particle":"","parse-names":false,"suffix":""},{"dropping-particle":"","family":"Hellman","given":"Richard","non-dropping-particle":"","parse-names":false,"suffix":""},{"dropping-particle":"","family":"Kirkman","given":"M. Sue","non-dropping-particle":"","parse-names":false,"suffix":""},{"dropping-particle":"","family":"Lavery","given":"Lawrence A.","non-dropping-particle":"","parse-names":false,"suffix":""},{"dropping-particle":"","family":"Lemaster","given":"Joseph W.","non-dropping-particle":"","parse-names":false,"suffix":""},{"dropping-particle":"","family":"Mills","given":"Joseph L.","non-dropping-particle":"","parse-names":false,"suffix":""},{"dropping-particle":"","family":"Mueller","given":"Michael J.","non-dropping-particle":"","parse-names":false,"suffix":""},{"dropping-particle":"","family":"Sheehan","given":"Peter","non-dropping-particle":"","parse-names":false,"suffix":""},{"dropping-particle":"","family":"Wukich","given":"Dane K.","non-dropping-particle":"","parse-names":false,"suffix":""}],"container-title":"Diabetes Care","id":"ITEM-1","issued":{"date-parts":[["2008"]]},"page":"576-583","title":"Comprehensive foot examination and risk assessment","type":"article-journal","volume":"14(5)"},"uris":["http://www.mendeley.com/documents/?uuid=04c2a1aa-138c-4ecb-8c65-ea03117f0d4b"]}],"mendeley":{"formattedCitation":"[24]","plainTextFormattedCitation":"[24]","previouslyFormattedCitation":"[24]"},"properties":{"noteIndex":0},"schema":"https://github.com/citation-style-language/schema/raw/master/csl-citation.json"}</w:instrText>
      </w:r>
      <w:r w:rsidR="00F6515A"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[24]</w:t>
      </w:r>
      <w:r w:rsidR="00F6515A" w:rsidRPr="00587393">
        <w:rPr>
          <w:rFonts w:ascii="Times New Roman" w:hAnsi="Times New Roman" w:cs="Times New Roman"/>
          <w:sz w:val="24"/>
          <w:szCs w:val="24"/>
          <w:lang w:val="en-GB"/>
        </w:rPr>
        <w:fldChar w:fldCharType="end"/>
      </w:r>
      <w:r w:rsidR="00F6515A" w:rsidRPr="00587393">
        <w:rPr>
          <w:rFonts w:ascii="Times New Roman" w:hAnsi="Times New Roman" w:cs="Times New Roman"/>
          <w:sz w:val="24"/>
          <w:szCs w:val="24"/>
          <w:lang w:val="en-GB"/>
        </w:rPr>
        <w:t>,</w:t>
      </w:r>
      <w:r w:rsidR="00F6515A"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{"citationItems":[{"id":"ITEM-1","itemData":{"DOI":"10.2337/dc17-S013","ISSN":"19355548","abstract":"Screening At least once a year, assess urinary albumin (e.g., spot urinary albumin-to- creatinine ratio) and estimated glomerular filtration rate in patients with type 1 diabetes with duration of$5 years, in all patients with type 2 diabetes, and in all patients with comorbid hypertension. B Treatment Optimize glucose control to reduce the risk or slow the progression of diabetic kidney disease. A Optimize blood pressure control to reduce the risk or slow the progression of diabetic kidney disease. A For people with nondialysis-dependent diabetic kidney disease, dietary protein intake should be approximately 0.8 g/kg body weight per day (the recommended daily allowance). For patients on dialysis, higher levels of dietary protein intake should be considered. B In nonpregnant patients with diabetes and hypertension, either an ACE inhibitor or an angiotensin receptor blocker is recommended for those with modestly elevated urinary albumin-to-creatinine ratio (30-299 mg/g creatinine) B and is strongly recommended for those with urinary albumin- to-creatinine ratio$300 mg/g creatinine and/or estimated glomerular filtration rate &lt;60 mL/min/1.73 m2. A Periodically monitor serum creatinine and potassium levels for the development of increased creatinine or changes in potassium when ACE inhibitors, angiotensin receptor blockers, or diuretics are used. E Continued monitoring of urinary albumin-to-creatinine ratio in patients with albuminuria treatedwith an ACE inhibitor or an angiotensin receptor blocker is reasonable to assess the response to treatment and progression of diabetic kidney disease. E An ACE inhibitor or an angiotensin receptor blocker is not recommended for the primary prevention of diabetic kidney disease in patients with diabetes who have normal blood pressure, normal urinary albumin-to-creatinine ratio (&lt;30 mg/g creatinine), and normal estimated glomerular filtration rate. B When estimated glomerular filtration rate is &lt;60 mL/min/1.73 m2, evaluate and manage potential complications of chronic kidney disease. E Patients should be referred for evaluation for renal replacement treatment if they have an estimated glomerular filtration rate &lt;30 mL/min/1.73 m2. A Promptly refer to a physician experienced in the care of kidney disease for uncertainty about the etiology of kidney disease, difficult management issues, and rapidly progressing kidney disease. B.","author":[{"dropping-particle":"","family":"Association","given":"American Diabetes","non-dropping-particle":"","parse-names":false,"suffix":""}],"container-title":"Diabetes Care","id":"ITEM-1","issued":{"date-parts":[["2017"]]},"title":"Microvascular complications and foot care","type":"article-journal"},"uris":["http://www.mendeley.com/documents/?uuid=7d000703-743d-4879-9f09-1fb9af1a7f3c"]}],"mendeley":{"formattedCitation":"[25]","plainTextFormattedCitation":"[25]","previouslyFormattedCitation":"[25]"},"properties":{"noteIndex":0},"schema":"https://github.com/citation-style-language/schema/raw/master/csl-citation.json"}</w:instrText>
      </w:r>
      <w:r w:rsidR="00F6515A"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[25]</w:t>
      </w:r>
      <w:r w:rsidR="00F6515A"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The monofilament was used to explore four areas of the foot: the first, third and fifth </w:t>
      </w:r>
      <w:r w:rsidR="00340E44" w:rsidRPr="00587393">
        <w:rPr>
          <w:rFonts w:ascii="Times New Roman" w:hAnsi="Times New Roman" w:cs="Times New Roman"/>
          <w:sz w:val="24"/>
          <w:szCs w:val="24"/>
          <w:lang w:val="en-GB"/>
        </w:rPr>
        <w:t>metatarsophalangeal (</w:t>
      </w:r>
      <w:r w:rsidRPr="00587393">
        <w:rPr>
          <w:rFonts w:ascii="Times New Roman" w:hAnsi="Times New Roman" w:cs="Times New Roman"/>
          <w:sz w:val="24"/>
          <w:szCs w:val="24"/>
          <w:lang w:val="en-GB"/>
        </w:rPr>
        <w:t>MTP</w:t>
      </w:r>
      <w:r w:rsidR="00340E44" w:rsidRPr="00587393">
        <w:rPr>
          <w:rFonts w:ascii="Times New Roman" w:hAnsi="Times New Roman" w:cs="Times New Roman"/>
          <w:sz w:val="24"/>
          <w:szCs w:val="24"/>
          <w:lang w:val="en-GB"/>
        </w:rPr>
        <w:t>)</w:t>
      </w:r>
      <w:r w:rsidRPr="00587393">
        <w:rPr>
          <w:rFonts w:ascii="Times New Roman" w:hAnsi="Times New Roman" w:cs="Times New Roman"/>
          <w:sz w:val="24"/>
          <w:szCs w:val="24"/>
          <w:lang w:val="en-GB"/>
        </w:rPr>
        <w:t xml:space="preserve"> joints and the plantar area of the big toe. The test result was considered abnormal when there was an absence of sensitivity in one or more of these areas. Vibratory sensitivity was explored using a 128 Hz </w:t>
      </w:r>
      <w:proofErr w:type="spellStart"/>
      <w:r w:rsidRPr="00587393">
        <w:rPr>
          <w:rFonts w:ascii="Times New Roman" w:hAnsi="Times New Roman" w:cs="Times New Roman"/>
          <w:sz w:val="24"/>
          <w:szCs w:val="24"/>
          <w:lang w:val="en-GB"/>
        </w:rPr>
        <w:t>Rydel-Seiffer</w:t>
      </w:r>
      <w:proofErr w:type="spellEnd"/>
      <w:r w:rsidRPr="00587393">
        <w:rPr>
          <w:rFonts w:ascii="Times New Roman" w:hAnsi="Times New Roman" w:cs="Times New Roman"/>
          <w:sz w:val="24"/>
          <w:szCs w:val="24"/>
          <w:lang w:val="en-GB"/>
        </w:rPr>
        <w:t xml:space="preserve"> tuning fork, graduated from 0 to 8, placing it perpendicular to the dors</w:t>
      </w:r>
      <w:r w:rsidR="00AE336B" w:rsidRPr="00587393">
        <w:rPr>
          <w:rFonts w:ascii="Times New Roman" w:hAnsi="Times New Roman" w:cs="Times New Roman"/>
          <w:sz w:val="24"/>
          <w:szCs w:val="24"/>
          <w:lang w:val="en-GB"/>
        </w:rPr>
        <w:t xml:space="preserve">al area of the first MTP joint </w:t>
      </w:r>
      <w:r w:rsidR="00AE336B"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10.1002/dmrr.2253","ISSN":"15207552","author":[{"dropping-particle":"","family":"Bakker","given":"K.","non-dropping-particle":"","parse-names":false,"suffix":""},{"dropping-particle":"","family":"Apelqvist","given":"J.","non-dropping-particle":"","parse-names":false,"suffix":""},{"dropping-particle":"","family":"Schaper","given":"N. C.","non-dropping-particle":"","parse-names":false,"suffix":""}],"container-title":"Diabetes/Metabolism Research and Reviews","id":"ITEM-1","issued":{"date-parts":[["2012"]]},"page":"225-231","title":"Practical guidelines on the management and prevention of the diabetic foot 2011","type":"article"},"uris":["http://www.mendeley.com/documents/?uuid=702ee82b-74d4-4760-9250-5fb08d3120a6"]}],"mendeley":{"formattedCitation":"[26]","plainTextFormattedCitation":"[26]","previouslyFormattedCitation":"[26]"},"properties":{"noteIndex":0},"schema":"https://github.com/citation-style-language/schema/raw/master/csl-citation.json"}</w:instrText>
      </w:r>
      <w:r w:rsidR="00AE336B"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[26]</w:t>
      </w:r>
      <w:r w:rsidR="00AE336B"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A normal result was taken as an average value &gt;6 in patients aged under 60 years and a value &gt;4 in those aged 60 years or more. </w:t>
      </w:r>
      <w:r w:rsidR="00340E44" w:rsidRPr="00587393">
        <w:rPr>
          <w:rFonts w:ascii="Times New Roman" w:hAnsi="Times New Roman" w:cs="Times New Roman"/>
          <w:sz w:val="24"/>
          <w:szCs w:val="24"/>
          <w:lang w:val="en-GB"/>
        </w:rPr>
        <w:t>DPN</w:t>
      </w:r>
      <w:r w:rsidRPr="00587393">
        <w:rPr>
          <w:rFonts w:ascii="Times New Roman" w:hAnsi="Times New Roman" w:cs="Times New Roman"/>
          <w:sz w:val="24"/>
          <w:szCs w:val="24"/>
          <w:lang w:val="en-GB"/>
        </w:rPr>
        <w:t xml:space="preserve"> </w:t>
      </w:r>
      <w:proofErr w:type="gramStart"/>
      <w:r w:rsidRPr="00587393">
        <w:rPr>
          <w:rFonts w:ascii="Times New Roman" w:hAnsi="Times New Roman" w:cs="Times New Roman"/>
          <w:sz w:val="24"/>
          <w:szCs w:val="24"/>
          <w:lang w:val="en-GB"/>
        </w:rPr>
        <w:t>was considered to be</w:t>
      </w:r>
      <w:proofErr w:type="gramEnd"/>
      <w:r w:rsidRPr="00587393">
        <w:rPr>
          <w:rFonts w:ascii="Times New Roman" w:hAnsi="Times New Roman" w:cs="Times New Roman"/>
          <w:sz w:val="24"/>
          <w:szCs w:val="24"/>
          <w:lang w:val="en-GB"/>
        </w:rPr>
        <w:t xml:space="preserve"> present when both sensitivities were altered.</w:t>
      </w:r>
    </w:p>
    <w:p w14:paraId="19258F38" w14:textId="1F4DFFC8" w:rsidR="00E4692A" w:rsidRPr="00587393" w:rsidRDefault="00E4692A"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lastRenderedPageBreak/>
        <w:t xml:space="preserve">The presence of hallux </w:t>
      </w:r>
      <w:proofErr w:type="spellStart"/>
      <w:r w:rsidRPr="00587393">
        <w:rPr>
          <w:rFonts w:ascii="Times New Roman" w:hAnsi="Times New Roman" w:cs="Times New Roman"/>
          <w:sz w:val="24"/>
          <w:szCs w:val="24"/>
          <w:lang w:val="en-GB" w:eastAsia="ar-SA"/>
        </w:rPr>
        <w:t>abductus</w:t>
      </w:r>
      <w:proofErr w:type="spellEnd"/>
      <w:r w:rsidRPr="00587393">
        <w:rPr>
          <w:rFonts w:ascii="Times New Roman" w:hAnsi="Times New Roman" w:cs="Times New Roman"/>
          <w:sz w:val="24"/>
          <w:szCs w:val="24"/>
          <w:lang w:val="en-GB" w:eastAsia="ar-SA"/>
        </w:rPr>
        <w:t xml:space="preserve"> valgus (HAV) was evaluated ac</w:t>
      </w:r>
      <w:r w:rsidR="00AE336B" w:rsidRPr="00587393">
        <w:rPr>
          <w:rFonts w:ascii="Times New Roman" w:hAnsi="Times New Roman" w:cs="Times New Roman"/>
          <w:sz w:val="24"/>
          <w:szCs w:val="24"/>
          <w:lang w:val="en-GB" w:eastAsia="ar-SA"/>
        </w:rPr>
        <w:t xml:space="preserve">cording to the Manchester Scale </w:t>
      </w:r>
      <w:r w:rsidR="00AE336B"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{"citationItems":[{"id":"ITEM-1","itemData":{"DOI":"10.1093/rheumatology/keh687","abstract":"Objectives. Hallux valgus is a common orthopaedic condition affecting elderly people. Grading the severity of the condition commonly involves obtaining measurements from radiographs, which may not be feasible or necessary in some clinical or research settings. Recently, a non-invasive clinical assessment tool (the Manchester scale), consisting of four standardized photographs, has been developed; however, its validity has not yet been determined. Therefore, the objective of this study was to determine the validity of this tool by correlating Manchester scale scores with hallux valgus measurements obtained from radiographs. Methods. Weight-bearing dorsoplantar foot radiographs were obtained from 95 subjects (31 men and 64 women) aged 62-94 yr (mean 78.6, S.D. 6.5), and measurements of the hallux abductus angle, intermetatarsal angle and hallux interphalangeal adbuctus angle were performed. These measurements were then correlated with the Manchester scale scores (none, mild, moderate or severe). Results. The Manchester scale score was highly correlated with hallux abductus angle (Spearman's q ¼ 0.73, P&lt;0.01) and moderately associated with intermetatarsal angle (q ¼ 0.49, P&lt;0.01) measurements obtained from radiographs. Analysis of variance revealed significant differences in mean hallux abductus angles [F(3) ¼ 119.99, P&lt;0.001] and intermetatarsal angles [F(3) ¼29.56, P&lt;0.001] between the four Manchester scale categories. Conclusions. These findings indicate that the Manchester scale provides a valid representation of the degree of hallux valgus deformity determined from radiographic measurement of hallux abductus angle and intermetatarsal angle. We therefore recommend the use of this instrument as a simple, non-invasive screening tool for clinical and research purposes.","author":[{"dropping-particle":"","family":"Menz","given":"H B","non-dropping-particle":"","parse-names":false,"suffix":""},{"dropping-particle":"","family":"Munteanu","given":"S E","non-dropping-particle":"","parse-names":false,"suffix":""}],"container-title":"Rheumatology","id":"ITEM-1","issued":{"date-parts":[["2005"]]},"page":"1061-1066","title":"Radiographic validation of the Manchester scale for the classification of hallux valgus deformity","type":"article-journal","volume":"44"},"uris":["http://www.mendeley.com/documents/?uuid=906a74ad-081e-3625-a640-d0dc0d453ab1"]}],"mendeley":{"formattedCitation":"[27]","plainTextFormattedCitation":"[27]","previouslyFormattedCitation":"[27]"},"properties":{"noteIndex":0},"schema":"https://github.com/citation-style-language/schema/raw/master/csl-citation.json"}</w:instrText>
      </w:r>
      <w:r w:rsidR="00AE336B"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[27]</w:t>
      </w:r>
      <w:r w:rsidR="00AE336B" w:rsidRPr="00587393">
        <w:rPr>
          <w:rFonts w:ascii="Times New Roman" w:hAnsi="Times New Roman" w:cs="Times New Roman"/>
          <w:sz w:val="24"/>
          <w:szCs w:val="24"/>
          <w:lang w:val="en-GB" w:eastAsia="ar-SA"/>
        </w:rPr>
        <w:fldChar w:fldCharType="end"/>
      </w:r>
      <w:r w:rsidR="00AE336B" w:rsidRPr="00587393">
        <w:rPr>
          <w:rFonts w:ascii="Times New Roman" w:hAnsi="Times New Roman" w:cs="Times New Roman"/>
          <w:sz w:val="24"/>
          <w:szCs w:val="24"/>
          <w:lang w:val="en-GB" w:eastAsia="ar-SA"/>
        </w:rPr>
        <w:t>,</w:t>
      </w:r>
      <w:r w:rsidR="00AE336B"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{"citationItems":[{"id":"ITEM-1","itemData":{"DOI":"10.7547/87507315-91-2-74","ISSN":"87507315","abstract":"This article describes a new, noninvasive method of assessing the severity of hallux valgus deformity by means of a set of standardized photographs. Six podiatrists were independently asked to grade the level of deformity of 13 subjects (26 feet) on a scale of 1 (no deformity) to 4 (severe deformity). The reliability of the four-point scale for the severity of hallux valgus was investigated by means of kappa-type statistics for more than two raters. The results showed that the grading method had excellent interobserver repeatability with a combined kappa-type statistic of 0.86, making it a suitable instrument for clinical and research purposes.","author":[{"dropping-particle":"","family":"Garrow","given":"Adam P.","non-dropping-particle":"","parse-names":false,"suffix":""},{"dropping-particle":"","family":"Papageorgiou","given":"Ann","non-dropping-particle":"","parse-names":false,"suffix":""},{"dropping-particle":"","family":"Silman","given":"Alan J.","non-dropping-particle":"","parse-names":false,"suffix":""},{"dropping-particle":"","family":"Thomas","given":"Elaine","non-dropping-particle":"","parse-names":false,"suffix":""},{"dropping-particle":"","family":"Jayson","given":"Malcolm I.V.","non-dropping-particle":"","parse-names":false,"suffix":""},{"dropping-particle":"","family":"Macfarlane","given":"Gary J.","non-dropping-particle":"","parse-names":false,"suffix":""}],"container-title":"Journal of the American Podiatric Medical Association","id":"ITEM-1","issued":{"date-parts":[["2001"]]},"page":"74-78","title":"The grading of hallux valgus: The Manchester scale","type":"article-journal","volume":"91(2)"},"uris":["http://www.mendeley.com/documents/?uuid=32c54eb4-efdb-47c4-9305-7350c4528eb8"]}],"mendeley":{"formattedCitation":"[28]","plainTextFormattedCitation":"[28]","previouslyFormattedCitation":"[28]"},"properties":{"noteIndex":0},"schema":"https://github.com/citation-style-language/schema/raw/master/csl-citation.json"}</w:instrText>
      </w:r>
      <w:r w:rsidR="00AE336B"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[28]</w:t>
      </w:r>
      <w:r w:rsidR="00AE336B"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and digital deformities in the transverse or sagittal planes were detected by visual examination. HAV is defined as a deviation of the proximal phalanx of the big toe towards abduction accompanied by a bony prominence in the medial area of the first MTP joint. </w:t>
      </w:r>
      <w:r w:rsidR="00340E44" w:rsidRPr="00587393">
        <w:rPr>
          <w:rFonts w:ascii="Times New Roman" w:hAnsi="Times New Roman" w:cs="Times New Roman"/>
          <w:sz w:val="24"/>
          <w:szCs w:val="24"/>
          <w:lang w:val="en-GB" w:eastAsia="ar-SA"/>
        </w:rPr>
        <w:t>The presence of h</w:t>
      </w:r>
      <w:r w:rsidRPr="00587393">
        <w:rPr>
          <w:rFonts w:ascii="Times New Roman" w:hAnsi="Times New Roman" w:cs="Times New Roman"/>
          <w:sz w:val="24"/>
          <w:szCs w:val="24"/>
          <w:lang w:val="en-GB" w:eastAsia="ar-SA"/>
        </w:rPr>
        <w:t xml:space="preserve">ammer and/or claw toe </w:t>
      </w:r>
      <w:r w:rsidR="00340E44" w:rsidRPr="00587393">
        <w:rPr>
          <w:rFonts w:ascii="Times New Roman" w:hAnsi="Times New Roman" w:cs="Times New Roman"/>
          <w:sz w:val="24"/>
          <w:szCs w:val="24"/>
          <w:lang w:val="en-GB" w:eastAsia="ar-SA"/>
        </w:rPr>
        <w:t xml:space="preserve">was recorded when a </w:t>
      </w:r>
      <w:r w:rsidRPr="00587393">
        <w:rPr>
          <w:rFonts w:ascii="Times New Roman" w:hAnsi="Times New Roman" w:cs="Times New Roman"/>
          <w:sz w:val="24"/>
          <w:szCs w:val="24"/>
          <w:lang w:val="en-GB" w:eastAsia="ar-SA"/>
        </w:rPr>
        <w:t xml:space="preserve">dorsal flexion of the proximal phalanx </w:t>
      </w:r>
      <w:r w:rsidR="00340E44" w:rsidRPr="00587393">
        <w:rPr>
          <w:rFonts w:ascii="Times New Roman" w:hAnsi="Times New Roman" w:cs="Times New Roman"/>
          <w:sz w:val="24"/>
          <w:szCs w:val="24"/>
          <w:lang w:val="en-GB" w:eastAsia="ar-SA"/>
        </w:rPr>
        <w:t xml:space="preserve">was observed, together with </w:t>
      </w:r>
      <w:r w:rsidRPr="00587393">
        <w:rPr>
          <w:rFonts w:ascii="Times New Roman" w:hAnsi="Times New Roman" w:cs="Times New Roman"/>
          <w:sz w:val="24"/>
          <w:szCs w:val="24"/>
          <w:lang w:val="en-GB" w:eastAsia="ar-SA"/>
        </w:rPr>
        <w:t xml:space="preserve">plantar flexion of the medial and/or distal interphalangeal joint </w:t>
      </w:r>
      <w:r w:rsidR="00AE336B"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{"citationItems":[{"id":"ITEM-1","itemData":{"DOI":"10.7547/0980194","ISSN":"87507315","abstract":"Background: Lesser toe surgery is among the most conducted interventions in general orthopedic practice. However, the definitions of hammer toe and claw toe are not uniform. The objective of this literature study is to propose clear definitions for these deformities to establish unambiguous communication. Methods: A literature search was performed in the PubMed database (May 2006). Of 81 eligible articles, 42 that stated a clear definition of hammer toe or claw toe were selected. Results: In all 35 articles in which hammer toe was clearly defined, flexion in the proximal interphalangeal joint was part of the definition. Seventeen articles (49%) defined hammer toe as a combination of metatarsophalangeal extension and proximal interphalangeal flexion. Thirteen articles showed flexion of the proximal interphalangeal joint as the single criterion. Twenty-three articles with a clear definition of claw toe were selected. Twenty-one articles (91%) showed metatarsophalangeal extension as part of the claw toe deformity. Twelve articles (52%) regarded metatarsophalangeal extension and flexion of the proximal interphalangeal and distal interphalangeal joints as the essential characteristics. Seven articles described a claw toe as metatarsophalangeal extension with flexion in the proximal interphalangeal joint. Conclusions: There are variations in the definitions of lesser toe deformities in the literature. We propose that extension of the metatarsophalangeal joint is the discriminating factor and essential characteristic for claw toe. Claw toe and hammer toe should be characterized by flexion in the proximal interphalangeal joint, which is the single criterion for a hammer toe. The flexibility of these joints could be a basic factor in discriminating between these deformities. The development of these deformities should be regarded as a continuum in the same pathophysiologic process.","author":[{"dropping-particle":"","family":"Schrier","given":"Joost C.M.","non-dropping-particle":"","parse-names":false,"suffix":""},{"dropping-particle":"","family":"Verheyen","given":"Cees C.P.M.","non-dropping-particle":"","parse-names":false,"suffix":""},{"dropping-particle":"","family":"Louwerens","given":"Jan Willem","non-dropping-particle":"","parse-names":false,"suffix":""}],"container-title":"Journal of the American Podiatric Medical Association","id":"ITEM-1","issue":"3","issued":{"date-parts":[["2009","5","1"]]},"page":"194-197","publisher":"American Podiatric Medical Association","title":"Definitions of hammer toe and claw toe","type":"article-journal","volume":"99"},"uris":["http://www.mendeley.com/documents/?uuid=37bd095a-eee1-3b69-9743-568cc9d3880d"]}],"mendeley":{"formattedCitation":"[29]","plainTextFormattedCitation":"[29]","previouslyFormattedCitation":"[29]"},"properties":{"noteIndex":0},"schema":"https://github.com/citation-style-language/schema/raw/master/csl-citation.json"}</w:instrText>
      </w:r>
      <w:r w:rsidR="00AE336B"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[29]</w:t>
      </w:r>
      <w:r w:rsidR="00AE336B"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Hallux </w:t>
      </w:r>
      <w:proofErr w:type="spellStart"/>
      <w:r w:rsidRPr="00587393">
        <w:rPr>
          <w:rFonts w:ascii="Times New Roman" w:hAnsi="Times New Roman" w:cs="Times New Roman"/>
          <w:sz w:val="24"/>
          <w:szCs w:val="24"/>
          <w:lang w:val="en-GB" w:eastAsia="ar-SA"/>
        </w:rPr>
        <w:t>extensus</w:t>
      </w:r>
      <w:proofErr w:type="spellEnd"/>
      <w:r w:rsidRPr="00587393">
        <w:rPr>
          <w:rFonts w:ascii="Times New Roman" w:hAnsi="Times New Roman" w:cs="Times New Roman"/>
          <w:sz w:val="24"/>
          <w:szCs w:val="24"/>
          <w:lang w:val="en-GB" w:eastAsia="ar-SA"/>
        </w:rPr>
        <w:t xml:space="preserve"> was </w:t>
      </w:r>
      <w:r w:rsidR="00D5090E" w:rsidRPr="00587393">
        <w:rPr>
          <w:rFonts w:ascii="Times New Roman" w:hAnsi="Times New Roman" w:cs="Times New Roman"/>
          <w:sz w:val="24"/>
          <w:szCs w:val="24"/>
          <w:lang w:val="en-GB" w:eastAsia="ar-SA"/>
        </w:rPr>
        <w:t xml:space="preserve">identified as the </w:t>
      </w:r>
      <w:r w:rsidRPr="00587393">
        <w:rPr>
          <w:rFonts w:ascii="Times New Roman" w:hAnsi="Times New Roman" w:cs="Times New Roman"/>
          <w:sz w:val="24"/>
          <w:szCs w:val="24"/>
          <w:lang w:val="en-GB" w:eastAsia="ar-SA"/>
        </w:rPr>
        <w:t xml:space="preserve">hyperextension of the distal phalanx of the </w:t>
      </w:r>
      <w:r w:rsidR="00D5090E" w:rsidRPr="00587393">
        <w:rPr>
          <w:rFonts w:ascii="Times New Roman" w:hAnsi="Times New Roman" w:cs="Times New Roman"/>
          <w:sz w:val="24"/>
          <w:szCs w:val="24"/>
          <w:lang w:val="en-GB" w:eastAsia="ar-SA"/>
        </w:rPr>
        <w:t xml:space="preserve">big toe </w:t>
      </w:r>
      <w:r w:rsidR="00AE336B"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{"citationItems":[{"id":"ITEM-1","itemData":{"ISSN":"08839344","abstract":"Cockup of the great toe is characterized by persistent extension of the first metatarsophalangeal joint; the interphalangeal joint also may be involved. The syndrome has many causes, all easily diagnosed. Surgery is indicated in nearly every instance and will produce a corrected or improved result. The type of surgery--whether reefing, lengthening, or transposition of tendons, implant arthroplasty, or arthrodesis--is tailored to the underlying cause.","author":[{"dropping-particle":"","family":"Gould","given":"N.","non-dropping-particle":"","parse-names":false,"suffix":""}],"container-title":"Bulletin of the Hospital for Joint Diseases Orthopaedic Institute","id":"ITEM-1","issued":{"date-parts":[["1987"]]},"page":"136-143","title":"Cockup deformity of the great toe hallux extensus.","type":"article-journal","volume":"47(2)"},"uris":["http://www.mendeley.com/documents/?uuid=c9a8b264-0db1-4b2c-ab3f-1ebe53710797"]}],"mendeley":{"formattedCitation":"[30]","plainTextFormattedCitation":"[30]","previouslyFormattedCitation":"[30]"},"properties":{"noteIndex":0},"schema":"https://github.com/citation-style-language/schema/raw/master/csl-citation.json"}</w:instrText>
      </w:r>
      <w:r w:rsidR="00AE336B"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[30]</w:t>
      </w:r>
      <w:r w:rsidR="00AE336B"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w:t>
      </w:r>
    </w:p>
    <w:p w14:paraId="47DBC197" w14:textId="47BEB5E2" w:rsidR="006178F8" w:rsidRPr="00587393" w:rsidRDefault="006178F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Navicular drop, as defined by Brody </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{"citationItems":[{"id":"ITEM-1","itemData":{"ISSN":"00305898","PMID":"6124922","author":[{"dropping-particle":"","family":"Brody","given":"D. M.","non-dropping-particle":"","parse-names":false,"suffix":""}],"container-title":"Orthopedic Clinics of North America","id":"ITEM-1","issued":{"date-parts":[["1982"]]},"page":"541-558","title":"Techniques in the evaluation and treatment of the injured runner","type":"article-journal","volume":"13(3)"},"uris":["http://www.mendeley.com/documents/?uuid=0e9550da-311e-4703-88ec-2ff79886b975"]}],"mendeley":{"formattedCitation":"[31]","plainTextFormattedCitation":"[31]","previouslyFormattedCitation":"[31]"},"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[31]</w:t>
      </w:r>
      <w:r w:rsidR="002E6ECC" w:rsidRPr="00587393">
        <w:rPr>
          <w:rFonts w:ascii="Times New Roman" w:hAnsi="Times New Roman" w:cs="Times New Roman"/>
          <w:sz w:val="24"/>
          <w:szCs w:val="24"/>
          <w:lang w:val="en-GB" w:eastAsia="ar-SA"/>
        </w:rPr>
        <w:fldChar w:fldCharType="end"/>
      </w:r>
      <w:r w:rsidR="002E6ECC" w:rsidRPr="00587393">
        <w:rPr>
          <w:rFonts w:ascii="Times New Roman" w:hAnsi="Times New Roman" w:cs="Times New Roman"/>
          <w:sz w:val="24"/>
          <w:szCs w:val="24"/>
          <w:lang w:val="en-GB" w:eastAsia="ar-SA"/>
        </w:rPr>
        <w:t>,</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{"citationItems":[{"id":"ITEM-1","itemData":{"DOI":"10.7547/87507315-83-4-198","ISSN":"87507315","abstract":"The measure of navicular drop has been used as an indicator of pronation at the foot. It is defined as the distance the navicular tuberosity moves in standing, as the subtalar joint is allowed to move from its neutral position to a relaxed position. The purposes of this study were to test the reliability of a method to measure navicular drop and to assess the relationships among measures of forefoot to rearfoot position, subtalar joint neutral position, and navicular drop. The results support traditional biomechanical theory but indicate that other factors contribute significantly to navicular drop.","author":[{"dropping-particle":"","family":"Mueller","given":"M. J.","non-dropping-particle":"","parse-names":false,"suffix":""},{"dropping-particle":"V.","family":"Host","given":"J.","non-dropping-particle":"","parse-names":false,"suffix":""},{"dropping-particle":"","family":"Norton","given":"B. J.","non-dropping-particle":"","parse-names":false,"suffix":""}],"container-title":"Journal of the American Podiatric Medical Association","id":"ITEM-1","issued":{"date-parts":[["1993"]]},"page":"198-202","title":"Navicular drop as a composite measure of excessive pronation.","type":"article-journal","volume":"83(4)"},"uris":["http://www.mendeley.com/documents/?uuid=0b21970b-5128-44e2-a561-bcdadcbf1f55"]}],"mendeley":{"formattedCitation":"[32]","plainTextFormattedCitation":"[32]","previouslyFormattedCitation":"[32]"},"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[32]</w:t>
      </w:r>
      <w:r w:rsidR="002E6ECC"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was calculated by comparing the distance between the scaphoid tuberosity and the ground, with the patient standing first in a neutral calcaneal stance position (NCSP) and then in a resting calcaneal stance position (RCSP). Values of 6-9 mm were considered normal, </w:t>
      </w:r>
      <w:r w:rsidR="000A55DA" w:rsidRPr="00587393">
        <w:rPr>
          <w:rFonts w:ascii="Times New Roman" w:hAnsi="Times New Roman" w:cs="Times New Roman"/>
          <w:sz w:val="24"/>
          <w:szCs w:val="24"/>
          <w:lang w:val="en-GB" w:eastAsia="ar-SA"/>
        </w:rPr>
        <w:t>while</w:t>
      </w:r>
      <w:r w:rsidRPr="00587393">
        <w:rPr>
          <w:rFonts w:ascii="Times New Roman" w:hAnsi="Times New Roman" w:cs="Times New Roman"/>
          <w:sz w:val="24"/>
          <w:szCs w:val="24"/>
          <w:lang w:val="en-GB" w:eastAsia="ar-SA"/>
        </w:rPr>
        <w:t xml:space="preserve"> the foot was classified as supinated with values &lt;6 mm and as pronated with values &gt;9 mm.</w:t>
      </w:r>
    </w:p>
    <w:p w14:paraId="6B73DA67" w14:textId="7CED88C6" w:rsidR="006178F8" w:rsidRPr="00587393" w:rsidRDefault="006178F8"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 xml:space="preserve">The neutral, pronated or supinated position of the foot was determined according to the FPI-6 Foot Posture Index </w:t>
      </w:r>
      <w:r w:rsidR="002E6ECC" w:rsidRPr="00587393">
        <w:rPr>
          <w:rFonts w:ascii="Times New Roman" w:hAnsi="Times New Roman" w:cs="Times New Roman"/>
          <w:sz w:val="24"/>
          <w:szCs w:val="24"/>
          <w:lang w:val="en-GB"/>
        </w:rPr>
        <w:fldChar w:fldCharType="begin" w:fldLock="1"/>
      </w:r>
      <w:r w:rsidR="005F3ABA" w:rsidRPr="00587393">
        <w:rPr>
          <w:rFonts w:ascii="Times New Roman" w:hAnsi="Times New Roman" w:cs="Times New Roman"/>
          <w:sz w:val="24"/>
          <w:szCs w:val="24"/>
          <w:lang w:val="en-GB"/>
        </w:rPr>
        <w:instrText>ADDIN CSL_CITATION {"citationItems":[{"id":"ITEM-1","itemData":{"DOI":"10.1016/j.clinbiomech.2005.08.002","ISSN":"02680033","PMID":"16182419","abstract":"Introduction. The limitations of clinical methods for appraising foot posture are well documented. A new measure, the Foot Posture Index is proposed, and its development and validation described. Methods. A four-phase development process was used: (i) to derive a series of candidate measures, (ii) to define an appropriate scoring system, (iii) to evaluate the validity of components and modify the instrument as appropriate, and (iv) to investigate the predictive validity of the finalised instrument relative to static and dynamic kinematic models. Methods included initial concurrent validation using Rose's Valgus Index, determination of inter-item reliability, factor analysis, and benchmarking against three dimensional kinematic models derived from electromagnetic motion tracking of the lower limb. Results. Thirty-six candidate components were reduced to six in the final instrument. The draft version of the instrument predicted 59% of the variance in concurrent Valgus Index scores and demonstrated good inter item reliability (Cronbach's α = 0.83). The relevant variables from the motion tracking lower limb model predicted 58-80% of the variance in the six components retained in the final instrument. The finalised instrument predicted 64% of the variance in static standing posture, and 41% of the variance in midstance posture during normal walking. Conclusion. The Foot Posture Index has been subjected to thorough evaluation in the course of its development and a final version is proposed comprising six component measures that performed satisfactorily during the validation process. The Foot Posture Index assessment is quick and simple to perform and allows a multiple segment, multiple plane evaluation that offers some advantages over existing clinical measures of foot posture. © 2005 Elsevier Ltd. All rights reserved.","author":[{"dropping-particle":"","family":"Redmond","given":"Anthony C.","non-dropping-particle":"","parse-names":false,"suffix":""},{"dropping-particle":"","family":"Crosbie","given":"Jack","non-dropping-particle":"","parse-names":false,"suffix":""},{"dropping-particle":"","family":"Ouvrier","given":"Robert A.","non-dropping-particle":"","parse-names":false,"suffix":""}],"container-title":"Clinical Biomechanics","id":"ITEM-1","issued":{"date-parts":[["2006"]]},"page":"89-98","title":"Development and validation of a novel rating system for scoring standing foot posture: The Foot Posture Index","type":"article-journal","volume":"21(1)"},"uris":["http://www.mendeley.com/documents/?uuid=5d176fe2-4afd-41f6-bd4b-e2e1ef332351"]},{"id":"ITEM-2","itemData":{"DOI":"10.1186/1757-1146-1-6","ISSN":"17571146","abstract":"Background: The Foot Posture Index (FPI) is a validated method for quantifying standing foot posture, and is being used in a variety of clinical settings. There have however, been no normative data available to date for comparison and reference. This study aimed to establish normative FPI reference values.Methods: Studies reporting FPI data were identified by searching online databases. Nine authors contributed anonymised versions of their original datasets comprising 1648 individual observations. The datasets included information relating to centre, age, gender, pathology (if relevant), FPI scores and body mass index (BMI) where available. FPI total scores were transformed to interval logit scores as per the Rasch model and normal ranges were defined. Comparisons between groups employed t-tests or ANOVA models as appropriate and data were explored descriptively and graphically.Results: The main analysis based on a normal healthy population (n = 619) confirmed that a slightly pronated foot posture is the normal position at rest (mean back transformed FPI raw score = +4). A 'U' shaped relationship existed for age, with minors and older adults exhibiting significantly higher FPI scores than the general adult population (F = 51.07, p &lt; 0.001). There was no difference between the FPI scores of males and females (2.3 versus 2.5; t = -1.44, p = 0.149). No relationship was found between the FPI and BMI. Systematic differences from the adult normals were confirmed in patients with neurogenic and idiopathic cavus (F = 216.981, p &lt; 0.001), indicating some sensitivity of the instrument to detect a posturally pathological population.Conclusion: A set of population norms for children, adults and older people have been derived from a large sample. Foot posture is related to age and the presence of pathology, but not influenced by gender or BMI. The normative values identified may assist in classifying foot type for the purpose of research and clinical decision making. © 2008 Redmond et al; licensee BioMed Central Ltd.","author":[{"dropping-particle":"","family":"Redmond","given":"Anthony C.","non-dropping-particle":"","parse-names":false,"suffix":""},{"dropping-particle":"","family":"Crane","given":"Yvonne Z.","non-dropping-particle":"","parse-names":false,"suffix":""},{"dropping-particle":"","family":"Menz","given":"Hylton B.","non-dropping-particle":"","parse-names":false,"suffix":""}],"container-title":"Journal of Foot and Ankle Research","id":"ITEM-2","issued":{"date-parts":[["2008"]]},"title":"Normative values for the Foot Posture Index","type":"article-journal","volume":"1(1)"},"uris":["http://www.mendeley.com/documents/?uuid=4fdd7260-3103-43b6-9959-5c6495db48d1"]},{"id":"ITEM-3","itemData":{"DOI":"10.1016/j.apmr.2006.10.005","ISSN":"00039993","abstract":"Keenan A-M, Redmond AC, Horton M, Conaghan PG, Tennant A. The Foot Posture Index: Rasch analysis of a novel, foot-specific outcome measure. Objective: To investigate the internal construct validity of a clinician-assessed measure of foot position, the Foot Posture Index (FPI), versions FPI-8 and FPI-6. Design: Rasch analysis of baseline FPI scores from studies conducted during the development of the instrument. Setting: A community-based and a hospital-based study, conducted at 2 institutions. Participants: Measures were obtained from 143 participants (98 men, 45 women; age range, 8-65y). Interventions: Not applicable. Main Outcome Measures: Rasch analysis was undertaken using RUMM2020 software in order to evaluate the following properties of the FPI: unidimensionality of each item included in the FPI, the differential item functioning (DIF) of each item, and item and person separation indices. Results: In the developmental draft of the instrument, the 8-item FPI-8 showed some misfit to the Rasch model (χ162 test=27.63, P=.03), indicating lack of unidimensionality. Two items were identified as problematic in the Rasch modeling: Achilles' tendon insertion (Helbing's sign), which showed illogical response ordering and \"congruence of the lateral border of the foot,\" which showed misfit, indicating that this item may be measuring a different construct (χ22 test=15.35, P&lt;.01). All FPI-8 items showed an absence of DIF, and the person separation index (PSI) was good (PSI=.88). The revised FPI-6, which does not include the 2 problematic items, showed unidimensionality (χ122 test=11.49, P=.49), indicating a good overall fit to the model, and improvement over the preliminary version. With the removal of the 2 problematic items, there were no disordered thresholds; all items remained DIF free and all individual items displayed a good fit to the model. The person-separation index for the FPI was similar for both the 8-item (FPI-8=.880) and 6-item (FPI-6=.884) versions. Conclusions: The original FPI-8 showed significant mismatching to the model. The 2 items in the FPI-8 that were identified as problematic in clinical validation studies were also found to be contributing to the lack of fit to the Rasch model. The finalized 6-item instrument showed good metric properties, including good individual item fit and good overall fit to the model, along with a lack of differential item functioning. This analysis provides further evidence for the validity of the FPI-6 as a cl…","author":[{"dropping-particle":"","family":"Keenan","given":"Anne Maree","non-dropping-particle":"","parse-names":false,"suffix":""},{"dropping-particle":"","family":"Redmond","given":"Anthony C.","non-dropping-particle":"","parse-names":false,"suffix":""},{"dropping-particle":"","family":"Horton","given":"Mike","non-dropping-particle":"","parse-names":false,"suffix":""},{"dropping-particle":"","family":"Conaghan","given":"Philip G.","non-dropping-particle":"","parse-names":false,"suffix":""},{"dropping-particle":"","family":"Tennant","given":"Alan","non-dropping-particle":"","parse-names":false,"suffix":""}],"container-title":"Archives of Physical Medicine and Rehabilitation","id":"ITEM-3","issued":{"date-parts":[["2007"]]},"page":"88-93","title":"The Foot Posture Index: Rasch Analysis of a Novel, Foot-Specific Outcome Measure","type":"article-journal","volume":"88(1)"},"uris":["http://www.mendeley.com/documents/?uuid=8390182a-646f-4305-a837-e8a44e85a83d"]}],"mendeley":{"formattedCitation":"[33–35]","plainTextFormattedCitation":"[33–35]","previouslyFormattedCitation":"[33–35]"},"properties":{"noteIndex":0},"schema":"https://github.com/citation-style-language/schema/raw/master/csl-citation.json"}</w:instrText>
      </w:r>
      <w:r w:rsidR="002E6ECC" w:rsidRPr="00587393">
        <w:rPr>
          <w:rFonts w:ascii="Times New Roman" w:hAnsi="Times New Roman" w:cs="Times New Roman"/>
          <w:sz w:val="24"/>
          <w:szCs w:val="24"/>
          <w:lang w:val="en-GB"/>
        </w:rPr>
        <w:fldChar w:fldCharType="separate"/>
      </w:r>
      <w:r w:rsidR="005F3ABA" w:rsidRPr="00587393">
        <w:rPr>
          <w:rFonts w:ascii="Times New Roman" w:hAnsi="Times New Roman" w:cs="Times New Roman"/>
          <w:noProof/>
          <w:sz w:val="24"/>
          <w:szCs w:val="24"/>
          <w:lang w:val="en-GB"/>
        </w:rPr>
        <w:t>[33–35]</w:t>
      </w:r>
      <w:r w:rsidR="002E6ECC" w:rsidRPr="00587393">
        <w:rPr>
          <w:rFonts w:ascii="Times New Roman" w:hAnsi="Times New Roman" w:cs="Times New Roman"/>
          <w:sz w:val="24"/>
          <w:szCs w:val="24"/>
          <w:lang w:val="en-GB"/>
        </w:rPr>
        <w:fldChar w:fldCharType="end"/>
      </w:r>
      <w:r w:rsidRPr="00587393">
        <w:rPr>
          <w:rFonts w:ascii="Times New Roman" w:hAnsi="Times New Roman" w:cs="Times New Roman"/>
          <w:sz w:val="24"/>
          <w:szCs w:val="24"/>
          <w:lang w:val="en-GB"/>
        </w:rPr>
        <w:t xml:space="preserve"> These parameters were calculated with the patient standing in a bipedal stance on a treadmill, at a height of 50 cm. The following six criteria were assessed: palpable talar head, supra and </w:t>
      </w:r>
      <w:proofErr w:type="spellStart"/>
      <w:r w:rsidRPr="00587393">
        <w:rPr>
          <w:rFonts w:ascii="Times New Roman" w:hAnsi="Times New Roman" w:cs="Times New Roman"/>
          <w:sz w:val="24"/>
          <w:szCs w:val="24"/>
          <w:lang w:val="en-GB"/>
        </w:rPr>
        <w:t>inframaleolar</w:t>
      </w:r>
      <w:proofErr w:type="spellEnd"/>
      <w:r w:rsidRPr="00587393">
        <w:rPr>
          <w:rFonts w:ascii="Times New Roman" w:hAnsi="Times New Roman" w:cs="Times New Roman"/>
          <w:sz w:val="24"/>
          <w:szCs w:val="24"/>
          <w:lang w:val="en-GB"/>
        </w:rPr>
        <w:t xml:space="preserve"> curvature; position of the calcaneus in the frontal plane; prominence of the talus-scaphoid region; congruence of the internal longitudinal arch; abduction/adduction of the forefoot with respect to the hindfoot; and external presence of the forefoot from a posterior view. Each of these criteria was scored as 0 = </w:t>
      </w:r>
      <w:proofErr w:type="gramStart"/>
      <w:r w:rsidRPr="00587393">
        <w:rPr>
          <w:rFonts w:ascii="Times New Roman" w:hAnsi="Times New Roman" w:cs="Times New Roman"/>
          <w:sz w:val="24"/>
          <w:szCs w:val="24"/>
          <w:lang w:val="en-GB"/>
        </w:rPr>
        <w:t>Neutral, and</w:t>
      </w:r>
      <w:proofErr w:type="gramEnd"/>
      <w:r w:rsidRPr="00587393">
        <w:rPr>
          <w:rFonts w:ascii="Times New Roman" w:hAnsi="Times New Roman" w:cs="Times New Roman"/>
          <w:sz w:val="24"/>
          <w:szCs w:val="24"/>
          <w:lang w:val="en-GB"/>
        </w:rPr>
        <w:t xml:space="preserve"> ranged from a minimum score of -2 with clear signs of supination to a maximum of +2 with clear signs of pronation. The sum of the results observed in the six criteria indicated the position of the foot. A total score of 0-5 corresponded to a normal stance, ≥6 was considered indicative of pronation and ≤-1, supination.</w:t>
      </w:r>
    </w:p>
    <w:p w14:paraId="6528637A" w14:textId="492A1616" w:rsidR="00F263F6" w:rsidRPr="00587393" w:rsidRDefault="00BF0E4B" w:rsidP="00860AB4">
      <w:pPr>
        <w:spacing w:line="480" w:lineRule="auto"/>
        <w:ind w:firstLine="0"/>
        <w:rPr>
          <w:rFonts w:ascii="Times New Roman" w:hAnsi="Times New Roman" w:cs="Times New Roman"/>
          <w:b/>
          <w:sz w:val="24"/>
          <w:szCs w:val="24"/>
          <w:lang w:val="en-GB"/>
        </w:rPr>
      </w:pPr>
      <w:r w:rsidRPr="00587393">
        <w:rPr>
          <w:rFonts w:ascii="Times New Roman" w:hAnsi="Times New Roman" w:cs="Times New Roman"/>
          <w:b/>
          <w:sz w:val="24"/>
          <w:szCs w:val="24"/>
          <w:lang w:val="en-GB"/>
        </w:rPr>
        <w:lastRenderedPageBreak/>
        <w:t>2.</w:t>
      </w:r>
      <w:proofErr w:type="gramStart"/>
      <w:r w:rsidRPr="00587393">
        <w:rPr>
          <w:rFonts w:ascii="Times New Roman" w:hAnsi="Times New Roman" w:cs="Times New Roman"/>
          <w:b/>
          <w:sz w:val="24"/>
          <w:szCs w:val="24"/>
          <w:lang w:val="en-GB"/>
        </w:rPr>
        <w:t>5.</w:t>
      </w:r>
      <w:r w:rsidR="006178F8" w:rsidRPr="00587393">
        <w:rPr>
          <w:rFonts w:ascii="Times New Roman" w:hAnsi="Times New Roman" w:cs="Times New Roman"/>
          <w:b/>
          <w:sz w:val="24"/>
          <w:szCs w:val="24"/>
          <w:lang w:val="en-GB"/>
        </w:rPr>
        <w:t>Statistical</w:t>
      </w:r>
      <w:proofErr w:type="gramEnd"/>
      <w:r w:rsidR="006178F8" w:rsidRPr="00587393">
        <w:rPr>
          <w:rFonts w:ascii="Times New Roman" w:hAnsi="Times New Roman" w:cs="Times New Roman"/>
          <w:b/>
          <w:sz w:val="24"/>
          <w:szCs w:val="24"/>
          <w:lang w:val="en-GB"/>
        </w:rPr>
        <w:t xml:space="preserve"> analysis</w:t>
      </w:r>
      <w:r w:rsidR="00611777" w:rsidRPr="00587393">
        <w:rPr>
          <w:rFonts w:ascii="Times New Roman" w:hAnsi="Times New Roman" w:cs="Times New Roman"/>
          <w:b/>
          <w:sz w:val="24"/>
          <w:szCs w:val="24"/>
          <w:lang w:val="en-GB"/>
        </w:rPr>
        <w:t>:</w:t>
      </w:r>
      <w:r w:rsidR="001E3489" w:rsidRPr="00587393">
        <w:rPr>
          <w:rFonts w:ascii="Times New Roman" w:hAnsi="Times New Roman" w:cs="Times New Roman"/>
          <w:b/>
          <w:sz w:val="24"/>
          <w:szCs w:val="24"/>
          <w:lang w:val="en-GB"/>
        </w:rPr>
        <w:t xml:space="preserve"> </w:t>
      </w:r>
      <w:r w:rsidR="001E3489" w:rsidRPr="00587393">
        <w:rPr>
          <w:rFonts w:ascii="Times New Roman" w:hAnsi="Times New Roman" w:cs="Times New Roman"/>
          <w:sz w:val="24"/>
          <w:szCs w:val="24"/>
          <w:lang w:val="en-GB"/>
        </w:rPr>
        <w:t>S</w:t>
      </w:r>
      <w:r w:rsidR="002C7062" w:rsidRPr="00587393">
        <w:rPr>
          <w:rFonts w:ascii="Times New Roman" w:hAnsi="Times New Roman" w:cs="Times New Roman"/>
          <w:sz w:val="24"/>
          <w:szCs w:val="24"/>
          <w:lang w:val="en-GB"/>
        </w:rPr>
        <w:t xml:space="preserve">PSS v25.0 software was used for </w:t>
      </w:r>
      <w:r w:rsidR="006178F8" w:rsidRPr="00587393">
        <w:rPr>
          <w:rFonts w:ascii="Times New Roman" w:hAnsi="Times New Roman" w:cs="Times New Roman"/>
          <w:sz w:val="24"/>
          <w:szCs w:val="24"/>
          <w:lang w:val="en-GB"/>
        </w:rPr>
        <w:t xml:space="preserve">the </w:t>
      </w:r>
      <w:r w:rsidR="002C7062" w:rsidRPr="00587393">
        <w:rPr>
          <w:rFonts w:ascii="Times New Roman" w:hAnsi="Times New Roman" w:cs="Times New Roman"/>
          <w:sz w:val="24"/>
          <w:szCs w:val="24"/>
          <w:lang w:val="en-GB"/>
        </w:rPr>
        <w:t xml:space="preserve">statistical analysis. For </w:t>
      </w:r>
      <w:r w:rsidR="006178F8" w:rsidRPr="00587393">
        <w:rPr>
          <w:rFonts w:ascii="Times New Roman" w:hAnsi="Times New Roman" w:cs="Times New Roman"/>
          <w:sz w:val="24"/>
          <w:szCs w:val="24"/>
          <w:lang w:val="en-GB"/>
        </w:rPr>
        <w:t xml:space="preserve">the </w:t>
      </w:r>
      <w:r w:rsidR="002C7062" w:rsidRPr="00587393">
        <w:rPr>
          <w:rFonts w:ascii="Times New Roman" w:hAnsi="Times New Roman" w:cs="Times New Roman"/>
          <w:sz w:val="24"/>
          <w:szCs w:val="24"/>
          <w:lang w:val="en-GB"/>
        </w:rPr>
        <w:t>quantitative variables</w:t>
      </w:r>
      <w:r w:rsidR="006178F8" w:rsidRPr="00587393">
        <w:rPr>
          <w:rFonts w:ascii="Times New Roman" w:hAnsi="Times New Roman" w:cs="Times New Roman"/>
          <w:sz w:val="24"/>
          <w:szCs w:val="24"/>
          <w:lang w:val="en-GB"/>
        </w:rPr>
        <w:t>,</w:t>
      </w:r>
      <w:r w:rsidR="002C7062" w:rsidRPr="00587393">
        <w:rPr>
          <w:rFonts w:ascii="Times New Roman" w:hAnsi="Times New Roman" w:cs="Times New Roman"/>
          <w:sz w:val="24"/>
          <w:szCs w:val="24"/>
          <w:lang w:val="en-GB"/>
        </w:rPr>
        <w:t xml:space="preserve"> Student</w:t>
      </w:r>
      <w:r w:rsidR="00FE5C33" w:rsidRPr="00587393">
        <w:rPr>
          <w:rFonts w:ascii="Times New Roman" w:hAnsi="Times New Roman" w:cs="Times New Roman"/>
          <w:sz w:val="24"/>
          <w:szCs w:val="24"/>
          <w:lang w:val="en-GB"/>
        </w:rPr>
        <w:t>’</w:t>
      </w:r>
      <w:r w:rsidR="002C7062" w:rsidRPr="00587393">
        <w:rPr>
          <w:rFonts w:ascii="Times New Roman" w:hAnsi="Times New Roman" w:cs="Times New Roman"/>
          <w:sz w:val="24"/>
          <w:szCs w:val="24"/>
          <w:lang w:val="en-GB"/>
        </w:rPr>
        <w:t xml:space="preserve">s t-test was used </w:t>
      </w:r>
      <w:r w:rsidR="006178F8" w:rsidRPr="00587393">
        <w:rPr>
          <w:rFonts w:ascii="Times New Roman" w:hAnsi="Times New Roman" w:cs="Times New Roman"/>
          <w:sz w:val="24"/>
          <w:szCs w:val="24"/>
          <w:lang w:val="en-GB"/>
        </w:rPr>
        <w:t xml:space="preserve">to compare </w:t>
      </w:r>
      <w:r w:rsidR="002C7062" w:rsidRPr="00587393">
        <w:rPr>
          <w:rFonts w:ascii="Times New Roman" w:hAnsi="Times New Roman" w:cs="Times New Roman"/>
          <w:sz w:val="24"/>
          <w:szCs w:val="24"/>
          <w:lang w:val="en-GB"/>
        </w:rPr>
        <w:t>independent means, and for the qualitative variables</w:t>
      </w:r>
      <w:r w:rsidR="006178F8" w:rsidRPr="00587393">
        <w:rPr>
          <w:rFonts w:ascii="Times New Roman" w:hAnsi="Times New Roman" w:cs="Times New Roman"/>
          <w:sz w:val="24"/>
          <w:szCs w:val="24"/>
          <w:lang w:val="en-GB"/>
        </w:rPr>
        <w:t>,</w:t>
      </w:r>
      <w:r w:rsidR="002C7062" w:rsidRPr="00587393">
        <w:rPr>
          <w:rFonts w:ascii="Times New Roman" w:hAnsi="Times New Roman" w:cs="Times New Roman"/>
          <w:sz w:val="24"/>
          <w:szCs w:val="24"/>
          <w:lang w:val="en-GB"/>
        </w:rPr>
        <w:t xml:space="preserve"> the </w:t>
      </w:r>
      <w:r w:rsidR="006178F8" w:rsidRPr="00587393">
        <w:rPr>
          <w:rFonts w:ascii="Times New Roman" w:hAnsi="Times New Roman" w:cs="Times New Roman"/>
          <w:sz w:val="24"/>
          <w:szCs w:val="24"/>
          <w:lang w:val="en-GB"/>
        </w:rPr>
        <w:t>c</w:t>
      </w:r>
      <w:r w:rsidR="002C7062" w:rsidRPr="00587393">
        <w:rPr>
          <w:rFonts w:ascii="Times New Roman" w:hAnsi="Times New Roman" w:cs="Times New Roman"/>
          <w:sz w:val="24"/>
          <w:szCs w:val="24"/>
          <w:lang w:val="en-GB"/>
        </w:rPr>
        <w:t xml:space="preserve">hi-square test was used </w:t>
      </w:r>
      <w:r w:rsidR="006178F8" w:rsidRPr="00587393">
        <w:rPr>
          <w:rFonts w:ascii="Times New Roman" w:hAnsi="Times New Roman" w:cs="Times New Roman"/>
          <w:sz w:val="24"/>
          <w:szCs w:val="24"/>
          <w:lang w:val="en-GB"/>
        </w:rPr>
        <w:t xml:space="preserve">to compare </w:t>
      </w:r>
      <w:r w:rsidR="002C7062" w:rsidRPr="00587393">
        <w:rPr>
          <w:rFonts w:ascii="Times New Roman" w:hAnsi="Times New Roman" w:cs="Times New Roman"/>
          <w:sz w:val="24"/>
          <w:szCs w:val="24"/>
          <w:lang w:val="en-GB"/>
        </w:rPr>
        <w:t xml:space="preserve">proportions. </w:t>
      </w:r>
      <w:r w:rsidR="006178F8" w:rsidRPr="00587393">
        <w:rPr>
          <w:rFonts w:ascii="Times New Roman" w:hAnsi="Times New Roman" w:cs="Times New Roman"/>
          <w:sz w:val="24"/>
          <w:szCs w:val="24"/>
          <w:lang w:val="en-GB"/>
        </w:rPr>
        <w:t xml:space="preserve">The </w:t>
      </w:r>
      <w:r w:rsidR="002C7062" w:rsidRPr="00587393">
        <w:rPr>
          <w:rFonts w:ascii="Times New Roman" w:hAnsi="Times New Roman" w:cs="Times New Roman"/>
          <w:sz w:val="24"/>
          <w:szCs w:val="24"/>
          <w:lang w:val="en-GB"/>
        </w:rPr>
        <w:t>odds ratio</w:t>
      </w:r>
      <w:r w:rsidR="006178F8" w:rsidRPr="00587393">
        <w:rPr>
          <w:rFonts w:ascii="Times New Roman" w:hAnsi="Times New Roman" w:cs="Times New Roman"/>
          <w:sz w:val="24"/>
          <w:szCs w:val="24"/>
          <w:lang w:val="en-GB"/>
        </w:rPr>
        <w:t>s</w:t>
      </w:r>
      <w:r w:rsidR="002C7062" w:rsidRPr="00587393">
        <w:rPr>
          <w:rFonts w:ascii="Times New Roman" w:hAnsi="Times New Roman" w:cs="Times New Roman"/>
          <w:sz w:val="24"/>
          <w:szCs w:val="24"/>
          <w:lang w:val="en-GB"/>
        </w:rPr>
        <w:t xml:space="preserve"> and </w:t>
      </w:r>
      <w:r w:rsidR="006178F8" w:rsidRPr="00587393">
        <w:rPr>
          <w:rFonts w:ascii="Times New Roman" w:hAnsi="Times New Roman" w:cs="Times New Roman"/>
          <w:sz w:val="24"/>
          <w:szCs w:val="24"/>
          <w:lang w:val="en-GB"/>
        </w:rPr>
        <w:t xml:space="preserve">the corresponding </w:t>
      </w:r>
      <w:r w:rsidR="002C7062" w:rsidRPr="00587393">
        <w:rPr>
          <w:rFonts w:ascii="Times New Roman" w:hAnsi="Times New Roman" w:cs="Times New Roman"/>
          <w:sz w:val="24"/>
          <w:szCs w:val="24"/>
          <w:lang w:val="en-GB"/>
        </w:rPr>
        <w:t>conﬁdence interval</w:t>
      </w:r>
      <w:r w:rsidR="006178F8" w:rsidRPr="00587393">
        <w:rPr>
          <w:rFonts w:ascii="Times New Roman" w:hAnsi="Times New Roman" w:cs="Times New Roman"/>
          <w:sz w:val="24"/>
          <w:szCs w:val="24"/>
          <w:lang w:val="en-GB"/>
        </w:rPr>
        <w:t>s</w:t>
      </w:r>
      <w:r w:rsidR="002C7062" w:rsidRPr="00587393">
        <w:rPr>
          <w:rFonts w:ascii="Times New Roman" w:hAnsi="Times New Roman" w:cs="Times New Roman"/>
          <w:sz w:val="24"/>
          <w:szCs w:val="24"/>
          <w:lang w:val="en-GB"/>
        </w:rPr>
        <w:t xml:space="preserve"> </w:t>
      </w:r>
      <w:r w:rsidR="006178F8" w:rsidRPr="00587393">
        <w:rPr>
          <w:rFonts w:ascii="Times New Roman" w:hAnsi="Times New Roman" w:cs="Times New Roman"/>
          <w:sz w:val="24"/>
          <w:szCs w:val="24"/>
          <w:lang w:val="en-GB"/>
        </w:rPr>
        <w:t xml:space="preserve">were determined by </w:t>
      </w:r>
      <w:r w:rsidR="002C7062" w:rsidRPr="00587393">
        <w:rPr>
          <w:rFonts w:ascii="Times New Roman" w:hAnsi="Times New Roman" w:cs="Times New Roman"/>
          <w:sz w:val="24"/>
          <w:szCs w:val="24"/>
          <w:lang w:val="en-GB"/>
        </w:rPr>
        <w:t>univariate logistic regression analysis. Differences were considered signiﬁcant</w:t>
      </w:r>
      <w:r w:rsidR="006178F8" w:rsidRPr="00587393">
        <w:rPr>
          <w:rFonts w:ascii="Times New Roman" w:hAnsi="Times New Roman" w:cs="Times New Roman"/>
          <w:sz w:val="24"/>
          <w:szCs w:val="24"/>
          <w:lang w:val="en-GB"/>
        </w:rPr>
        <w:t xml:space="preserve"> at</w:t>
      </w:r>
      <w:r w:rsidR="002C7062" w:rsidRPr="00587393">
        <w:rPr>
          <w:rFonts w:ascii="Times New Roman" w:hAnsi="Times New Roman" w:cs="Times New Roman"/>
          <w:sz w:val="24"/>
          <w:szCs w:val="24"/>
          <w:lang w:val="en-GB"/>
        </w:rPr>
        <w:t xml:space="preserve"> p&lt;0.05, with a conﬁdence interval of 95%.</w:t>
      </w:r>
    </w:p>
    <w:p w14:paraId="5B5D53E7" w14:textId="77777777" w:rsidR="006178F8" w:rsidRPr="00587393" w:rsidRDefault="006178F8" w:rsidP="00860AB4">
      <w:pPr>
        <w:spacing w:line="480" w:lineRule="auto"/>
        <w:ind w:firstLine="0"/>
        <w:rPr>
          <w:rFonts w:ascii="Times New Roman" w:hAnsi="Times New Roman" w:cs="Times New Roman"/>
          <w:b/>
          <w:sz w:val="24"/>
          <w:szCs w:val="24"/>
          <w:lang w:val="en-GB"/>
        </w:rPr>
      </w:pPr>
    </w:p>
    <w:p w14:paraId="597D3123" w14:textId="1E73FFCB" w:rsidR="00B75AB4" w:rsidRPr="00587393" w:rsidRDefault="00F263F6" w:rsidP="00BF0E4B">
      <w:pPr>
        <w:pStyle w:val="Prrafodelista"/>
        <w:numPr>
          <w:ilvl w:val="0"/>
          <w:numId w:val="10"/>
        </w:numPr>
        <w:spacing w:line="480" w:lineRule="auto"/>
        <w:rPr>
          <w:rFonts w:ascii="Times New Roman" w:hAnsi="Times New Roman" w:cs="Times New Roman"/>
          <w:b/>
          <w:sz w:val="24"/>
          <w:szCs w:val="24"/>
          <w:lang w:val="en-GB"/>
        </w:rPr>
      </w:pPr>
      <w:r w:rsidRPr="00587393">
        <w:rPr>
          <w:rFonts w:ascii="Times New Roman" w:hAnsi="Times New Roman" w:cs="Times New Roman"/>
          <w:b/>
          <w:sz w:val="24"/>
          <w:szCs w:val="24"/>
          <w:lang w:val="en-GB"/>
        </w:rPr>
        <w:t>RESULTS</w:t>
      </w:r>
    </w:p>
    <w:p w14:paraId="3E2BB5E6" w14:textId="40829F07" w:rsidR="000F5F58" w:rsidRPr="00587393" w:rsidRDefault="000F5F58" w:rsidP="00860AB4">
      <w:pPr>
        <w:spacing w:line="480" w:lineRule="auto"/>
        <w:ind w:firstLine="0"/>
        <w:rPr>
          <w:rFonts w:ascii="Times New Roman" w:hAnsi="Times New Roman" w:cs="Times New Roman"/>
          <w:sz w:val="24"/>
          <w:szCs w:val="24"/>
          <w:lang w:val="en-GB" w:eastAsia="ar-SA"/>
        </w:rPr>
      </w:pPr>
      <w:bookmarkStart w:id="4" w:name="_Hlk42109079"/>
      <w:r w:rsidRPr="00587393">
        <w:rPr>
          <w:rFonts w:ascii="Times New Roman" w:hAnsi="Times New Roman" w:cs="Times New Roman"/>
          <w:sz w:val="24"/>
          <w:szCs w:val="24"/>
          <w:lang w:val="en-GB" w:eastAsia="ar-SA"/>
        </w:rPr>
        <w:t>Of the patients included in the study sample</w:t>
      </w:r>
      <w:r w:rsidR="00C671F9" w:rsidRPr="00587393">
        <w:rPr>
          <w:rFonts w:ascii="Times New Roman" w:hAnsi="Times New Roman" w:cs="Times New Roman"/>
          <w:sz w:val="24"/>
          <w:szCs w:val="24"/>
          <w:lang w:val="en-GB" w:eastAsia="ar-SA"/>
        </w:rPr>
        <w:t>,</w:t>
      </w:r>
      <w:r w:rsidRPr="00587393">
        <w:rPr>
          <w:rFonts w:ascii="Times New Roman" w:hAnsi="Times New Roman" w:cs="Times New Roman"/>
          <w:sz w:val="24"/>
          <w:szCs w:val="24"/>
          <w:lang w:val="en-GB" w:eastAsia="ar-SA"/>
        </w:rPr>
        <w:t xml:space="preserve"> </w:t>
      </w:r>
      <w:r w:rsidR="00C671F9" w:rsidRPr="00587393">
        <w:rPr>
          <w:rFonts w:ascii="Times New Roman" w:hAnsi="Times New Roman" w:cs="Times New Roman"/>
          <w:sz w:val="24"/>
          <w:szCs w:val="24"/>
          <w:lang w:val="en-GB" w:eastAsia="ar-SA"/>
        </w:rPr>
        <w:t>77.47% were patients without neuropathy</w:t>
      </w:r>
      <w:r w:rsidR="001C33B2" w:rsidRPr="00587393">
        <w:rPr>
          <w:rFonts w:ascii="Times New Roman" w:hAnsi="Times New Roman" w:cs="Times New Roman"/>
          <w:sz w:val="24"/>
          <w:szCs w:val="24"/>
          <w:lang w:val="en-GB" w:eastAsia="ar-SA"/>
        </w:rPr>
        <w:t xml:space="preserve"> and 22.53% with neuropathy, who </w:t>
      </w:r>
      <w:proofErr w:type="gramStart"/>
      <w:r w:rsidR="001C33B2" w:rsidRPr="00587393">
        <w:rPr>
          <w:rFonts w:ascii="Times New Roman" w:hAnsi="Times New Roman" w:cs="Times New Roman"/>
          <w:sz w:val="24"/>
          <w:szCs w:val="24"/>
          <w:lang w:val="en-GB" w:eastAsia="ar-SA"/>
        </w:rPr>
        <w:t xml:space="preserve">of  </w:t>
      </w:r>
      <w:r w:rsidRPr="00587393">
        <w:rPr>
          <w:rFonts w:ascii="Times New Roman" w:hAnsi="Times New Roman" w:cs="Times New Roman"/>
          <w:sz w:val="24"/>
          <w:szCs w:val="24"/>
          <w:lang w:val="en-GB" w:eastAsia="ar-SA"/>
        </w:rPr>
        <w:t>65.8</w:t>
      </w:r>
      <w:proofErr w:type="gramEnd"/>
      <w:r w:rsidRPr="00587393">
        <w:rPr>
          <w:rFonts w:ascii="Times New Roman" w:hAnsi="Times New Roman" w:cs="Times New Roman"/>
          <w:sz w:val="24"/>
          <w:szCs w:val="24"/>
          <w:lang w:val="en-GB" w:eastAsia="ar-SA"/>
        </w:rPr>
        <w:t xml:space="preserve">% were male and 34.2% female. </w:t>
      </w:r>
      <w:bookmarkEnd w:id="4"/>
      <w:r w:rsidRPr="00587393">
        <w:rPr>
          <w:rFonts w:ascii="Times New Roman" w:hAnsi="Times New Roman" w:cs="Times New Roman"/>
          <w:sz w:val="24"/>
          <w:szCs w:val="24"/>
          <w:lang w:val="en-GB" w:eastAsia="ar-SA"/>
        </w:rPr>
        <w:t>The mean age of the participants was 57.92 ± 13.24 years. 69.4% were DM2 and 30.6% were DM1. The mean duration of diabetes was 17.59 ± 10.70 years. These characteristics are detailed in Table 1.</w:t>
      </w:r>
    </w:p>
    <w:p w14:paraId="10BB8980" w14:textId="473A9DA0" w:rsidR="000F5F58" w:rsidRPr="00587393" w:rsidRDefault="000F5F5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Only 37.8% of participants had never smoked, while 15.3% were active smokers, and had been so for an average of 18.97 ± 17.99 years, consuming an average of 14.61 cigarettes per day. Only one participant had undergone an amputation (in the right foot </w:t>
      </w:r>
      <w:proofErr w:type="gramStart"/>
      <w:r w:rsidRPr="00587393">
        <w:rPr>
          <w:rFonts w:ascii="Times New Roman" w:hAnsi="Times New Roman" w:cs="Times New Roman"/>
          <w:sz w:val="24"/>
          <w:szCs w:val="24"/>
          <w:lang w:val="en-GB" w:eastAsia="ar-SA"/>
        </w:rPr>
        <w:t xml:space="preserve">and </w:t>
      </w:r>
      <w:r w:rsidR="004654AD" w:rsidRPr="00587393">
        <w:rPr>
          <w:rFonts w:ascii="Times New Roman" w:hAnsi="Times New Roman" w:cs="Times New Roman"/>
          <w:sz w:val="24"/>
          <w:szCs w:val="24"/>
          <w:lang w:val="en-GB" w:eastAsia="ar-SA"/>
        </w:rPr>
        <w:t>also</w:t>
      </w:r>
      <w:proofErr w:type="gramEnd"/>
      <w:r w:rsidR="004654AD"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in the left foot), but 9% had a history of foot ulcers.</w:t>
      </w:r>
    </w:p>
    <w:p w14:paraId="36B1D1C7" w14:textId="1EE4672B" w:rsidR="000F5F58" w:rsidRPr="00587393" w:rsidRDefault="000F5F5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In relation to physical activity, 17.1% did not perform any such activity. Of the activities carried out, walking was the most common, mentioned by 45.04% of participants.</w:t>
      </w:r>
    </w:p>
    <w:p w14:paraId="6B90296D" w14:textId="5B8E9F16" w:rsidR="000F5F58" w:rsidRPr="00587393" w:rsidRDefault="000F5F5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Peripheral artery disease (determined by pulse palpation and the ABI) was observed in 35.5% of cases. Severe artery disease was present in only 0.9% of patients (in the left foot). This disease was moderate in 9.1% of cases (in both feet) and mild in 8.2% and </w:t>
      </w:r>
      <w:r w:rsidRPr="00587393">
        <w:rPr>
          <w:rFonts w:ascii="Times New Roman" w:hAnsi="Times New Roman" w:cs="Times New Roman"/>
          <w:sz w:val="24"/>
          <w:szCs w:val="24"/>
          <w:lang w:val="en-GB" w:eastAsia="ar-SA"/>
        </w:rPr>
        <w:lastRenderedPageBreak/>
        <w:t>2.7% (right and left foot, respectively). Arterial calcification was observed in 10% and 15.5% of cases (right and left foot, respectively).</w:t>
      </w:r>
    </w:p>
    <w:p w14:paraId="0F7A54C9" w14:textId="763880F6" w:rsidR="00A746BE" w:rsidRPr="00587393" w:rsidRDefault="004654AD"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At the time of the study, all</w:t>
      </w:r>
      <w:r w:rsidR="00A746BE" w:rsidRPr="00587393">
        <w:rPr>
          <w:rFonts w:ascii="Times New Roman" w:hAnsi="Times New Roman" w:cs="Times New Roman"/>
          <w:sz w:val="24"/>
          <w:szCs w:val="24"/>
          <w:lang w:val="en-GB" w:eastAsia="ar-SA"/>
        </w:rPr>
        <w:t xml:space="preserve"> patients were receiving treatment for their DM. Insulin was prescribed to 59.5%, while 40.5% were treated by means of diet, exercise, oral antidiabetic drugs (ADOs) and glucagon-like peptide type 1 agonists (GLP-1). Due to associated </w:t>
      </w:r>
      <w:r w:rsidR="000A55DA" w:rsidRPr="00587393">
        <w:rPr>
          <w:rFonts w:ascii="Times New Roman" w:hAnsi="Times New Roman" w:cs="Times New Roman"/>
          <w:sz w:val="24"/>
          <w:szCs w:val="24"/>
          <w:lang w:val="en-GB" w:eastAsia="ar-SA"/>
        </w:rPr>
        <w:t>comorbidities</w:t>
      </w:r>
      <w:r w:rsidR="00A746BE" w:rsidRPr="00587393">
        <w:rPr>
          <w:rFonts w:ascii="Times New Roman" w:hAnsi="Times New Roman" w:cs="Times New Roman"/>
          <w:sz w:val="24"/>
          <w:szCs w:val="24"/>
          <w:lang w:val="en-GB" w:eastAsia="ar-SA"/>
        </w:rPr>
        <w:t xml:space="preserve">, 23.1% of patients were </w:t>
      </w:r>
      <w:proofErr w:type="spellStart"/>
      <w:r w:rsidR="00A746BE" w:rsidRPr="00587393">
        <w:rPr>
          <w:rFonts w:ascii="Times New Roman" w:hAnsi="Times New Roman" w:cs="Times New Roman"/>
          <w:sz w:val="24"/>
          <w:szCs w:val="24"/>
          <w:lang w:val="en-GB" w:eastAsia="ar-SA"/>
        </w:rPr>
        <w:t>polymedicated</w:t>
      </w:r>
      <w:proofErr w:type="spellEnd"/>
      <w:r w:rsidR="00A746BE" w:rsidRPr="00587393">
        <w:rPr>
          <w:rFonts w:ascii="Times New Roman" w:hAnsi="Times New Roman" w:cs="Times New Roman"/>
          <w:sz w:val="24"/>
          <w:szCs w:val="24"/>
          <w:lang w:val="en-GB" w:eastAsia="ar-SA"/>
        </w:rPr>
        <w:t>, consuming more than five drugs daily.</w:t>
      </w:r>
    </w:p>
    <w:p w14:paraId="37F4E35C" w14:textId="3BBDDBF7" w:rsidR="00A746BE" w:rsidRPr="00587393" w:rsidRDefault="00A746BE"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Only 39.1% had acceptable metabolic control with HbAc1 &lt;7</w:t>
      </w:r>
      <w:r w:rsidR="00722D86" w:rsidRPr="00587393">
        <w:rPr>
          <w:rFonts w:ascii="Times New Roman" w:hAnsi="Times New Roman" w:cs="Times New Roman"/>
          <w:sz w:val="24"/>
          <w:szCs w:val="24"/>
          <w:lang w:val="en-GB" w:eastAsia="ar-SA"/>
        </w:rPr>
        <w:t>% (</w:t>
      </w:r>
      <w:r w:rsidR="00DF5C6B" w:rsidRPr="00587393">
        <w:rPr>
          <w:rFonts w:ascii="Times New Roman" w:hAnsi="Times New Roman" w:cs="Times New Roman"/>
          <w:sz w:val="24"/>
          <w:szCs w:val="24"/>
          <w:lang w:val="en-GB" w:eastAsia="ar-SA"/>
        </w:rPr>
        <w:t>53mmol/mol)</w:t>
      </w:r>
      <w:r w:rsidR="00DF5C6B" w:rsidRPr="00587393">
        <w:rPr>
          <w:rFonts w:ascii="Arial" w:hAnsi="Arial" w:cs="Arial"/>
          <w:sz w:val="21"/>
          <w:szCs w:val="21"/>
          <w:shd w:val="clear" w:color="auto" w:fill="FFFFFF"/>
        </w:rPr>
        <w:t>.</w:t>
      </w:r>
      <w:r w:rsidR="00DF5C6B"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LDL cholesterol levels were excessive (≥100 mg/dl) in 34.3% of cases, while HDL cholesterol levels were inadequate (&lt;40 mg/dl in men and &lt;50 mg/dl in women) in 28.7% of cases.</w:t>
      </w:r>
    </w:p>
    <w:p w14:paraId="109E6670" w14:textId="150B010E" w:rsidR="00A746BE" w:rsidRPr="00587393" w:rsidRDefault="00A746BE" w:rsidP="00860AB4">
      <w:pPr>
        <w:spacing w:before="240"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A significant relationship was found between the presence of DPN and high BMI (p=0.014), a history of retinopathy (p=0.000), a history of hypertension (p=0.001), inadequate HDL cholesterol (p=0.018), systolic BP (p=0.001) and diastolic BP (p=0.039) (see Table 1).</w:t>
      </w:r>
    </w:p>
    <w:p w14:paraId="6C582C5C" w14:textId="0C08E16C" w:rsidR="008D715B" w:rsidRPr="00587393" w:rsidRDefault="008D715B"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Of the 222 feet analysed, 132 (59.45%) presented </w:t>
      </w:r>
      <w:r w:rsidR="00AB5D95" w:rsidRPr="00587393">
        <w:rPr>
          <w:rFonts w:ascii="Times New Roman" w:hAnsi="Times New Roman" w:cs="Times New Roman"/>
          <w:sz w:val="24"/>
          <w:szCs w:val="24"/>
          <w:lang w:val="en-GB" w:eastAsia="ar-SA"/>
        </w:rPr>
        <w:t xml:space="preserve">the foot posture in supination or pronation </w:t>
      </w:r>
      <w:r w:rsidRPr="00587393">
        <w:rPr>
          <w:rFonts w:ascii="Times New Roman" w:hAnsi="Times New Roman" w:cs="Times New Roman"/>
          <w:sz w:val="24"/>
          <w:szCs w:val="24"/>
          <w:lang w:val="en-GB" w:eastAsia="ar-SA"/>
        </w:rPr>
        <w:t>and 161 (72.5%), a</w:t>
      </w:r>
      <w:r w:rsidR="005008B8"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 xml:space="preserve">navicular </w:t>
      </w:r>
      <w:proofErr w:type="gramStart"/>
      <w:r w:rsidRPr="00587393">
        <w:rPr>
          <w:rFonts w:ascii="Times New Roman" w:hAnsi="Times New Roman" w:cs="Times New Roman"/>
          <w:sz w:val="24"/>
          <w:szCs w:val="24"/>
          <w:lang w:val="en-GB" w:eastAsia="ar-SA"/>
        </w:rPr>
        <w:t>drop</w:t>
      </w:r>
      <w:proofErr w:type="gramEnd"/>
      <w:r w:rsidR="005008B8" w:rsidRPr="00587393">
        <w:rPr>
          <w:rFonts w:ascii="Times New Roman" w:hAnsi="Times New Roman" w:cs="Times New Roman"/>
          <w:sz w:val="24"/>
          <w:szCs w:val="24"/>
          <w:lang w:val="en-GB" w:eastAsia="ar-SA"/>
        </w:rPr>
        <w:t xml:space="preserve"> in pronation or supination</w:t>
      </w:r>
      <w:r w:rsidRPr="00587393">
        <w:rPr>
          <w:rFonts w:ascii="Times New Roman" w:hAnsi="Times New Roman" w:cs="Times New Roman"/>
          <w:sz w:val="24"/>
          <w:szCs w:val="24"/>
          <w:lang w:val="en-GB" w:eastAsia="ar-SA"/>
        </w:rPr>
        <w:t>. The most common foot stance was that of pronation, in both feet, followed by the neutral and supinated positions (right foot: 43.2%, 42.3% and 14.4% respectively; left foot: 47.7%, 38.7% and 13.5%, respectively).</w:t>
      </w:r>
    </w:p>
    <w:p w14:paraId="3FA54AC2" w14:textId="668C45CB" w:rsidR="008D715B" w:rsidRPr="00587393" w:rsidRDefault="008D715B" w:rsidP="00860AB4">
      <w:pPr>
        <w:spacing w:line="480" w:lineRule="auto"/>
        <w:ind w:firstLine="0"/>
        <w:rPr>
          <w:rFonts w:ascii="Times New Roman" w:hAnsi="Times New Roman" w:cs="Times New Roman"/>
          <w:sz w:val="24"/>
          <w:szCs w:val="24"/>
          <w:lang w:val="en-GB" w:eastAsia="ar-SA"/>
        </w:rPr>
      </w:pPr>
      <w:bookmarkStart w:id="5" w:name="_Hlk42109474"/>
      <w:r w:rsidRPr="00587393">
        <w:rPr>
          <w:rFonts w:ascii="Times New Roman" w:hAnsi="Times New Roman" w:cs="Times New Roman"/>
          <w:sz w:val="24"/>
          <w:szCs w:val="24"/>
          <w:lang w:val="en-GB" w:eastAsia="ar-SA"/>
        </w:rPr>
        <w:t xml:space="preserve">Regarding the presence of DPN, </w:t>
      </w:r>
      <w:r w:rsidR="00AF22F1" w:rsidRPr="00587393">
        <w:rPr>
          <w:rFonts w:ascii="Times New Roman" w:hAnsi="Times New Roman" w:cs="Times New Roman"/>
          <w:sz w:val="24"/>
          <w:szCs w:val="24"/>
          <w:lang w:val="en-GB" w:eastAsia="ar-SA"/>
        </w:rPr>
        <w:t xml:space="preserve">the only </w:t>
      </w:r>
      <w:r w:rsidRPr="00587393">
        <w:rPr>
          <w:rFonts w:ascii="Times New Roman" w:hAnsi="Times New Roman" w:cs="Times New Roman"/>
          <w:sz w:val="24"/>
          <w:szCs w:val="24"/>
          <w:lang w:val="en-GB" w:eastAsia="ar-SA"/>
        </w:rPr>
        <w:t>significant relationship</w:t>
      </w:r>
      <w:r w:rsidR="00AF22F1" w:rsidRPr="00587393">
        <w:rPr>
          <w:rFonts w:ascii="Times New Roman" w:hAnsi="Times New Roman" w:cs="Times New Roman"/>
          <w:sz w:val="24"/>
          <w:szCs w:val="24"/>
          <w:lang w:val="en-GB" w:eastAsia="ar-SA"/>
        </w:rPr>
        <w:t>s</w:t>
      </w:r>
      <w:r w:rsidRPr="00587393">
        <w:rPr>
          <w:rFonts w:ascii="Times New Roman" w:hAnsi="Times New Roman" w:cs="Times New Roman"/>
          <w:sz w:val="24"/>
          <w:szCs w:val="24"/>
          <w:lang w:val="en-GB" w:eastAsia="ar-SA"/>
        </w:rPr>
        <w:t xml:space="preserve"> </w:t>
      </w:r>
      <w:r w:rsidR="001B6F4F" w:rsidRPr="00587393">
        <w:rPr>
          <w:rFonts w:ascii="Times New Roman" w:hAnsi="Times New Roman" w:cs="Times New Roman"/>
          <w:sz w:val="24"/>
          <w:szCs w:val="24"/>
          <w:lang w:val="en-GB" w:eastAsia="ar-SA"/>
        </w:rPr>
        <w:t xml:space="preserve">were </w:t>
      </w:r>
      <w:r w:rsidRPr="00587393">
        <w:rPr>
          <w:rFonts w:ascii="Times New Roman" w:hAnsi="Times New Roman" w:cs="Times New Roman"/>
          <w:sz w:val="24"/>
          <w:szCs w:val="24"/>
          <w:lang w:val="en-GB" w:eastAsia="ar-SA"/>
        </w:rPr>
        <w:t xml:space="preserve">found </w:t>
      </w:r>
      <w:r w:rsidR="00AF22F1" w:rsidRPr="00587393">
        <w:rPr>
          <w:rFonts w:ascii="Times New Roman" w:hAnsi="Times New Roman" w:cs="Times New Roman"/>
          <w:sz w:val="24"/>
          <w:szCs w:val="24"/>
          <w:lang w:val="en-GB" w:eastAsia="ar-SA"/>
        </w:rPr>
        <w:t xml:space="preserve">for </w:t>
      </w:r>
      <w:r w:rsidRPr="00587393">
        <w:rPr>
          <w:rFonts w:ascii="Times New Roman" w:hAnsi="Times New Roman" w:cs="Times New Roman"/>
          <w:sz w:val="24"/>
          <w:szCs w:val="24"/>
          <w:lang w:val="en-GB" w:eastAsia="ar-SA"/>
        </w:rPr>
        <w:t xml:space="preserve">the right foot with the deformity of the </w:t>
      </w:r>
      <w:r w:rsidR="00AF22F1" w:rsidRPr="00587393">
        <w:rPr>
          <w:rFonts w:ascii="Times New Roman" w:hAnsi="Times New Roman" w:cs="Times New Roman"/>
          <w:sz w:val="24"/>
          <w:szCs w:val="24"/>
          <w:lang w:val="en-GB" w:eastAsia="ar-SA"/>
        </w:rPr>
        <w:t xml:space="preserve">second </w:t>
      </w:r>
      <w:r w:rsidRPr="00587393">
        <w:rPr>
          <w:rFonts w:ascii="Times New Roman" w:hAnsi="Times New Roman" w:cs="Times New Roman"/>
          <w:sz w:val="24"/>
          <w:szCs w:val="24"/>
          <w:lang w:val="en-GB" w:eastAsia="ar-SA"/>
        </w:rPr>
        <w:t>toe (claw, hammer or mallet) (p=0.017</w:t>
      </w:r>
      <w:r w:rsidR="00AF22F1"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OR 0.29 [0.10-0.83]</w:t>
      </w:r>
      <w:r w:rsidR="00AF22F1" w:rsidRPr="00587393">
        <w:rPr>
          <w:rFonts w:ascii="Times New Roman" w:hAnsi="Times New Roman" w:cs="Times New Roman"/>
          <w:sz w:val="24"/>
          <w:szCs w:val="24"/>
          <w:lang w:val="en-GB" w:eastAsia="ar-SA"/>
        </w:rPr>
        <w:t>)</w:t>
      </w:r>
      <w:r w:rsidRPr="00587393">
        <w:rPr>
          <w:rFonts w:ascii="Times New Roman" w:hAnsi="Times New Roman" w:cs="Times New Roman"/>
          <w:sz w:val="24"/>
          <w:szCs w:val="24"/>
          <w:lang w:val="en-GB" w:eastAsia="ar-SA"/>
        </w:rPr>
        <w:t xml:space="preserve"> and </w:t>
      </w:r>
      <w:r w:rsidR="00AF22F1" w:rsidRPr="00587393">
        <w:rPr>
          <w:rFonts w:ascii="Times New Roman" w:hAnsi="Times New Roman" w:cs="Times New Roman"/>
          <w:sz w:val="24"/>
          <w:szCs w:val="24"/>
          <w:lang w:val="en-GB" w:eastAsia="ar-SA"/>
        </w:rPr>
        <w:t>for</w:t>
      </w:r>
      <w:r w:rsidRPr="00587393">
        <w:rPr>
          <w:rFonts w:ascii="Times New Roman" w:hAnsi="Times New Roman" w:cs="Times New Roman"/>
          <w:sz w:val="24"/>
          <w:szCs w:val="24"/>
          <w:lang w:val="en-GB" w:eastAsia="ar-SA"/>
        </w:rPr>
        <w:t xml:space="preserve"> the left foot with the deformity of the </w:t>
      </w:r>
      <w:r w:rsidR="00AF22F1" w:rsidRPr="00587393">
        <w:rPr>
          <w:rFonts w:ascii="Times New Roman" w:hAnsi="Times New Roman" w:cs="Times New Roman"/>
          <w:sz w:val="24"/>
          <w:szCs w:val="24"/>
          <w:lang w:val="en-GB" w:eastAsia="ar-SA"/>
        </w:rPr>
        <w:t xml:space="preserve">second </w:t>
      </w:r>
      <w:r w:rsidRPr="00587393">
        <w:rPr>
          <w:rFonts w:ascii="Times New Roman" w:hAnsi="Times New Roman" w:cs="Times New Roman"/>
          <w:sz w:val="24"/>
          <w:szCs w:val="24"/>
          <w:lang w:val="en-GB" w:eastAsia="ar-SA"/>
        </w:rPr>
        <w:t>toe (p = 0.048; OR: 0.37 [0.14-1.01]</w:t>
      </w:r>
      <w:r w:rsidR="00AF22F1" w:rsidRPr="00587393">
        <w:rPr>
          <w:rFonts w:ascii="Times New Roman" w:hAnsi="Times New Roman" w:cs="Times New Roman"/>
          <w:sz w:val="24"/>
          <w:szCs w:val="24"/>
          <w:lang w:val="en-GB" w:eastAsia="ar-SA"/>
        </w:rPr>
        <w:t>)</w:t>
      </w:r>
      <w:r w:rsidRPr="00587393">
        <w:rPr>
          <w:rFonts w:ascii="Times New Roman" w:hAnsi="Times New Roman" w:cs="Times New Roman"/>
          <w:sz w:val="24"/>
          <w:szCs w:val="24"/>
          <w:lang w:val="en-GB" w:eastAsia="ar-SA"/>
        </w:rPr>
        <w:t xml:space="preserve">, </w:t>
      </w:r>
      <w:r w:rsidR="00AF22F1" w:rsidRPr="00587393">
        <w:rPr>
          <w:rFonts w:ascii="Times New Roman" w:hAnsi="Times New Roman" w:cs="Times New Roman"/>
          <w:sz w:val="24"/>
          <w:szCs w:val="24"/>
          <w:lang w:val="en-GB" w:eastAsia="ar-SA"/>
        </w:rPr>
        <w:t xml:space="preserve">third toe </w:t>
      </w:r>
      <w:r w:rsidRPr="00587393">
        <w:rPr>
          <w:rFonts w:ascii="Times New Roman" w:hAnsi="Times New Roman" w:cs="Times New Roman"/>
          <w:sz w:val="24"/>
          <w:szCs w:val="24"/>
          <w:lang w:val="en-GB" w:eastAsia="ar-SA"/>
        </w:rPr>
        <w:t>(p=0.012; OR: 0.29 [0.11-0.79]</w:t>
      </w:r>
      <w:r w:rsidR="00AF22F1" w:rsidRPr="00587393">
        <w:rPr>
          <w:rFonts w:ascii="Times New Roman" w:hAnsi="Times New Roman" w:cs="Times New Roman"/>
          <w:sz w:val="24"/>
          <w:szCs w:val="24"/>
          <w:lang w:val="en-GB" w:eastAsia="ar-SA"/>
        </w:rPr>
        <w:t>)</w:t>
      </w:r>
      <w:r w:rsidRPr="00587393">
        <w:rPr>
          <w:rFonts w:ascii="Times New Roman" w:hAnsi="Times New Roman" w:cs="Times New Roman"/>
          <w:sz w:val="24"/>
          <w:szCs w:val="24"/>
          <w:lang w:val="en-GB" w:eastAsia="ar-SA"/>
        </w:rPr>
        <w:t xml:space="preserve"> and </w:t>
      </w:r>
      <w:r w:rsidR="00AF22F1" w:rsidRPr="00587393">
        <w:rPr>
          <w:rFonts w:ascii="Times New Roman" w:hAnsi="Times New Roman" w:cs="Times New Roman"/>
          <w:sz w:val="24"/>
          <w:szCs w:val="24"/>
          <w:lang w:val="en-GB" w:eastAsia="ar-SA"/>
        </w:rPr>
        <w:t xml:space="preserve">the </w:t>
      </w:r>
      <w:r w:rsidRPr="00587393">
        <w:rPr>
          <w:rFonts w:ascii="Times New Roman" w:hAnsi="Times New Roman" w:cs="Times New Roman"/>
          <w:sz w:val="24"/>
          <w:szCs w:val="24"/>
          <w:lang w:val="en-GB" w:eastAsia="ar-SA"/>
        </w:rPr>
        <w:t xml:space="preserve">presence of hallux </w:t>
      </w:r>
      <w:proofErr w:type="spellStart"/>
      <w:r w:rsidRPr="00587393">
        <w:rPr>
          <w:rFonts w:ascii="Times New Roman" w:hAnsi="Times New Roman" w:cs="Times New Roman"/>
          <w:sz w:val="24"/>
          <w:szCs w:val="24"/>
          <w:lang w:val="en-GB" w:eastAsia="ar-SA"/>
        </w:rPr>
        <w:t>extensus</w:t>
      </w:r>
      <w:proofErr w:type="spellEnd"/>
      <w:r w:rsidRPr="00587393">
        <w:rPr>
          <w:rFonts w:ascii="Times New Roman" w:hAnsi="Times New Roman" w:cs="Times New Roman"/>
          <w:sz w:val="24"/>
          <w:szCs w:val="24"/>
          <w:lang w:val="en-GB" w:eastAsia="ar-SA"/>
        </w:rPr>
        <w:t xml:space="preserve"> (p = 0.05; OR: 8.27 [1.05-64.98]</w:t>
      </w:r>
      <w:r w:rsidR="00AF22F1" w:rsidRPr="00587393">
        <w:rPr>
          <w:rFonts w:ascii="Times New Roman" w:hAnsi="Times New Roman" w:cs="Times New Roman"/>
          <w:sz w:val="24"/>
          <w:szCs w:val="24"/>
          <w:lang w:val="en-GB" w:eastAsia="ar-SA"/>
        </w:rPr>
        <w:t xml:space="preserve">) </w:t>
      </w:r>
      <w:bookmarkEnd w:id="5"/>
      <w:r w:rsidR="00AF22F1" w:rsidRPr="00587393">
        <w:rPr>
          <w:rFonts w:ascii="Times New Roman" w:hAnsi="Times New Roman" w:cs="Times New Roman"/>
          <w:sz w:val="24"/>
          <w:szCs w:val="24"/>
          <w:lang w:val="en-GB" w:eastAsia="ar-SA"/>
        </w:rPr>
        <w:t xml:space="preserve">(see </w:t>
      </w:r>
      <w:r w:rsidRPr="00587393">
        <w:rPr>
          <w:rFonts w:ascii="Times New Roman" w:hAnsi="Times New Roman" w:cs="Times New Roman"/>
          <w:sz w:val="24"/>
          <w:szCs w:val="24"/>
          <w:lang w:val="en-GB" w:eastAsia="ar-SA"/>
        </w:rPr>
        <w:t>Table</w:t>
      </w:r>
      <w:r w:rsidR="00AF22F1" w:rsidRPr="00587393">
        <w:rPr>
          <w:rFonts w:ascii="Times New Roman" w:hAnsi="Times New Roman" w:cs="Times New Roman"/>
          <w:sz w:val="24"/>
          <w:szCs w:val="24"/>
          <w:lang w:val="en-GB" w:eastAsia="ar-SA"/>
        </w:rPr>
        <w:t>s</w:t>
      </w:r>
      <w:r w:rsidRPr="00587393">
        <w:rPr>
          <w:rFonts w:ascii="Times New Roman" w:hAnsi="Times New Roman" w:cs="Times New Roman"/>
          <w:sz w:val="24"/>
          <w:szCs w:val="24"/>
          <w:lang w:val="en-GB" w:eastAsia="ar-SA"/>
        </w:rPr>
        <w:t xml:space="preserve"> 2 and 3</w:t>
      </w:r>
      <w:r w:rsidR="00AF22F1" w:rsidRPr="00587393">
        <w:rPr>
          <w:rFonts w:ascii="Times New Roman" w:hAnsi="Times New Roman" w:cs="Times New Roman"/>
          <w:sz w:val="24"/>
          <w:szCs w:val="24"/>
          <w:lang w:val="en-GB" w:eastAsia="ar-SA"/>
        </w:rPr>
        <w:t>).</w:t>
      </w:r>
    </w:p>
    <w:p w14:paraId="00C41C51" w14:textId="5CDD6194" w:rsidR="001D368D" w:rsidRPr="00587393" w:rsidRDefault="001D368D"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lastRenderedPageBreak/>
        <w:t xml:space="preserve">The most frequent </w:t>
      </w:r>
      <w:r w:rsidR="00CE7235" w:rsidRPr="00587393">
        <w:rPr>
          <w:rFonts w:ascii="Times New Roman" w:hAnsi="Times New Roman" w:cs="Times New Roman"/>
          <w:sz w:val="24"/>
          <w:szCs w:val="24"/>
          <w:lang w:val="en-GB" w:eastAsia="ar-SA"/>
        </w:rPr>
        <w:t xml:space="preserve">location of keratotic </w:t>
      </w:r>
      <w:r w:rsidRPr="00587393">
        <w:rPr>
          <w:rFonts w:ascii="Times New Roman" w:hAnsi="Times New Roman" w:cs="Times New Roman"/>
          <w:sz w:val="24"/>
          <w:szCs w:val="24"/>
          <w:lang w:val="en-GB" w:eastAsia="ar-SA"/>
        </w:rPr>
        <w:t xml:space="preserve">lesions was the plantar area of the central metatarsals (2-4 MTP), followed by the heel and the medial area of the hallux (see Table 4). </w:t>
      </w:r>
      <w:bookmarkStart w:id="6" w:name="_Hlk42109520"/>
      <w:r w:rsidRPr="00587393">
        <w:rPr>
          <w:rFonts w:ascii="Times New Roman" w:hAnsi="Times New Roman" w:cs="Times New Roman"/>
          <w:sz w:val="24"/>
          <w:szCs w:val="24"/>
          <w:lang w:val="en-GB" w:eastAsia="ar-SA"/>
        </w:rPr>
        <w:t>The only significant relationship found was that between the presence of DPN and hyperkeratosis of the distal area of the toes in the left foot (p=0.031; OR: 0.23 [0.56-0.96])</w:t>
      </w:r>
      <w:bookmarkEnd w:id="6"/>
      <w:r w:rsidRPr="00587393">
        <w:rPr>
          <w:rFonts w:ascii="Times New Roman" w:hAnsi="Times New Roman" w:cs="Times New Roman"/>
          <w:sz w:val="24"/>
          <w:szCs w:val="24"/>
          <w:lang w:val="en-GB" w:eastAsia="ar-SA"/>
        </w:rPr>
        <w:t xml:space="preserve"> (see Table 5).</w:t>
      </w:r>
    </w:p>
    <w:p w14:paraId="769AA541" w14:textId="0A00948C" w:rsidR="002B36A8" w:rsidRPr="00587393" w:rsidRDefault="002B36A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Multivariate analysis revealed a significant relationship between DPN and the presence of retinopathy (p=0.001; OR: 0.11 [95% CI 0.03-0.00]), hypertension (p=0.047; OR: 0.10 [95% CI 0.01- 0.04]) and hallux </w:t>
      </w:r>
      <w:proofErr w:type="spellStart"/>
      <w:r w:rsidRPr="00587393">
        <w:rPr>
          <w:rFonts w:ascii="Times New Roman" w:hAnsi="Times New Roman" w:cs="Times New Roman"/>
          <w:sz w:val="24"/>
          <w:szCs w:val="24"/>
          <w:lang w:val="en-GB" w:eastAsia="ar-SA"/>
        </w:rPr>
        <w:t>extensus</w:t>
      </w:r>
      <w:proofErr w:type="spellEnd"/>
      <w:r w:rsidRPr="00587393">
        <w:rPr>
          <w:rFonts w:ascii="Times New Roman" w:hAnsi="Times New Roman" w:cs="Times New Roman"/>
          <w:sz w:val="24"/>
          <w:szCs w:val="24"/>
          <w:lang w:val="en-GB" w:eastAsia="ar-SA"/>
        </w:rPr>
        <w:t xml:space="preserve"> of the first toe on the left foot (p=0.037; OR: 8.807 [95% CI 1.14-0.037]) (see Table 6).</w:t>
      </w:r>
    </w:p>
    <w:p w14:paraId="5FA67756" w14:textId="1EDA17FE" w:rsidR="00155E8E" w:rsidRPr="00587393" w:rsidRDefault="007259CD" w:rsidP="00BF0E4B">
      <w:pPr>
        <w:pStyle w:val="Prrafodelista"/>
        <w:numPr>
          <w:ilvl w:val="0"/>
          <w:numId w:val="10"/>
        </w:numPr>
        <w:spacing w:line="480" w:lineRule="auto"/>
        <w:rPr>
          <w:rFonts w:ascii="Times New Roman" w:hAnsi="Times New Roman" w:cs="Times New Roman"/>
          <w:b/>
          <w:sz w:val="24"/>
          <w:szCs w:val="24"/>
          <w:lang w:val="en-GB" w:eastAsia="ar-SA"/>
        </w:rPr>
      </w:pPr>
      <w:r w:rsidRPr="00587393">
        <w:rPr>
          <w:rFonts w:ascii="Times New Roman" w:hAnsi="Times New Roman" w:cs="Times New Roman"/>
          <w:b/>
          <w:sz w:val="24"/>
          <w:szCs w:val="24"/>
          <w:lang w:val="en-GB" w:eastAsia="ar-SA"/>
        </w:rPr>
        <w:t>DISCUS</w:t>
      </w:r>
      <w:r w:rsidR="002B36A8" w:rsidRPr="00587393">
        <w:rPr>
          <w:rFonts w:ascii="Times New Roman" w:hAnsi="Times New Roman" w:cs="Times New Roman"/>
          <w:b/>
          <w:sz w:val="24"/>
          <w:szCs w:val="24"/>
          <w:lang w:val="en-GB" w:eastAsia="ar-SA"/>
        </w:rPr>
        <w:t>SIO</w:t>
      </w:r>
      <w:r w:rsidRPr="00587393">
        <w:rPr>
          <w:rFonts w:ascii="Times New Roman" w:hAnsi="Times New Roman" w:cs="Times New Roman"/>
          <w:b/>
          <w:sz w:val="24"/>
          <w:szCs w:val="24"/>
          <w:lang w:val="en-GB" w:eastAsia="ar-SA"/>
        </w:rPr>
        <w:t>N</w:t>
      </w:r>
    </w:p>
    <w:p w14:paraId="1E163C61" w14:textId="04A45997" w:rsidR="00F31A1D" w:rsidRPr="00587393" w:rsidRDefault="00F31A1D" w:rsidP="00860AB4">
      <w:pPr>
        <w:spacing w:line="480" w:lineRule="auto"/>
        <w:ind w:firstLine="0"/>
        <w:rPr>
          <w:rFonts w:ascii="Times New Roman" w:hAnsi="Times New Roman" w:cs="Times New Roman"/>
          <w:sz w:val="24"/>
          <w:szCs w:val="24"/>
          <w:lang w:val="en-GB"/>
        </w:rPr>
      </w:pPr>
      <w:r w:rsidRPr="00587393">
        <w:rPr>
          <w:rFonts w:ascii="Times New Roman" w:hAnsi="Times New Roman" w:cs="Times New Roman"/>
          <w:sz w:val="24"/>
          <w:szCs w:val="24"/>
          <w:lang w:val="en-GB"/>
        </w:rPr>
        <w:t xml:space="preserve">The aim of this study is to determine the relationship between DPN and the presence of deformities in the foot, </w:t>
      </w:r>
      <w:proofErr w:type="gramStart"/>
      <w:r w:rsidRPr="00587393">
        <w:rPr>
          <w:rFonts w:ascii="Times New Roman" w:hAnsi="Times New Roman" w:cs="Times New Roman"/>
          <w:sz w:val="24"/>
          <w:szCs w:val="24"/>
          <w:lang w:val="en-GB"/>
        </w:rPr>
        <w:t>in order to</w:t>
      </w:r>
      <w:proofErr w:type="gramEnd"/>
      <w:r w:rsidRPr="00587393">
        <w:rPr>
          <w:rFonts w:ascii="Times New Roman" w:hAnsi="Times New Roman" w:cs="Times New Roman"/>
          <w:sz w:val="24"/>
          <w:szCs w:val="24"/>
          <w:lang w:val="en-GB"/>
        </w:rPr>
        <w:t xml:space="preserve"> design and apply a model of primary prevention.</w:t>
      </w:r>
    </w:p>
    <w:p w14:paraId="464B0780" w14:textId="2E17AB96" w:rsidR="00F31A1D" w:rsidRPr="00587393" w:rsidRDefault="00F31A1D"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With respect to foot deformities, the only significant relationship found was that between DPN in the right foot and deformity of the second toe (claw, hammer or mallet) (p=0.017; OR 0.29 [0.10-0.83]) and between DPN in the left foot and deformity of the second toe (p=0.048; OR: 0.37 [0.14-1.01]), deformity of the third toe (p=0.012; OR: 0.29 [0.11-0.79]) and the presence of hallux </w:t>
      </w:r>
      <w:proofErr w:type="spellStart"/>
      <w:r w:rsidRPr="00587393">
        <w:rPr>
          <w:rFonts w:ascii="Times New Roman" w:hAnsi="Times New Roman" w:cs="Times New Roman"/>
          <w:sz w:val="24"/>
          <w:szCs w:val="24"/>
          <w:lang w:val="en-GB" w:eastAsia="ar-SA"/>
        </w:rPr>
        <w:t>extensus</w:t>
      </w:r>
      <w:proofErr w:type="spellEnd"/>
      <w:r w:rsidRPr="00587393">
        <w:rPr>
          <w:rFonts w:ascii="Times New Roman" w:hAnsi="Times New Roman" w:cs="Times New Roman"/>
          <w:sz w:val="24"/>
          <w:szCs w:val="24"/>
          <w:lang w:val="en-GB" w:eastAsia="ar-SA"/>
        </w:rPr>
        <w:t xml:space="preserve"> (p=0.05; OR: 8.27 [1.05-64.98]). Corroborating </w:t>
      </w:r>
      <w:proofErr w:type="spellStart"/>
      <w:r w:rsidRPr="00587393">
        <w:rPr>
          <w:rFonts w:ascii="Times New Roman" w:hAnsi="Times New Roman" w:cs="Times New Roman"/>
          <w:sz w:val="24"/>
          <w:szCs w:val="24"/>
          <w:lang w:val="en-GB" w:eastAsia="ar-SA"/>
        </w:rPr>
        <w:t>Lázaro</w:t>
      </w:r>
      <w:proofErr w:type="spellEnd"/>
      <w:r w:rsidRPr="00587393">
        <w:rPr>
          <w:rFonts w:ascii="Times New Roman" w:hAnsi="Times New Roman" w:cs="Times New Roman"/>
          <w:sz w:val="24"/>
          <w:szCs w:val="24"/>
          <w:lang w:val="en-GB" w:eastAsia="ar-SA"/>
        </w:rPr>
        <w:t xml:space="preserve"> Martínez et al.</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{"citationItems":[{"id":"ITEM-1","itemData":{"DOI":"10.7547/1010208","ISSN":"87507315","abstract":"Background: We sought to identify the biomechanical characteristics of the feet of patients with diabetes mellitus and the interrelationship with diabetic neuropathy by determining the range of joint mobility and the presence and locations of calluses and foot deformities. Methods: This observational comparative study involved 281 patients with diabetes mellitus who underwent neurologic and vascular examinations. Joint mobility studies were performed, and deformities and hyperkeratosis locations were assessed. Results: No substantial differences were found between patients with and without neuropathy in joint mobility range. Neuropathy was seen as a risk factor only in the passive range of motion of the first metatarsophalangeal joint (mean ± SD: 57.2° ± 19.5° versus 50.3° ± 22.5°, P =.008). Mean ± SD ankle joint mobility values were similar in both groups (83.0° ± 5.2° versus 82.8° ± 9.3°, P =.826). Patients without neuropathy had a higher rate of foot deformities such as hallux abductus valgus and hammer toes. There was also a higher presence of calluses in patients without neuropathy (82.8% versus 72.6%; P =.039). Conclusions: Diabetic neuropathy was not related to limited joint mobility and the presence of calluses. Patients with neuropathy did not show a higher risk of any of the deformities examined. These findings suggest that the etiology of biomechanical alterations in diabetic people is complex and may involve several anatomically and pathologically predisposing factors.","author":[{"dropping-particle":"","family":"Lázaro-Martínez","given":"José Luis","non-dropping-particle":"","parse-names":false,"suffix":""},{"dropping-particle":"","family":"Aragón-Sánchez","given":"Francisco Javier","non-dropping-particle":"","parse-names":false,"suffix":""},{"dropping-particle":"","family":"Beneit-Montesinos","given":"Juan Vicente","non-dropping-particle":"","parse-names":false,"suffix":""},{"dropping-particle":"","family":"González-Jurado","given":"Maximo A.","non-dropping-particle":"","parse-names":false,"suffix":""},{"dropping-particle":"","family":"Morales","given":"Esther García","non-dropping-particle":"","parse-names":false,"suffix":""},{"dropping-particle":"","family":"Hernández","given":"David Martínez","non-dropping-particle":"","parse-names":false,"suffix":""}],"container-title":"Journal of the American Podiatric Medical Association","id":"ITEM-1","issued":{"date-parts":[["2011"]]},"page":"208-214","title":"Foot biomechanics in patients with diabetes mellitus: Doubts regarding the relationship between neuropathy, foot motion, and deformities","type":"article-journal","volume":"101(3)"},"uris":["http://www.mendeley.com/documents/?uuid=619399d0-eb92-494c-8b20-783682c2fd02"]}],"mendeley":{"formattedCitation":"[36]","plainTextFormattedCitation":"[36]","previouslyFormattedCitation":"[36]"},"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[36]</w:t>
      </w:r>
      <w:r w:rsidR="002E6ECC"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we found that patients with no DPN had a high prevalence of deformities such as HAV and hallux </w:t>
      </w:r>
      <w:proofErr w:type="spellStart"/>
      <w:r w:rsidRPr="00587393">
        <w:rPr>
          <w:rFonts w:ascii="Times New Roman" w:hAnsi="Times New Roman" w:cs="Times New Roman"/>
          <w:sz w:val="24"/>
          <w:szCs w:val="24"/>
          <w:lang w:val="en-GB" w:eastAsia="ar-SA"/>
        </w:rPr>
        <w:t>extensus</w:t>
      </w:r>
      <w:proofErr w:type="spellEnd"/>
      <w:r w:rsidRPr="00587393">
        <w:rPr>
          <w:rFonts w:ascii="Times New Roman" w:hAnsi="Times New Roman" w:cs="Times New Roman"/>
          <w:sz w:val="24"/>
          <w:szCs w:val="24"/>
          <w:lang w:val="en-GB" w:eastAsia="ar-SA"/>
        </w:rPr>
        <w:t>. Among those with DPN, there was a significant presence of deformities in the second and third toes, with a lower prevalence in the big toe.</w:t>
      </w:r>
    </w:p>
    <w:p w14:paraId="2A15A68B" w14:textId="3F2E6F4F" w:rsidR="00F31A1D" w:rsidRPr="00587393" w:rsidRDefault="00F31A1D"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The cause of deformities of the foot in patients with diabetes is unclear, but it could be associated with decreased joint mobility and with muscle atrophy </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{"citationItems":[{"id":"ITEM-1","itemData":{"DOI":"10.1177/0309364615592705","ISSN":"17461553","abstract":"Background: Diabetes mellitus causes a multitude of complications. Foot ulceration is one complication with serious consequences, amputation. Foot deformities contribute to ulcer development. It would be advantageous to ascertain whether foot deformities are preventable as their presence increases amputation risk. Objectives: The objectives were to understand the development of foot deformities in diabetes and explore their biomechanical effects. Study design: Literature review. Methods: In February 2014 CINAHL, Embase, Ovid and Medline were searched. Studies in English of adults with Diabetes that reported neuropathy, foot deformities or associated gait abnormalities were included for review. All study designs were considered. The articles' quality was considered high overall, assessed using SIGN and CARS. Results: In total, 17 studies were reviewed. The main themes identified in relation to foot deformities were nerve function, intrinsic foot muscles, muscle weakness and limited joint mobility. Nerve function and intrinsic foot muscle atrophy did not display definitive associations with foot deformities. However, muscle weakness and limited joint mobility were associated with foot deformities, although the relationship is still unclear. Conclusion: The development of common foot deformities in diabetes is not well understood. The literature did not support the common belief that motor neuropathy, atrophy and muscle imbalance cause foot deformities. Clinical relevance An understanding of the aetiology of foot deformities in diabetes mellitus may allow for pro-active management of the foot in anticipation of the development of foot deformities and ulceration. If the aetiology of deformity was established preventative treatment may reduce the incidence of foot deformities and resultant ulcerations and amputations.","author":[{"dropping-particle":"","family":"Allan","given":"Joanne","non-dropping-particle":"","parse-names":false,"suffix":""},{"dropping-particle":"","family":"Munro","given":"William","non-dropping-particle":"","parse-names":false,"suffix":""},{"dropping-particle":"","family":"Figgins","given":"Elaine","non-dropping-particle":"","parse-names":false,"suffix":""}],"container-title":"Prosthetics and Orthotics International","id":"ITEM-1","issued":{"date-parts":[["2016"]]},"page":"182-192","title":"Foot deformities within the diabetic foot and their influence on biomechanics: A review of the literature","type":"article"},"uris":["http://www.mendeley.com/documents/?uuid=8c47be47-db7e-4796-9eb8-80665a197eed"]}],"mendeley":{"formattedCitation":"[18]","plainTextFormattedCitation":"[18]","previouslyFormattedCitation":"[18]"},"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[18]</w:t>
      </w:r>
      <w:r w:rsidR="002E6ECC" w:rsidRPr="00587393">
        <w:rPr>
          <w:rFonts w:ascii="Times New Roman" w:hAnsi="Times New Roman" w:cs="Times New Roman"/>
          <w:sz w:val="24"/>
          <w:szCs w:val="24"/>
          <w:lang w:val="en-GB" w:eastAsia="ar-SA"/>
        </w:rPr>
        <w:fldChar w:fldCharType="end"/>
      </w:r>
      <w:r w:rsidR="002E6ECC" w:rsidRPr="00587393">
        <w:rPr>
          <w:rFonts w:ascii="Times New Roman" w:hAnsi="Times New Roman" w:cs="Times New Roman"/>
          <w:sz w:val="24"/>
          <w:szCs w:val="24"/>
          <w:lang w:val="en-GB" w:eastAsia="ar-SA"/>
        </w:rPr>
        <w:t>,</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{"citationItems":[{"id":"ITEM-1","itemData":{"DOI":"10.2522/ptj.20150361","ISSN":"0031-9023","abstract":"© 2016 American Physical Therapy Association.Background. Metatarsophalangeal joint (MTPJ) hyperextension deformity is common in people with diabetic neuropathy and a known risk factor for ulceration and amputation. An MTPJ hyperextension movement pattern may contribute to the development of this acquired deformity. Objective. The purpose of this study was to determine, in people with diabetes mellitus and peripheral neuropathy (DM + PN), the ankle and MTPJ ranges of motion that characterize an MTPJ hyperextension movement pattern and its relationship to MTPJ deformity severity. It was hypothesized that severity of MTPJ deformity would be related to limitations in maximum ankle dorsiflexion and increased MTPJ extension during active ankle dorsiflexion movement tasks. Design. A cross-sectional study design was used that included 34 people with DM + PN (mean age = 59 years, SD = 9). Methods. Computed tomography and 3-dimensional motion capture analysis were used to measure resting MTPJ angle and intersegmental foot motion during the tasks of ankle dorsiflexion and plantar flexion with the knee extended and flexed to 90 degrees, walking, and sit-to/from-stand. Results. The MTPJ extension movement pattern during all tasks was directly correlated with severity of MTPJ deformity: maximum ankle dorsiflexion with knee extended (r =.35; 95% confidence interval [CI] =.02,.62), with knee flexed (r =.35; 95% CI = 0.01, 0.61), during the swing phase of gait (r = 47; 95% CI = 0.16, 0.70), during standing up (r = 48; 95% CI = 0.17, 0.71), and during sitting down (r = 38; 95% CI = 0.05, 0.64). All correlations were statistically significant. Limitations. This study was cross-sectional, and causal relationships cannot be made. Conclusions. A hyperextension MTPJ movement pattern associated with limited ankle dorsiflexion has been characterized in people with diabetic neuropathy. Increased MTPJ extension during movement and functional tasks was correlated with severity of resting MTPJ alignment. Repetition of this movement pattern could be an important factor in the etiology of MTPJ deformity and future risk of ulceration.","author":[{"dropping-particle":"","family":"Cheuy","given":"Victor A.","non-dropping-particle":"","parse-names":false,"suffix":""},{"dropping-particle":"","family":"Hastings","given":"Mary K.","non-dropping-particle":"","parse-names":false,"suffix":""},{"dropping-particle":"","family":"Mueller","given":"Michael J.","non-dropping-particle":"","parse-names":false,"suffix":""}],"container-title":"Physical Therapy","id":"ITEM-1","issued":{"date-parts":[["2016"]]},"page":"1143-1151","title":"Metatarsophalangeal Hyperextension Movement Pattern Related to Diabetic Forefoot Deformity","type":"article-journal","volume":"96(8)"},"uris":["http://www.mendeley.com/documents/?uuid=b0d06eb8-8579-4c15-bbad-ac9e6b643653"]}],"mendeley":{"formattedCitation":"[37]","plainTextFormattedCitation":"[37]","previouslyFormattedCitation":"[37]"},"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[37]</w:t>
      </w:r>
      <w:r w:rsidR="002E6ECC" w:rsidRPr="00587393">
        <w:rPr>
          <w:rFonts w:ascii="Times New Roman" w:hAnsi="Times New Roman" w:cs="Times New Roman"/>
          <w:sz w:val="24"/>
          <w:szCs w:val="24"/>
          <w:lang w:val="en-GB" w:eastAsia="ar-SA"/>
        </w:rPr>
        <w:fldChar w:fldCharType="end"/>
      </w:r>
      <w:r w:rsidR="002E6ECC" w:rsidRPr="00587393">
        <w:rPr>
          <w:rFonts w:ascii="Times New Roman" w:hAnsi="Times New Roman" w:cs="Times New Roman"/>
          <w:sz w:val="24"/>
          <w:szCs w:val="24"/>
          <w:lang w:val="en-GB" w:eastAsia="ar-SA"/>
        </w:rPr>
        <w:t>,</w:t>
      </w:r>
      <w:r w:rsidR="002E6EC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{"citationItems":[{"id":"ITEM-1","itemData":{"DOI":"10.1177/1071100715621544","ISSN":"19447876","abstract":"Background: Diabetic forefoot joint deformities are a known risk factor for skin breakdown and amputation, but the causes of deformity are not well understood. The purposes of this study were to determine the effects of intrinsic foot muscle deterioration and limited ankle joint mobility on the severity of metatarsophalangeal joint (MTPJ) deformity, and determine the relationships between these potential contributing factors and indicators of diabetic complications (peripheral neuropathy and advanced glycation end products). Methods: A total of 34 participants with diabetic neuropathy (average age, 59 years; range 41-73) were studied. MTPJ angle and intrinsic foot muscle deterioration were measured with computed tomography and magnetic resonance imaging, respectively. Maximum ankle dorsiflexion was measured using kinematics. Skin intrinsic fluorescence served as a proxy measure for advanced glycation end product accumulation. Results: Total forefoot lean muscle volume (r = â'0.52, P &lt;.01) and maximum ankle dorsiflexion (r = â'0.42, P &lt;.05) were correlated with severity of MTPJ deformity. Together they explained 35% of the variance of MTPJ angle. Neuropathy was correlated with forefoot muscle deterioration (Ï = 0.53, P &lt;.01). Skin intrinsic fluorescence was correlated to severity of neuropathy (r = 0.50, P &lt;.01) but not maximum ankle dorsiflexion, or forefoot deterioration when controlling for neuropathy. Conclusion: These results suggest that the interplay of intrinsic foot muscle deterioration and limited ankle mobility may be the primary contributor to the development of MTPJ deformity. Identifying these muscle and ankle motion impairments as risk factors for MTPJ deformity supports the need for targeted interventions early in the disease process to slow, or possibly stop the progression of deformity over time and reduce the risk of amputation. Level of Evidence: Level IV, case series.","author":[{"dropping-particle":"","family":"Cheuy","given":"Victor A.","non-dropping-particle":"","parse-names":false,"suffix":""},{"dropping-particle":"","family":"Hastings","given":"Mary K.","non-dropping-particle":"","parse-names":false,"suffix":""},{"dropping-particle":"","family":"Commean","given":"Paul K.","non-dropping-particle":"","parse-names":false,"suffix":""},{"dropping-particle":"","family":"Mueller","given":"Michael J.","non-dropping-particle":"","parse-names":false,"suffix":""}],"container-title":"Foot and Ankle International","id":"ITEM-1","issued":{"date-parts":[["2016"]]},"page":"514-521","title":"Muscle and Joint Factors Associated with Forefoot Deformity in the Diabetic Neuropathic Foot","type":"article-journal","volume":"37(5)"},"uris":["http://www.mendeley.com/documents/?uuid=c27349bf-90e7-46f0-a564-86bd637d4850"]}],"mendeley":{"formattedCitation":"[38]","plainTextFormattedCitation":"[38]","previouslyFormattedCitation":"[38]"},"properties":{"noteIndex":0},"schema":"https://github.com/citation-style-language/schema/raw/master/csl-citation.json"}</w:instrText>
      </w:r>
      <w:r w:rsidR="002E6EC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[38]</w:t>
      </w:r>
      <w:r w:rsidR="002E6ECC"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Mobility </w:t>
      </w:r>
      <w:r w:rsidRPr="00587393">
        <w:rPr>
          <w:rFonts w:ascii="Times New Roman" w:hAnsi="Times New Roman" w:cs="Times New Roman"/>
          <w:sz w:val="24"/>
          <w:szCs w:val="24"/>
          <w:lang w:val="en-GB" w:eastAsia="ar-SA"/>
        </w:rPr>
        <w:lastRenderedPageBreak/>
        <w:t xml:space="preserve">was not assessed in these patients, but patterns of hallux hyperextension were observed, which might be associated with decreased ankle dorsiflexion </w:t>
      </w:r>
      <w:r w:rsidR="0038501C"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{"citationItems":[{"id":"ITEM-1","itemData":{"DOI":"10.2522/ptj.20150361","ISSN":"0031-9023","abstract":"© 2016 American Physical Therapy Association.Background. Metatarsophalangeal joint (MTPJ) hyperextension deformity is common in people with diabetic neuropathy and a known risk factor for ulceration and amputation. An MTPJ hyperextension movement pattern may contribute to the development of this acquired deformity. Objective. The purpose of this study was to determine, in people with diabetes mellitus and peripheral neuropathy (DM + PN), the ankle and MTPJ ranges of motion that characterize an MTPJ hyperextension movement pattern and its relationship to MTPJ deformity severity. It was hypothesized that severity of MTPJ deformity would be related to limitations in maximum ankle dorsiflexion and increased MTPJ extension during active ankle dorsiflexion movement tasks. Design. A cross-sectional study design was used that included 34 people with DM + PN (mean age = 59 years, SD = 9). Methods. Computed tomography and 3-dimensional motion capture analysis were used to measure resting MTPJ angle and intersegmental foot motion during the tasks of ankle dorsiflexion and plantar flexion with the knee extended and flexed to 90 degrees, walking, and sit-to/from-stand. Results. The MTPJ extension movement pattern during all tasks was directly correlated with severity of MTPJ deformity: maximum ankle dorsiflexion with knee extended (r =.35; 95% confidence interval [CI] =.02,.62), with knee flexed (r =.35; 95% CI = 0.01, 0.61), during the swing phase of gait (r = 47; 95% CI = 0.16, 0.70), during standing up (r = 48; 95% CI = 0.17, 0.71), and during sitting down (r = 38; 95% CI = 0.05, 0.64). All correlations were statistically significant. Limitations. This study was cross-sectional, and causal relationships cannot be made. Conclusions. A hyperextension MTPJ movement pattern associated with limited ankle dorsiflexion has been characterized in people with diabetic neuropathy. Increased MTPJ extension during movement and functional tasks was correlated with severity of resting MTPJ alignment. Repetition of this movement pattern could be an important factor in the etiology of MTPJ deformity and future risk of ulceration.","author":[{"dropping-particle":"","family":"Cheuy","given":"Victor A.","non-dropping-particle":"","parse-names":false,"suffix":""},{"dropping-particle":"","family":"Hastings","given":"Mary K.","non-dropping-particle":"","parse-names":false,"suffix":""},{"dropping-particle":"","family":"Mueller","given":"Michael J.","non-dropping-particle":"","parse-names":false,"suffix":""}],"container-title":"Physical Therapy","id":"ITEM-1","issued":{"date-parts":[["2016"]]},"page":"1143-1151","title":"Metatarsophalangeal Hyperextension Movement Pattern Related to Diabetic Forefoot Deformity","type":"article-journal","volume":"96(8)"},"uris":["http://www.mendeley.com/documents/?uuid=b0d06eb8-8579-4c15-bbad-ac9e6b643653"]}],"mendeley":{"formattedCitation":"[37]","plainTextFormattedCitation":"[37]","previouslyFormattedCitation":"[37]"},"properties":{"noteIndex":0},"schema":"https://github.com/citation-style-language/schema/raw/master/csl-citation.json"}</w:instrText>
      </w:r>
      <w:r w:rsidR="0038501C"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[37]</w:t>
      </w:r>
      <w:r w:rsidR="0038501C"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w:t>
      </w:r>
    </w:p>
    <w:p w14:paraId="0154E39A" w14:textId="02B7094F" w:rsidR="007C5DB4" w:rsidRPr="00587393" w:rsidRDefault="007C5DB4"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Regarding foot stance, we did not detect any relationship between DPN and the type of foot (pronated, neutral or supinated), but in accordance with García Álvarez et al.</w:t>
      </w:r>
      <w:r w:rsidR="00AB7D6E"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{"citationItems":[{"id":"ITEM-1","itemData":{"DOI":"10.1016/j.dsx.2013.02.029","ISSN":"18714021","abstract":"Aims: To determine the structural and biomechanical characteristics associated with the conditions diabetes mellitus and diabetic neuropathy. Methods: Observational study of 788 patients conducted between February 2007 and February 2009, which included subjects with and without diabetes mellitus who had no active ulcer at enrollment. Demographic variables and the general and specific history of diabetes mellitus were recorded. The patient's foot type according to the Foot Posture Index, joint mobility and deformity were recorded. Results: No associations were found between the different foot types (neutral, pronated and supinated) and the structural and demographic variables at a general level, except for the pronated foot that was associated with a higher body mass index, longer suffering from diabetes and the presence of neuropathy [p &lt; 0.001, OR (95% CI): 6.017 (4.198-8.624); p &lt; 0.001, OR (95% CI): 1.710 (1.266-2.309); p = 0.010, OR (95% CI): 0.759 (0.615-0.937), respectively]. Conclusions: The confluence of risk factors such as neuropathy, body mass index, duration of diabetes and limited joint mobility in patients with diabetes mellitus and pronated foot may be a high-risk anthropometric pattern for developing associated complications such as Charcot foot. A prospective analysis of these patients is required to define the risk for developing Charcot neuroarthropathy. © 2013 Diabetes India. Published by Elsevier Ltd. All rights reserved.","author":[{"dropping-particle":"","family":"García-Álvarez","given":"Yolanda","non-dropping-particle":"","parse-names":false,"suffix":""},{"dropping-particle":"","family":"Lázaro-Martínez","given":"José Luis","non-dropping-particle":"","parse-names":false,"suffix":""},{"dropping-particle":"","family":"García-Morales","given":"Esther","non-dropping-particle":"","parse-names":false,"suffix":""},{"dropping-particle":"","family":"Cecilia-Matilla","given":"Almudena","non-dropping-particle":"","parse-names":false,"suffix":""},{"dropping-particle":"","family":"Aragón-Sánchez","given":"Javier","non-dropping-particle":"","parse-names":false,"suffix":""},{"dropping-particle":"","family":"Carabantes-Alarcón","given":"David","non-dropping-particle":"","parse-names":false,"suffix":""}],"container-title":"Diabetes and Metabolic Syndrome: Clinical Research and Reviews","id":"ITEM-1","issued":{"date-parts":[["2013"]]},"page":"78-82","title":"Morphofunctional characteristics of the foot in patients with diabetes mellitus and diabetic neuropathy","type":"article-journal","volume":"7(2)"},"uris":["http://www.mendeley.com/documents/?uuid=799d4b22-37e1-4cce-97d5-730a7facad77"]}],"mendeley":{"formattedCitation":"[39]","plainTextFormattedCitation":"[39]","previouslyFormattedCitation":"[39]"},"properties":{"noteIndex":0},"schema":"https://github.com/citation-style-language/schema/raw/master/csl-citation.json"}</w:instrText>
      </w:r>
      <w:r w:rsidR="00AB7D6E"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[39]</w:t>
      </w:r>
      <w:r w:rsidR="00AB7D6E"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we observed a greater predisposition towards DPN among patients with pronated feet. It is important to take into account the morphology of the foot and the fact that kinematics and plantar pressures vary during walking, as these can be risk factors </w:t>
      </w:r>
      <w:r w:rsidR="00AB7D6E" w:rsidRPr="00587393">
        <w:rPr>
          <w:rFonts w:ascii="Times New Roman" w:hAnsi="Times New Roman" w:cs="Times New Roman"/>
          <w:sz w:val="24"/>
          <w:szCs w:val="24"/>
          <w:lang w:val="en-GB" w:eastAsia="ar-SA"/>
        </w:rPr>
        <w:t>for ulceration</w:t>
      </w:r>
      <w:r w:rsidR="00AB7D6E"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{"citationItems":[{"id":"ITEM-1","itemData":{"DOI":"10.1016/j.diabres.2016.01.008","ISSN":"18728227","abstract":"Aims: To stratify the ulceration risk according to the foot morphology in people with diabetes and a history of forefoot neuropathic ulceration. Methods: A cross-sectional study was performed on 139 neuropathic individuals with diabetes and previous forefoot ulcers between January 2012 and February 2014. Foot position of the participants was evaluated by using the foot-posture index. A multivariate analysis adjusted for confounding variables was performed with the ulceration risk factors that were found in the univariate analysis. Results: Two hundred and fifty-eight feet were analysed, 104 (40.3%) feet had a history of ulceration on the forefoot and 154 (59.7%) feet had no previous ulceration. Two positive tests of neuropathy (p &lt; 0.001; CI[1.961-6.249] OR 3.500), presence of deformities (p = 0.043; CI[1.020-3.599] OR 1.916) and foot type (p = 0.039) showed an association with ulceration risk in multivariate analyses. Pronated feet showed a higher risk of ulceration than supinated feet (p = 0.011; CI[1.253-5.708] OR 2.675), while significant differences between neutral and supinated feet were not found (p = 0.221; CI[0.719-2.753] OR 1.476). Conclusions: A pronated foot has a higher risk of ulceration on the forefoot in neuropathic people with deformities and diabetes mellitus. Foot type should be evaluated in people at risk of ulceration.","author":[{"dropping-particle":"","family":"Molines-Barroso","given":"R. J.","non-dropping-particle":"","parse-names":false,"suffix":""},{"dropping-particle":"","family":"Lázaro-Martínez","given":"J. L.","non-dropping-particle":"","parse-names":false,"suffix":""},{"dropping-particle":"","family":"Aragón-Sánchez","given":"F. J.","non-dropping-particle":"","parse-names":false,"suffix":""},{"dropping-particle":"","family":"Álvaro-Afonso","given":"F. J.","non-dropping-particle":"","parse-names":false,"suffix":""},{"dropping-particle":"","family":"García-Morales","given":"E.","non-dropping-particle":"","parse-names":false,"suffix":""},{"dropping-particle":"","family":"García-Álvarez","given":"Y.","non-dropping-particle":"","parse-names":false,"suffix":""}],"container-title":"Diabetes Research and Clinical Practice","id":"ITEM-1","issued":{"date-parts":[["2016"]]},"page":"93-98","title":"Forefoot ulcer risk is associated with foot type in patients with diabetes and neuropathy","type":"article-journal","volume":"114"},"uris":["http://www.mendeley.com/documents/?uuid=57dab5be-34be-485d-8ab9-98bc3c84dfeb"]}],"mendeley":{"formattedCitation":"[40]","plainTextFormattedCitation":"[40]","previouslyFormattedCitation":"[40]"},"properties":{"noteIndex":0},"schema":"https://github.com/citation-style-language/schema/raw/master/csl-citation.json"}</w:instrText>
      </w:r>
      <w:r w:rsidR="00AB7D6E"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[40]</w:t>
      </w:r>
      <w:r w:rsidR="00AB7D6E"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Although </w:t>
      </w:r>
      <w:proofErr w:type="spellStart"/>
      <w:r w:rsidRPr="00587393">
        <w:rPr>
          <w:rFonts w:ascii="Times New Roman" w:hAnsi="Times New Roman" w:cs="Times New Roman"/>
          <w:sz w:val="24"/>
          <w:szCs w:val="24"/>
          <w:lang w:val="en-GB" w:eastAsia="ar-SA"/>
        </w:rPr>
        <w:t>cavus</w:t>
      </w:r>
      <w:proofErr w:type="spellEnd"/>
      <w:r w:rsidRPr="00587393">
        <w:rPr>
          <w:rFonts w:ascii="Times New Roman" w:hAnsi="Times New Roman" w:cs="Times New Roman"/>
          <w:sz w:val="24"/>
          <w:szCs w:val="24"/>
          <w:lang w:val="en-GB" w:eastAsia="ar-SA"/>
        </w:rPr>
        <w:t xml:space="preserve"> foot and hindfoot valgus both increase dorsiflexion and maximum plantar pressure in the forefoot and decrease the c</w:t>
      </w:r>
      <w:r w:rsidR="00FF0679" w:rsidRPr="00587393">
        <w:rPr>
          <w:rFonts w:ascii="Times New Roman" w:hAnsi="Times New Roman" w:cs="Times New Roman"/>
          <w:sz w:val="24"/>
          <w:szCs w:val="24"/>
          <w:lang w:val="en-GB" w:eastAsia="ar-SA"/>
        </w:rPr>
        <w:t xml:space="preserve">ontact surface in the hindfoot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{"citationItems":[{"id":"ITEM-1","itemData":{"DOI":"10.1016/j.gaitpost.2012.09.024","ISSN":"09666362","abstract":"The aim of this study was to investigate the role of foot morphology, related with respect to diabetes and peripheral neuropathy in altering foot kinematics and plantar pressure during gait. Healthy and diabetic subjects with or without neuropathy with different foot types were analyzed. Three dimensional multisegment foot kinematics and plantar pressures were assessed on 120 feet: 40 feet (24 cavus, 20 with valgus heel and 11 with hallux valgus) in the control group, 80 feet in the diabetic (25 cavus 13 with valgus heel and 13 with hallux valgus) and the neuropathic groups (28 cavus, 24 with valgus heel and 18 with hallux valgus). Subjects were classified according to their foot morphology allowing further comparisons among the subgroups with the same foot morphology. When comparing neuropathic subjects with cavus foot, valgus heel with controls with the same foot morphology, important differences were noticed: increased dorsiflexion and peak plantar pressure on the forefoot (. P&lt;. 0.05), decreased contact surface on the hindfoot (. P&lt;. 0.03).While results indicated the important role of foot morphology in altering both kinematics and plantar pressure in diabetic subjects, diabetes appeared to further contribute in altering foot biomechanics. Surprisingly, all the diabetic subjects with normal foot arch or with valgus hallux were no more likely to display significant differences in biomechanics parameters than controls. This data could be considered a valuable support for future research on diabetic foot function, and in planning preventive interventions. © 2012 Elsevier B.V.","author":[{"dropping-particle":"","family":"Guiotto","given":"Annamaria","non-dropping-particle":"","parse-names":false,"suffix":""},{"dropping-particle":"","family":"Sawacha","given":"Zimi","non-dropping-particle":"","parse-names":false,"suffix":""},{"dropping-particle":"","family":"Guarneri","given":"Gabriella","non-dropping-particle":"","parse-names":false,"suffix":""},{"dropping-particle":"","family":"Cristoferi","given":"Giuseppe","non-dropping-particle":"","parse-names":false,"suffix":""},{"dropping-particle":"","family":"Avogaro","given":"Angelo","non-dropping-particle":"","parse-names":false,"suffix":""},{"dropping-particle":"","family":"Cobelli","given":"Claudio","non-dropping-particle":"","parse-names":false,"suffix":""}],"container-title":"Gait and Posture","id":"ITEM-1","issued":{"date-parts":[["2013"]]},"page":"603-610","title":"The role of foot morphology on foot function in diabetic subjects with or without neuropathy","type":"article-journal","volume":"37(4)"},"uris":["http://www.mendeley.com/documents/?uuid=c1aaed8d-01b0-4da3-87bc-c1fcffbbfd08"]}],"mendeley":{"formattedCitation":"[41]","plainTextFormattedCitation":"[41]","previouslyFormattedCitation":"[41]"},"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[41]</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it is pronated feet that are </w:t>
      </w:r>
      <w:r w:rsidR="00FF0679" w:rsidRPr="00587393">
        <w:rPr>
          <w:rFonts w:ascii="Times New Roman" w:hAnsi="Times New Roman" w:cs="Times New Roman"/>
          <w:sz w:val="24"/>
          <w:szCs w:val="24"/>
          <w:lang w:val="en-GB" w:eastAsia="ar-SA"/>
        </w:rPr>
        <w:t xml:space="preserve">at greatest risk of ulceration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{"citationItems":[{"id":"ITEM-1","itemData":{"DOI":"10.1016/j.diabres.2016.01.008","ISSN":"18728227","abstract":"Aims: To stratify the ulceration risk according to the foot morphology in people with diabetes and a history of forefoot neuropathic ulceration. Methods: A cross-sectional study was performed on 139 neuropathic individuals with diabetes and previous forefoot ulcers between January 2012 and February 2014. Foot position of the participants was evaluated by using the foot-posture index. A multivariate analysis adjusted for confounding variables was performed with the ulceration risk factors that were found in the univariate analysis. Results: Two hundred and fifty-eight feet were analysed, 104 (40.3%) feet had a history of ulceration on the forefoot and 154 (59.7%) feet had no previous ulceration. Two positive tests of neuropathy (p &lt; 0.001; CI[1.961-6.249] OR 3.500), presence of deformities (p = 0.043; CI[1.020-3.599] OR 1.916) and foot type (p = 0.039) showed an association with ulceration risk in multivariate analyses. Pronated feet showed a higher risk of ulceration than supinated feet (p = 0.011; CI[1.253-5.708] OR 2.675), while significant differences between neutral and supinated feet were not found (p = 0.221; CI[0.719-2.753] OR 1.476). Conclusions: A pronated foot has a higher risk of ulceration on the forefoot in neuropathic people with deformities and diabetes mellitus. Foot type should be evaluated in people at risk of ulceration.","author":[{"dropping-particle":"","family":"Molines-Barroso","given":"R. J.","non-dropping-particle":"","parse-names":false,"suffix":""},{"dropping-particle":"","family":"Lázaro-Martínez","given":"J. L.","non-dropping-particle":"","parse-names":false,"suffix":""},{"dropping-particle":"","family":"Aragón-Sánchez","given":"F. J.","non-dropping-particle":"","parse-names":false,"suffix":""},{"dropping-particle":"","family":"Álvaro-Afonso","given":"F. J.","non-dropping-particle":"","parse-names":false,"suffix":""},{"dropping-particle":"","family":"García-Morales","given":"E.","non-dropping-particle":"","parse-names":false,"suffix":""},{"dropping-particle":"","family":"García-Álvarez","given":"Y.","non-dropping-particle":"","parse-names":false,"suffix":""}],"container-title":"Diabetes Research and Clinical Practice","id":"ITEM-1","issued":{"date-parts":[["2016"]]},"page":"93-98","title":"Forefoot ulcer risk is associated with foot type in patients with diabetes and neuropathy","type":"article-journal","volume":"114"},"uris":["http://www.mendeley.com/documents/?uuid=57dab5be-34be-485d-8ab9-98bc3c84dfeb"]}],"mendeley":{"formattedCitation":"[40]","plainTextFormattedCitation":"[40]","previouslyFormattedCitation":"[40]"},"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[40]</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es</w:t>
      </w:r>
      <w:r w:rsidR="00FF0679" w:rsidRPr="00587393">
        <w:rPr>
          <w:rFonts w:ascii="Times New Roman" w:hAnsi="Times New Roman" w:cs="Times New Roman"/>
          <w:sz w:val="24"/>
          <w:szCs w:val="24"/>
          <w:lang w:val="en-GB" w:eastAsia="ar-SA"/>
        </w:rPr>
        <w:t xml:space="preserve">pecially in the hallux area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{"citationItems":[{"id":"ITEM-1","itemData":{"DOI":"10.7547/0960189","ISSN":"87507315","PMID":"16707629","abstract":"In this study of people with diabetes mellitus and peripheral neuropathy, it was found that the feet of patients with a history of hallux ulceration were more pronated and less able to complete a single-leg heel rise compared with the feet of patients with a history of ulceration elsewhere on the foot. The range of active first metatarsophalangeal joint dorsiflexion was found to be significantly lower in the affected foot. Ankle dorsiflexion, subtalar joint range of motion, and angle of gait differed from normal values but were similar to those found in other studies involving diabetic subjects and were not important factors in the occurrence of hallux ulceration. These data indicate that a more pronated foot type is associated with hallux ulceration in diabetic feet. Further studies are required to evaluate the efficacy of footwear and orthoses in altering foot posture to manage hallux ulceration.","author":[{"dropping-particle":"","family":"Nubé","given":"Vanessa L.","non-dropping-particle":"","parse-names":false,"suffix":""},{"dropping-particle":"","family":"Molyneaux","given":"Lynda","non-dropping-particle":"","parse-names":false,"suffix":""},{"dropping-particle":"","family":"Yue","given":"Dennis K.","non-dropping-particle":"","parse-names":false,"suffix":""}],"container-title":"Journal of the American Podiatric Medical Association","id":"ITEM-1","issued":{"date-parts":[["2006"]]},"page":"189-197","title":"Biomechanical risk factors associated with neuropathic ulceration of the hallux in people with diabetes mellitus","type":"article-journal","volume":"96(3)"},"uris":["http://www.mendeley.com/documents/?uuid=cb25a814-430d-4b41-8103-d908e50320ee"]}],"mendeley":{"formattedCitation":"[42]","plainTextFormattedCitation":"[42]","previouslyFormattedCitation":"[42]"},"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[42]</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w:t>
      </w:r>
    </w:p>
    <w:p w14:paraId="3153C250" w14:textId="159DDD3D" w:rsidR="00275B3F" w:rsidRPr="00587393" w:rsidRDefault="00275B3F"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Another crucial factor is the presence of hyperkeratosis, which in many cases precedes an ulcerative lesion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{"citationItems":[{"id":"ITEM-1","itemData":{"DOI":"10.2174/1573399811666150609160219","ISSN":"15733998","abstract":"Diabetic foot is one of the most common long term complications of diabetes. The risk of developing a foot ulcer is significantly increased when a patient presents with a callus. Callus develops due to various reasons, of which, the most important in people with diabetes is peripheral neuropathy. Motor neuropathy leads to deformity and sensory neuropathy causes lack of sensation, which results in persistent abnormal pressure on the foot. The cells of skin react to it by increasing keratinization and turns into a callus, which predisposes to foot ulceration. However, there is a lack of research in the field of callus. The link between hyperkeratosis, insulin and hyperglycaemia is not fully explored. There is also a lack of research on the relationship between genetic defects of hyperkeratosis, and the risk of developing a diabetic foot ulcer. There is scope for further research in this area, such as exploring whether development of callus is an individual risk factor, and whether glycaemic control or its treatment has any relationship with callus formation. The research around the genetic defects of hyperkeratosis may lead to identification of those, with diabetes, who may have increased risk of developing a foot ulcer. Copyright © 2016 Bentham Science Publishers.","author":[{"dropping-particle":"","family":"Arosi","given":"Ibrahim","non-dropping-particle":"","parse-names":false,"suffix":""},{"dropping-particle":"","family":"Hiner","given":"George","non-dropping-particle":"","parse-names":false,"suffix":""},{"dropping-particle":"","family":"Rajbhandari","given":"Satyan","non-dropping-particle":"","parse-names":false,"suffix":""}],"container-title":"Current Diabetes Reviews","id":"ITEM-1","issued":{"date-parts":[["2016"]]},"page":"179-183","title":"Pathogenesis and Treatment of Callus in the Diabetic Foot","type":"article-journal","volume":"12(3)"},"uris":["http://www.mendeley.com/documents/?uuid=4028b99a-c6eb-4b91-82f9-76e4ff14167b"]}],"mendeley":{"formattedCitation":"[43]","plainTextFormattedCitation":"[43]","previouslyFormattedCitation":"[43]"},"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[43]</w:t>
      </w:r>
      <w:r w:rsidR="00FF0679" w:rsidRPr="00587393">
        <w:rPr>
          <w:rFonts w:ascii="Times New Roman" w:hAnsi="Times New Roman" w:cs="Times New Roman"/>
          <w:sz w:val="24"/>
          <w:szCs w:val="24"/>
          <w:lang w:val="en-GB" w:eastAsia="ar-SA"/>
        </w:rPr>
        <w:fldChar w:fldCharType="end"/>
      </w:r>
      <w:r w:rsidR="00FF0679" w:rsidRPr="00587393">
        <w:rPr>
          <w:rFonts w:ascii="Times New Roman" w:hAnsi="Times New Roman" w:cs="Times New Roman"/>
          <w:sz w:val="24"/>
          <w:szCs w:val="24"/>
          <w:lang w:val="en-GB" w:eastAsia="ar-SA"/>
        </w:rPr>
        <w:t>,</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{"citationItems":[{"id":"ITEM-1","itemData":{"DOI":"10.1155/2016/3157123","ISSN":"23146753","abstract":"Aim. Callus is a risk factor, leading to severe diabetic foot ulcer; thus, prevention of callus formation is important. However, normal stress (pressure) and shear stress associated with callus have not been clarified. Additionally, as new valuables, a shear stress-normal stress (pressure) ratio (SPR) was examined. The purpose was to clarify the external force associated with callus formation in patients with diabetic neuropathy. Methods. The external force of the 1st, 2nd, and 5th metatarsal head (MTH) as callus predilection regions was measured. The SPR was calculated by dividing shear stress by normal stress (pressure), concretely, peak values (SPR-p) and time integral values (SPR-i). The optimal cut-off point was determined. Results. Callus formation region of the 1st and 2nd MTH had high SPR-i rather than noncallus formation region. The cut-off value of the 1st MTH was 0.60 and the 2nd MTH was 0.50. For the 5th MTH, variables pertaining to the external forces could not be determined to be indicators of callus formation because of low accuracy. Conclusions. The callus formation cut-off values of the 1st and 2nd MTH were clarified. In the future, it will be necessary to confirm the effect of using appropriate footwear and gait training on lowering SPR-i.","author":[{"dropping-particle":"","family":"Amemiya","given":"Ayumi","non-dropping-particle":"","parse-names":false,"suffix":""},{"dropping-particle":"","family":"Noguchi","given":"Hiroshi","non-dropping-particle":"","parse-names":false,"suffix":""},{"dropping-particle":"","family":"Oe","given":"Makoto","non-dropping-particle":"","parse-names":false,"suffix":""},{"dropping-particle":"","family":"Takehara","given":"Kimie","non-dropping-particle":"","parse-names":false,"suffix":""},{"dropping-particle":"","family":"Ohashi","given":"Yumiko","non-dropping-particle":"","parse-names":false,"suffix":""},{"dropping-particle":"","family":"Suzuki","given":"Ryo","non-dropping-particle":"","parse-names":false,"suffix":""},{"dropping-particle":"","family":"Yamauchi","given":"Toshimasa","non-dropping-particle":"","parse-names":false,"suffix":""},{"dropping-particle":"","family":"Kadowaki","given":"Takashi","non-dropping-particle":"","parse-names":false,"suffix":""},{"dropping-particle":"","family":"Sanada","given":"Hiromi","non-dropping-particle":"","parse-names":false,"suffix":""},{"dropping-particle":"","family":"Mori","given":"Taketoshi","non-dropping-particle":"","parse-names":false,"suffix":""}],"container-title":"Journal of Diabetes Research","id":"ITEM-1","issued":{"date-parts":[["2016"]]},"title":"Shear Stress-Normal Stress (Pressure) Ratio Decides Forming Callus in Patients with Diabetic Neuropathy","type":"article-journal"},"uris":["http://www.mendeley.com/documents/?uuid=c31c4415-dd10-441d-b34c-55ade6eac61d"]}],"mendeley":{"formattedCitation":"[44]","plainTextFormattedCitation":"[44]","previouslyFormattedCitation":"[44]"},"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[44]</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due to the resulting increase in pressure in this area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{"citationItems":[{"id":"ITEM-1","itemData":{"ISSN":"12623636","abstract":"Background: The importance of high peak plantar pressure (PP) in the development of foot ulcer is well known. However, few studies have analyzed the real impact of callosities on plantar pressure and ulcer formation. Methods: The plantar pressure (PP) in patients with diabetes mellitus was studied in three groups, of a total number of 33 type 2 diabetic patients, without neuropathy or peripheral vascular disease: subjects with callus (A) (n = 10), subjects without callus (B) (n = 10), and a separate group of patients with callus which was submitted to callus removal (C) (n = 13). The plantar pressure (PP) parameters were measured by FSR 174® sensors and computer analyses were performed by LabView®. Results: Both maximum peak PP and duration of PP are significantly higher in patients with callus (peak PP: 314±52 kPa vs 128±16 kPa, p &lt; 0.005; duration of PP: 621 ± 27 ms vs 505 ± 27 ms, p &lt; 0.05). The intervention group C before and after callus removal showed an identical trend. Callus removal has decreased the peak PP by 58% (p &lt; 0.001) and duration of PP has been decreased by 150 milliseconds by step (p &lt; 0.05). Conclusion: This study has shown the deleterious role of callus and assuming that an average person walks about 10,000 steps a day, a callus may cause 18,600 kg of excess plantar pressure per day. In addition, this study has proven the importance of early and regular removal of hyperkeratotic tissue. Even more aggressive removal could be recommended in patients with neuropathy and peripheral vascular disease.","author":[{"dropping-particle":"","family":"Pataky","given":"Z.","non-dropping-particle":"","parse-names":false,"suffix":""},{"dropping-particle":"","family":"Golay","given":"A.","non-dropping-particle":"","parse-names":false,"suffix":""},{"dropping-particle":"","family":"Faravel","given":"L.","non-dropping-particle":"","parse-names":false,"suffix":""},{"dropping-particle":"","family":"Silva","given":"J.","non-dropping-particle":"Da","parse-names":false,"suffix":""},{"dropping-particle":"","family":"Makoundou","given":"V.","non-dropping-particle":"","parse-names":false,"suffix":""},{"dropping-particle":"","family":"Peter-Riesch","given":"B.","non-dropping-particle":"","parse-names":false,"suffix":""},{"dropping-particle":"","family":"Assal","given":"J. P.","non-dropping-particle":"","parse-names":false,"suffix":""}],"container-title":"Diabetes and Metabolism","id":"ITEM-1","issued":{"date-parts":[["2002"]]},"page":"356-361","title":"The impact of callosities on the magnitude and duration of plantar pressure in patients with diabetes mellitus: A callus may cause 18,600 kilograms of excess plantar pressure per day","type":"article-journal","volume":"28(5)"},"uris":["http://www.mendeley.com/documents/?uuid=a390162e-4d05-42a2-b4ac-368a861a6324"]}],"mendeley":{"formattedCitation":"[45]","plainTextFormattedCitation":"[45]","previouslyFormattedCitation":"[45]"},"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[45]</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xml:space="preserve">. In our study, these lesions were most frequently located in the plantar area of the metatarsal heads, the heel and in the middle of the big toe, while they were rarely observed on the backs or the tips of the toes. These findings are in line with Armstrong </w:t>
      </w:r>
      <w:r w:rsidR="00FF0679" w:rsidRPr="00587393">
        <w:rPr>
          <w:rFonts w:ascii="Times New Roman" w:hAnsi="Times New Roman" w:cs="Times New Roman"/>
          <w:sz w:val="24"/>
          <w:szCs w:val="24"/>
          <w:lang w:val="en-GB" w:eastAsia="ar-SA"/>
        </w:rPr>
        <w:fldChar w:fldCharType="begin" w:fldLock="1"/>
      </w:r>
      <w:r w:rsidR="005F3ABA" w:rsidRPr="00587393">
        <w:rPr>
          <w:rFonts w:ascii="Times New Roman" w:hAnsi="Times New Roman" w:cs="Times New Roman"/>
          <w:sz w:val="24"/>
          <w:szCs w:val="24"/>
          <w:lang w:val="en-GB" w:eastAsia="ar-SA"/>
        </w:rPr>
        <w:instrText>ADDIN CSL_CITATION {"citationItems":[{"id":"ITEM-1","itemData":{"ISSN":"08895899","PMID":"7662093","abstract":"In order to appropriately treat the pedal diabetic wound, the treatment plan must have as its central focus the elimination or reduction of foci of stress. The purpose of this study is to analyze the off-weighting ability of aperture pads in an effort to help the practitioner choose an appropriate and effective stress relieving modality. Patients were fitted and measured while ambulating using 3 different accommodative modalities. Utilizing an electronic measurement system for the recording of pressure distribution, the plantar pressure of each subject was recorded. Measurements taken during accommodative padding were compared with the same foot or corresponding site during unpadded ambulation. The data indicates that when apertures are created in an attempt to off-weight a given ulceration or area of stress, an area of increased vertical pressure is created at the periphery of the ulceration; and that while the central aspect of the aperture pad seems to off-weight the area, the periphery bears an undue amount of vertical stress, thus amplifying shear forces and tearing of tissue as the metatarsal moves proximally during gait. We therefore conclude that none of the devices reviewed are ideal for off-weighting the plantar neurotrophic wound.","author":[{"dropping-particle":"","family":"Armstrong","given":"D. G.","non-dropping-particle":"","parse-names":false,"suffix":""},{"dropping-particle":"","family":"Liswood","given":"P. J.","non-dropping-particle":"","parse-names":false,"suffix":""},{"dropping-particle":"","family":"Todd","given":"W. F.","non-dropping-particle":"","parse-names":false,"suffix":""}],"container-title":"Ostomy/wound management","id":"ITEM-1","issued":{"date-parts":[["1995"]]},"page":"44-49","title":"Potential risks of accommodative padding in the treatment of neuropathic ulcerations.","type":"article-journal","volume":"41(7)"},"uris":["http://www.mendeley.com/documents/?uuid=8298c916-630e-489d-99bf-4ce0e087756c"]}],"mendeley":{"formattedCitation":"[46]","plainTextFormattedCitation":"[46]","previouslyFormattedCitation":"[46]"},"properties":{"noteIndex":0},"schema":"https://github.com/citation-style-language/schema/raw/master/csl-citation.json"}</w:instrText>
      </w:r>
      <w:r w:rsidR="00FF0679" w:rsidRPr="00587393">
        <w:rPr>
          <w:rFonts w:ascii="Times New Roman" w:hAnsi="Times New Roman" w:cs="Times New Roman"/>
          <w:sz w:val="24"/>
          <w:szCs w:val="24"/>
          <w:lang w:val="en-GB" w:eastAsia="ar-SA"/>
        </w:rPr>
        <w:fldChar w:fldCharType="separate"/>
      </w:r>
      <w:r w:rsidR="005F3ABA" w:rsidRPr="00587393">
        <w:rPr>
          <w:rFonts w:ascii="Times New Roman" w:hAnsi="Times New Roman" w:cs="Times New Roman"/>
          <w:noProof/>
          <w:sz w:val="24"/>
          <w:szCs w:val="24"/>
          <w:lang w:val="en-GB" w:eastAsia="ar-SA"/>
        </w:rPr>
        <w:t>[46]</w:t>
      </w:r>
      <w:r w:rsidR="00FF0679" w:rsidRPr="00587393">
        <w:rPr>
          <w:rFonts w:ascii="Times New Roman" w:hAnsi="Times New Roman" w:cs="Times New Roman"/>
          <w:sz w:val="24"/>
          <w:szCs w:val="24"/>
          <w:lang w:val="en-GB" w:eastAsia="ar-SA"/>
        </w:rPr>
        <w:fldChar w:fldCharType="end"/>
      </w:r>
      <w:r w:rsidRPr="00587393">
        <w:rPr>
          <w:rFonts w:ascii="Times New Roman" w:hAnsi="Times New Roman" w:cs="Times New Roman"/>
          <w:sz w:val="24"/>
          <w:szCs w:val="24"/>
          <w:lang w:val="en-GB" w:eastAsia="ar-SA"/>
        </w:rPr>
        <w:t>, who recorded a higher degree of hyperkeratosis and greater pressure in the central area of the metatarsal heads. Regarding the location of skin lesions, the only</w:t>
      </w:r>
      <w:r w:rsidR="00FE5C33"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 xml:space="preserve">significant relationship found was that between DPN and hyperkeratosis in the </w:t>
      </w:r>
      <w:r w:rsidR="000A55DA" w:rsidRPr="00587393">
        <w:rPr>
          <w:rFonts w:ascii="Times New Roman" w:hAnsi="Times New Roman" w:cs="Times New Roman"/>
          <w:sz w:val="24"/>
          <w:szCs w:val="24"/>
          <w:lang w:val="en-GB" w:eastAsia="ar-SA"/>
        </w:rPr>
        <w:t>plantar</w:t>
      </w:r>
      <w:r w:rsidRPr="00587393">
        <w:rPr>
          <w:rFonts w:ascii="Times New Roman" w:hAnsi="Times New Roman" w:cs="Times New Roman"/>
          <w:sz w:val="24"/>
          <w:szCs w:val="24"/>
          <w:lang w:val="en-GB" w:eastAsia="ar-SA"/>
        </w:rPr>
        <w:t xml:space="preserve"> toes of the left foot (p=0.031; * OR: 0.23 [0.56-0.96]). This association arises because the pronation of the foot generates abduction in the forefoot and therefore increases the pressure on the central area of the foot and on the metatarsals.</w:t>
      </w:r>
    </w:p>
    <w:p w14:paraId="659AC588" w14:textId="663174B0" w:rsidR="007C0DD8" w:rsidRPr="00587393" w:rsidRDefault="007C0DD8"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Our study presents important strengths. By observing the most common types of foot</w:t>
      </w:r>
      <w:r w:rsidR="00FE5C33" w:rsidRPr="00587393">
        <w:rPr>
          <w:rFonts w:ascii="Times New Roman" w:hAnsi="Times New Roman" w:cs="Times New Roman"/>
          <w:sz w:val="24"/>
          <w:szCs w:val="24"/>
          <w:lang w:val="en-GB" w:eastAsia="ar-SA"/>
        </w:rPr>
        <w:t xml:space="preserve"> </w:t>
      </w:r>
      <w:r w:rsidRPr="00587393">
        <w:rPr>
          <w:rFonts w:ascii="Times New Roman" w:hAnsi="Times New Roman" w:cs="Times New Roman"/>
          <w:sz w:val="24"/>
          <w:szCs w:val="24"/>
          <w:lang w:val="en-GB" w:eastAsia="ar-SA"/>
        </w:rPr>
        <w:t xml:space="preserve">deformity and areas of hyperkeratosis, we facilitate the choice of </w:t>
      </w:r>
      <w:r w:rsidR="000C08DC" w:rsidRPr="00587393">
        <w:rPr>
          <w:rFonts w:ascii="Times New Roman" w:hAnsi="Times New Roman" w:cs="Times New Roman"/>
          <w:sz w:val="24"/>
          <w:szCs w:val="24"/>
          <w:lang w:val="en-GB" w:eastAsia="ar-SA"/>
        </w:rPr>
        <w:t xml:space="preserve">optimum </w:t>
      </w:r>
      <w:r w:rsidRPr="00587393">
        <w:rPr>
          <w:rFonts w:ascii="Times New Roman" w:hAnsi="Times New Roman" w:cs="Times New Roman"/>
          <w:sz w:val="24"/>
          <w:szCs w:val="24"/>
          <w:lang w:val="en-GB" w:eastAsia="ar-SA"/>
        </w:rPr>
        <w:t xml:space="preserve">treatment to </w:t>
      </w:r>
      <w:r w:rsidRPr="00587393">
        <w:rPr>
          <w:rFonts w:ascii="Times New Roman" w:hAnsi="Times New Roman" w:cs="Times New Roman"/>
          <w:sz w:val="24"/>
          <w:szCs w:val="24"/>
          <w:lang w:val="en-GB" w:eastAsia="ar-SA"/>
        </w:rPr>
        <w:lastRenderedPageBreak/>
        <w:t>reduce the risk of injury in patients with DPN. In this respect, we show that the second toe is most affected by deformity.</w:t>
      </w:r>
    </w:p>
    <w:p w14:paraId="247E26FA" w14:textId="604EC5B0" w:rsidR="007C0DD8" w:rsidRPr="00587393" w:rsidRDefault="00517EC6" w:rsidP="004B09FE">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lang w:val="en-GB"/>
        </w:rPr>
        <w:t>This research presents certain limitations</w:t>
      </w:r>
      <w:r w:rsidRPr="00587393">
        <w:rPr>
          <w:rFonts w:ascii="Times New Roman" w:hAnsi="Times New Roman" w:cs="Times New Roman"/>
          <w:sz w:val="24"/>
          <w:szCs w:val="24"/>
          <w:lang w:val="en-GB" w:eastAsia="ar-SA"/>
        </w:rPr>
        <w:t>. Firstly, it is based on an observational study of a heterogeneous sample population, rather than on a longitudinal study. This characteristic of the study design may have influenced the results obtained in two respects. On the one hand, in our sample the number of participants without neuropathy significantly exceeded that of those presenting this alteration.  Another limitation of our study is that it is based on a convenience sample, which means that the homogeneity of the participants cannot be assured. In future research, therefore, the size and composition of the study groups should be controlled to optimise their homogeneity.</w:t>
      </w:r>
      <w:r w:rsidR="007C0DD8" w:rsidRPr="00587393">
        <w:rPr>
          <w:rFonts w:ascii="Times New Roman" w:hAnsi="Times New Roman" w:cs="Times New Roman"/>
          <w:sz w:val="24"/>
          <w:szCs w:val="24"/>
          <w:lang w:val="en-GB" w:eastAsia="ar-SA"/>
        </w:rPr>
        <w:t xml:space="preserve"> In future research in this field, it would be useful to have a larger sample of DM1 and DM2 patients with DPN, </w:t>
      </w:r>
      <w:proofErr w:type="gramStart"/>
      <w:r w:rsidR="007C0DD8" w:rsidRPr="00587393">
        <w:rPr>
          <w:rFonts w:ascii="Times New Roman" w:hAnsi="Times New Roman" w:cs="Times New Roman"/>
          <w:sz w:val="24"/>
          <w:szCs w:val="24"/>
          <w:lang w:val="en-GB" w:eastAsia="ar-SA"/>
        </w:rPr>
        <w:t>and also</w:t>
      </w:r>
      <w:proofErr w:type="gramEnd"/>
      <w:r w:rsidR="007C0DD8" w:rsidRPr="00587393">
        <w:rPr>
          <w:rFonts w:ascii="Times New Roman" w:hAnsi="Times New Roman" w:cs="Times New Roman"/>
          <w:sz w:val="24"/>
          <w:szCs w:val="24"/>
          <w:lang w:val="en-GB" w:eastAsia="ar-SA"/>
        </w:rPr>
        <w:t xml:space="preserve"> to monitor the types of foot stance presented, in order to determine which types of deformities they are associated with</w:t>
      </w:r>
      <w:r w:rsidR="0078283E" w:rsidRPr="00587393">
        <w:rPr>
          <w:rFonts w:ascii="Times New Roman" w:hAnsi="Times New Roman" w:cs="Times New Roman"/>
          <w:sz w:val="24"/>
          <w:szCs w:val="24"/>
          <w:lang w:val="en-GB" w:eastAsia="ar-SA"/>
        </w:rPr>
        <w:t xml:space="preserve">, </w:t>
      </w:r>
      <w:r w:rsidR="000C08DC" w:rsidRPr="00587393">
        <w:rPr>
          <w:rFonts w:ascii="Times New Roman" w:hAnsi="Times New Roman" w:cs="Times New Roman"/>
          <w:sz w:val="24"/>
          <w:szCs w:val="24"/>
          <w:lang w:val="en-GB" w:eastAsia="ar-SA"/>
        </w:rPr>
        <w:t xml:space="preserve">and thus provide the </w:t>
      </w:r>
      <w:r w:rsidR="007C0DD8" w:rsidRPr="00587393">
        <w:rPr>
          <w:rFonts w:ascii="Times New Roman" w:hAnsi="Times New Roman" w:cs="Times New Roman"/>
          <w:sz w:val="24"/>
          <w:szCs w:val="24"/>
          <w:lang w:val="en-GB" w:eastAsia="ar-SA"/>
        </w:rPr>
        <w:t xml:space="preserve">treatment </w:t>
      </w:r>
      <w:r w:rsidR="000C08DC" w:rsidRPr="00587393">
        <w:rPr>
          <w:rFonts w:ascii="Times New Roman" w:hAnsi="Times New Roman" w:cs="Times New Roman"/>
          <w:sz w:val="24"/>
          <w:szCs w:val="24"/>
          <w:lang w:val="en-GB" w:eastAsia="ar-SA"/>
        </w:rPr>
        <w:t xml:space="preserve">that </w:t>
      </w:r>
      <w:r w:rsidR="0078283E" w:rsidRPr="00587393">
        <w:rPr>
          <w:rFonts w:ascii="Times New Roman" w:hAnsi="Times New Roman" w:cs="Times New Roman"/>
          <w:sz w:val="24"/>
          <w:szCs w:val="24"/>
          <w:lang w:val="en-GB" w:eastAsia="ar-SA"/>
        </w:rPr>
        <w:t xml:space="preserve">best </w:t>
      </w:r>
      <w:r w:rsidR="007C0DD8" w:rsidRPr="00587393">
        <w:rPr>
          <w:rFonts w:ascii="Times New Roman" w:hAnsi="Times New Roman" w:cs="Times New Roman"/>
          <w:sz w:val="24"/>
          <w:szCs w:val="24"/>
          <w:lang w:val="en-GB" w:eastAsia="ar-SA"/>
        </w:rPr>
        <w:t>prevent</w:t>
      </w:r>
      <w:r w:rsidR="000C08DC" w:rsidRPr="00587393">
        <w:rPr>
          <w:rFonts w:ascii="Times New Roman" w:hAnsi="Times New Roman" w:cs="Times New Roman"/>
          <w:sz w:val="24"/>
          <w:szCs w:val="24"/>
          <w:lang w:val="en-GB" w:eastAsia="ar-SA"/>
        </w:rPr>
        <w:t>s</w:t>
      </w:r>
      <w:r w:rsidR="007C0DD8" w:rsidRPr="00587393">
        <w:rPr>
          <w:rFonts w:ascii="Times New Roman" w:hAnsi="Times New Roman" w:cs="Times New Roman"/>
          <w:sz w:val="24"/>
          <w:szCs w:val="24"/>
          <w:lang w:val="en-GB" w:eastAsia="ar-SA"/>
        </w:rPr>
        <w:t xml:space="preserve"> their development.</w:t>
      </w:r>
    </w:p>
    <w:p w14:paraId="31A06040" w14:textId="77777777" w:rsidR="00C87910" w:rsidRPr="00587393" w:rsidRDefault="00C87910" w:rsidP="00860AB4">
      <w:pPr>
        <w:spacing w:line="480" w:lineRule="auto"/>
        <w:ind w:firstLine="0"/>
        <w:rPr>
          <w:rFonts w:ascii="Times New Roman" w:hAnsi="Times New Roman" w:cs="Times New Roman"/>
          <w:sz w:val="24"/>
          <w:szCs w:val="24"/>
          <w:lang w:val="en-GB" w:eastAsia="ar-SA"/>
        </w:rPr>
      </w:pPr>
    </w:p>
    <w:p w14:paraId="3CE443E6" w14:textId="511D87E5" w:rsidR="00BF0E4B" w:rsidRPr="00587393" w:rsidRDefault="00BF0E4B" w:rsidP="00BF0E4B">
      <w:pPr>
        <w:pStyle w:val="Prrafodelista"/>
        <w:numPr>
          <w:ilvl w:val="0"/>
          <w:numId w:val="10"/>
        </w:numPr>
        <w:spacing w:line="480" w:lineRule="auto"/>
        <w:rPr>
          <w:rFonts w:ascii="Times New Roman" w:hAnsi="Times New Roman" w:cs="Times New Roman"/>
          <w:b/>
          <w:bCs/>
          <w:sz w:val="24"/>
          <w:szCs w:val="24"/>
          <w:lang w:val="en-GB" w:eastAsia="ar-SA"/>
        </w:rPr>
      </w:pPr>
      <w:r w:rsidRPr="00587393">
        <w:rPr>
          <w:rFonts w:ascii="Times New Roman" w:hAnsi="Times New Roman" w:cs="Times New Roman"/>
          <w:b/>
          <w:bCs/>
          <w:sz w:val="24"/>
          <w:szCs w:val="24"/>
          <w:lang w:val="en-GB" w:eastAsia="ar-SA"/>
        </w:rPr>
        <w:t>CONCLUSION</w:t>
      </w:r>
      <w:r w:rsidR="00C87910" w:rsidRPr="00587393">
        <w:rPr>
          <w:rFonts w:ascii="Times New Roman" w:hAnsi="Times New Roman" w:cs="Times New Roman"/>
          <w:b/>
          <w:bCs/>
          <w:sz w:val="24"/>
          <w:szCs w:val="24"/>
          <w:lang w:val="en-GB" w:eastAsia="ar-SA"/>
        </w:rPr>
        <w:t>S</w:t>
      </w:r>
    </w:p>
    <w:p w14:paraId="57EE6464" w14:textId="0CB0B637" w:rsidR="0078283E" w:rsidRPr="00587393" w:rsidRDefault="0078283E" w:rsidP="00860AB4">
      <w:pPr>
        <w:spacing w:line="480" w:lineRule="auto"/>
        <w:ind w:firstLine="0"/>
        <w:rPr>
          <w:rFonts w:ascii="Times New Roman" w:hAnsi="Times New Roman" w:cs="Times New Roman"/>
          <w:sz w:val="24"/>
          <w:szCs w:val="24"/>
          <w:lang w:val="en-GB" w:eastAsia="ar-SA"/>
        </w:rPr>
      </w:pPr>
      <w:r w:rsidRPr="00587393">
        <w:rPr>
          <w:rFonts w:ascii="Times New Roman" w:hAnsi="Times New Roman" w:cs="Times New Roman"/>
          <w:sz w:val="24"/>
          <w:szCs w:val="24"/>
          <w:lang w:val="en-GB" w:eastAsia="ar-SA"/>
        </w:rPr>
        <w:t xml:space="preserve">In conclusion, a significant number of foot deformities were observed among these patients with DM, regardless of the presence of DPN. These deformities should be carefully evaluated </w:t>
      </w:r>
      <w:proofErr w:type="gramStart"/>
      <w:r w:rsidRPr="00587393">
        <w:rPr>
          <w:rFonts w:ascii="Times New Roman" w:hAnsi="Times New Roman" w:cs="Times New Roman"/>
          <w:sz w:val="24"/>
          <w:szCs w:val="24"/>
          <w:lang w:val="en-GB" w:eastAsia="ar-SA"/>
        </w:rPr>
        <w:t>in order to</w:t>
      </w:r>
      <w:proofErr w:type="gramEnd"/>
      <w:r w:rsidRPr="00587393">
        <w:rPr>
          <w:rFonts w:ascii="Times New Roman" w:hAnsi="Times New Roman" w:cs="Times New Roman"/>
          <w:sz w:val="24"/>
          <w:szCs w:val="24"/>
          <w:lang w:val="en-GB" w:eastAsia="ar-SA"/>
        </w:rPr>
        <w:t xml:space="preserve"> determine the most appropriate treatment at an early stage</w:t>
      </w:r>
      <w:r w:rsidR="000C08DC" w:rsidRPr="00587393">
        <w:rPr>
          <w:rFonts w:ascii="Times New Roman" w:hAnsi="Times New Roman" w:cs="Times New Roman"/>
          <w:sz w:val="24"/>
          <w:szCs w:val="24"/>
          <w:lang w:val="en-GB" w:eastAsia="ar-SA"/>
        </w:rPr>
        <w:t>, which will</w:t>
      </w:r>
      <w:r w:rsidRPr="00587393">
        <w:rPr>
          <w:rFonts w:ascii="Times New Roman" w:hAnsi="Times New Roman" w:cs="Times New Roman"/>
          <w:sz w:val="24"/>
          <w:szCs w:val="24"/>
          <w:lang w:val="en-GB" w:eastAsia="ar-SA"/>
        </w:rPr>
        <w:t xml:space="preserve"> reduce the risk of ulceration. It is also essential to </w:t>
      </w:r>
      <w:r w:rsidR="000C08DC" w:rsidRPr="00587393">
        <w:rPr>
          <w:rFonts w:ascii="Times New Roman" w:hAnsi="Times New Roman" w:cs="Times New Roman"/>
          <w:sz w:val="24"/>
          <w:szCs w:val="24"/>
          <w:lang w:val="en-GB" w:eastAsia="ar-SA"/>
        </w:rPr>
        <w:t xml:space="preserve">detect </w:t>
      </w:r>
      <w:r w:rsidRPr="00587393">
        <w:rPr>
          <w:rFonts w:ascii="Times New Roman" w:hAnsi="Times New Roman" w:cs="Times New Roman"/>
          <w:sz w:val="24"/>
          <w:szCs w:val="24"/>
          <w:lang w:val="en-GB" w:eastAsia="ar-SA"/>
        </w:rPr>
        <w:t xml:space="preserve">the presence of hyperkeratosis, so that it may be eliminated effectively, </w:t>
      </w:r>
      <w:r w:rsidR="00DE0F05" w:rsidRPr="00587393">
        <w:rPr>
          <w:rFonts w:ascii="Times New Roman" w:hAnsi="Times New Roman" w:cs="Times New Roman"/>
          <w:sz w:val="24"/>
          <w:szCs w:val="24"/>
          <w:lang w:val="en-GB" w:eastAsia="ar-SA"/>
        </w:rPr>
        <w:t>alleviating</w:t>
      </w:r>
      <w:r w:rsidRPr="00587393">
        <w:rPr>
          <w:rFonts w:ascii="Times New Roman" w:hAnsi="Times New Roman" w:cs="Times New Roman"/>
          <w:sz w:val="24"/>
          <w:szCs w:val="24"/>
          <w:lang w:val="en-GB" w:eastAsia="ar-SA"/>
        </w:rPr>
        <w:t xml:space="preserve"> pressure on the area. This approach would produce financial savings for healthcare systems by facilitating primary interventions to reduce the risk of ulceration and the possible need </w:t>
      </w:r>
      <w:r w:rsidR="00DE0F05" w:rsidRPr="00587393">
        <w:rPr>
          <w:rFonts w:ascii="Times New Roman" w:hAnsi="Times New Roman" w:cs="Times New Roman"/>
          <w:sz w:val="24"/>
          <w:szCs w:val="24"/>
          <w:lang w:val="en-GB" w:eastAsia="ar-SA"/>
        </w:rPr>
        <w:t xml:space="preserve">for </w:t>
      </w:r>
      <w:r w:rsidRPr="00587393">
        <w:rPr>
          <w:rFonts w:ascii="Times New Roman" w:hAnsi="Times New Roman" w:cs="Times New Roman"/>
          <w:sz w:val="24"/>
          <w:szCs w:val="24"/>
          <w:lang w:val="en-GB" w:eastAsia="ar-SA"/>
        </w:rPr>
        <w:lastRenderedPageBreak/>
        <w:t>amputation.</w:t>
      </w:r>
      <w:r w:rsidR="004B09FE" w:rsidRPr="00587393">
        <w:rPr>
          <w:rFonts w:ascii="Times New Roman" w:hAnsi="Times New Roman" w:cs="Times New Roman"/>
          <w:sz w:val="24"/>
          <w:szCs w:val="24"/>
          <w:lang w:val="en-GB" w:eastAsia="ar-SA"/>
        </w:rPr>
        <w:t xml:space="preserve"> Our findings showed than conclusions should be use with </w:t>
      </w:r>
      <w:proofErr w:type="gramStart"/>
      <w:r w:rsidR="004B09FE" w:rsidRPr="00587393">
        <w:rPr>
          <w:rFonts w:ascii="Times New Roman" w:hAnsi="Times New Roman" w:cs="Times New Roman"/>
          <w:sz w:val="24"/>
          <w:szCs w:val="24"/>
          <w:lang w:val="en-GB" w:eastAsia="ar-SA"/>
        </w:rPr>
        <w:t>caution  to</w:t>
      </w:r>
      <w:proofErr w:type="gramEnd"/>
      <w:r w:rsidR="004B09FE" w:rsidRPr="00587393">
        <w:rPr>
          <w:rFonts w:ascii="Times New Roman" w:hAnsi="Times New Roman" w:cs="Times New Roman"/>
          <w:sz w:val="24"/>
          <w:szCs w:val="24"/>
          <w:lang w:val="en-GB" w:eastAsia="ar-SA"/>
        </w:rPr>
        <w:t xml:space="preserve"> be transferrable to the general population wit</w:t>
      </w:r>
      <w:r w:rsidR="00C60782" w:rsidRPr="00587393">
        <w:rPr>
          <w:rFonts w:ascii="Times New Roman" w:hAnsi="Times New Roman" w:cs="Times New Roman"/>
          <w:sz w:val="24"/>
          <w:szCs w:val="24"/>
          <w:lang w:val="en-GB" w:eastAsia="ar-SA"/>
        </w:rPr>
        <w:t>h</w:t>
      </w:r>
      <w:r w:rsidR="004B09FE" w:rsidRPr="00587393">
        <w:rPr>
          <w:rFonts w:ascii="Times New Roman" w:hAnsi="Times New Roman" w:cs="Times New Roman"/>
          <w:sz w:val="24"/>
          <w:szCs w:val="24"/>
          <w:lang w:val="en-GB" w:eastAsia="ar-SA"/>
        </w:rPr>
        <w:t xml:space="preserve"> </w:t>
      </w:r>
      <w:r w:rsidR="00C60782" w:rsidRPr="00587393">
        <w:rPr>
          <w:rFonts w:ascii="Times New Roman" w:hAnsi="Times New Roman" w:cs="Times New Roman"/>
          <w:sz w:val="24"/>
          <w:szCs w:val="24"/>
          <w:lang w:val="en-GB" w:eastAsia="ar-SA"/>
        </w:rPr>
        <w:t xml:space="preserve">peripheral </w:t>
      </w:r>
      <w:r w:rsidR="004B09FE" w:rsidRPr="00587393">
        <w:rPr>
          <w:rFonts w:ascii="Times New Roman" w:hAnsi="Times New Roman" w:cs="Times New Roman"/>
          <w:sz w:val="24"/>
          <w:szCs w:val="24"/>
          <w:lang w:val="en-GB" w:eastAsia="ar-SA"/>
        </w:rPr>
        <w:t>neuropathy.</w:t>
      </w:r>
      <w:r w:rsidR="004B09FE" w:rsidRPr="00587393">
        <w:rPr>
          <w:rFonts w:ascii="Arial" w:hAnsi="Arial" w:cs="Arial"/>
          <w:sz w:val="26"/>
          <w:szCs w:val="26"/>
        </w:rPr>
        <w:t> </w:t>
      </w:r>
    </w:p>
    <w:p w14:paraId="7C91B46D" w14:textId="77777777" w:rsidR="004765D0" w:rsidRPr="00587393" w:rsidRDefault="004765D0" w:rsidP="00860AB4">
      <w:pPr>
        <w:spacing w:line="480" w:lineRule="auto"/>
        <w:ind w:firstLine="0"/>
        <w:rPr>
          <w:rFonts w:ascii="Times New Roman" w:hAnsi="Times New Roman" w:cs="Times New Roman"/>
          <w:b/>
          <w:sz w:val="24"/>
          <w:szCs w:val="24"/>
          <w:lang w:val="en-GB" w:eastAsia="ar-SA"/>
        </w:rPr>
      </w:pPr>
    </w:p>
    <w:p w14:paraId="076C068F" w14:textId="04552249" w:rsidR="00491A62" w:rsidRPr="00587393" w:rsidRDefault="00491A62" w:rsidP="00BF0E4B">
      <w:pPr>
        <w:pStyle w:val="Prrafodelista"/>
        <w:numPr>
          <w:ilvl w:val="0"/>
          <w:numId w:val="10"/>
        </w:numPr>
        <w:spacing w:line="480" w:lineRule="auto"/>
        <w:rPr>
          <w:rFonts w:ascii="Times New Roman" w:hAnsi="Times New Roman" w:cs="Times New Roman"/>
          <w:b/>
          <w:sz w:val="24"/>
          <w:szCs w:val="24"/>
          <w:lang w:val="en-GB" w:eastAsia="ar-SA"/>
        </w:rPr>
      </w:pPr>
      <w:r w:rsidRPr="00587393">
        <w:rPr>
          <w:rFonts w:ascii="Times New Roman" w:hAnsi="Times New Roman" w:cs="Times New Roman"/>
          <w:b/>
          <w:sz w:val="24"/>
          <w:szCs w:val="24"/>
          <w:lang w:val="en-GB" w:eastAsia="ar-SA"/>
        </w:rPr>
        <w:t>ACKNOWLEGEMENTS</w:t>
      </w:r>
    </w:p>
    <w:p w14:paraId="75231CE7" w14:textId="77777777" w:rsidR="00491A62" w:rsidRPr="00587393" w:rsidRDefault="00491A62" w:rsidP="00491A62">
      <w:pPr>
        <w:spacing w:line="480" w:lineRule="auto"/>
        <w:ind w:firstLine="0"/>
        <w:rPr>
          <w:rFonts w:ascii="Times New Roman" w:eastAsia="Times New Roman" w:hAnsi="Times New Roman" w:cs="Times New Roman"/>
          <w:sz w:val="24"/>
          <w:szCs w:val="24"/>
          <w:lang w:val="en-GB"/>
        </w:rPr>
      </w:pPr>
      <w:r w:rsidRPr="00587393">
        <w:rPr>
          <w:rFonts w:ascii="Times New Roman" w:eastAsia="Times New Roman" w:hAnsi="Times New Roman" w:cs="Times New Roman"/>
          <w:b/>
          <w:sz w:val="24"/>
          <w:szCs w:val="24"/>
          <w:lang w:val="en-GB"/>
        </w:rPr>
        <w:t>Funding:</w:t>
      </w:r>
      <w:r w:rsidRPr="00587393">
        <w:rPr>
          <w:rFonts w:ascii="Times New Roman" w:eastAsia="Times New Roman" w:hAnsi="Times New Roman" w:cs="Times New Roman"/>
          <w:sz w:val="24"/>
          <w:szCs w:val="24"/>
          <w:lang w:val="en-GB"/>
        </w:rPr>
        <w:t xml:space="preserve"> This study did not receive any funding.</w:t>
      </w:r>
    </w:p>
    <w:p w14:paraId="5F18CB18" w14:textId="77777777" w:rsidR="00491A62" w:rsidRPr="00587393" w:rsidRDefault="00491A62" w:rsidP="00491A62">
      <w:pPr>
        <w:spacing w:line="480" w:lineRule="auto"/>
        <w:ind w:firstLine="0"/>
        <w:rPr>
          <w:rFonts w:ascii="Times New Roman" w:eastAsia="Times New Roman" w:hAnsi="Times New Roman" w:cs="Times New Roman"/>
          <w:sz w:val="24"/>
          <w:szCs w:val="24"/>
          <w:lang w:val="en-GB"/>
        </w:rPr>
      </w:pPr>
      <w:r w:rsidRPr="00587393">
        <w:rPr>
          <w:rFonts w:ascii="Times New Roman" w:eastAsia="Times New Roman" w:hAnsi="Times New Roman" w:cs="Times New Roman"/>
          <w:b/>
          <w:sz w:val="24"/>
          <w:szCs w:val="24"/>
          <w:lang w:val="en-GB"/>
        </w:rPr>
        <w:t>Conflict of interest</w:t>
      </w:r>
      <w:r w:rsidRPr="00587393">
        <w:rPr>
          <w:rFonts w:ascii="Times New Roman" w:eastAsia="Times New Roman" w:hAnsi="Times New Roman" w:cs="Times New Roman"/>
          <w:sz w:val="24"/>
          <w:szCs w:val="24"/>
          <w:lang w:val="en-GB"/>
        </w:rPr>
        <w:t>: All the authors declare that they have no conflict of interest derived from the outcomes of this study.</w:t>
      </w:r>
    </w:p>
    <w:p w14:paraId="38EDF84B" w14:textId="77777777" w:rsidR="00491A62" w:rsidRPr="00587393" w:rsidRDefault="00491A62" w:rsidP="00491A62">
      <w:pPr>
        <w:spacing w:line="480" w:lineRule="auto"/>
        <w:ind w:firstLine="0"/>
        <w:rPr>
          <w:rFonts w:ascii="Times New Roman" w:hAnsi="Times New Roman" w:cs="Times New Roman"/>
          <w:b/>
          <w:sz w:val="24"/>
          <w:szCs w:val="24"/>
          <w:lang w:val="en-GB" w:eastAsia="ar-SA"/>
        </w:rPr>
      </w:pPr>
    </w:p>
    <w:p w14:paraId="7B1B5B1F" w14:textId="52B51178" w:rsidR="00D82B33" w:rsidRPr="00587393" w:rsidRDefault="00392C49" w:rsidP="00BF0E4B">
      <w:pPr>
        <w:pStyle w:val="Prrafodelista"/>
        <w:numPr>
          <w:ilvl w:val="0"/>
          <w:numId w:val="10"/>
        </w:numPr>
        <w:spacing w:line="480" w:lineRule="auto"/>
        <w:rPr>
          <w:rFonts w:ascii="Times New Roman" w:hAnsi="Times New Roman" w:cs="Times New Roman"/>
          <w:b/>
          <w:sz w:val="24"/>
          <w:szCs w:val="24"/>
          <w:lang w:val="en-GB" w:eastAsia="ar-SA"/>
        </w:rPr>
      </w:pPr>
      <w:r w:rsidRPr="00587393">
        <w:rPr>
          <w:rFonts w:ascii="Times New Roman" w:hAnsi="Times New Roman" w:cs="Times New Roman"/>
          <w:b/>
          <w:sz w:val="24"/>
          <w:szCs w:val="24"/>
          <w:lang w:val="en-GB" w:eastAsia="ar-SA"/>
        </w:rPr>
        <w:t>REFERENC</w:t>
      </w:r>
      <w:r w:rsidR="00DE0F05" w:rsidRPr="00587393">
        <w:rPr>
          <w:rFonts w:ascii="Times New Roman" w:hAnsi="Times New Roman" w:cs="Times New Roman"/>
          <w:b/>
          <w:sz w:val="24"/>
          <w:szCs w:val="24"/>
          <w:lang w:val="en-GB" w:eastAsia="ar-SA"/>
        </w:rPr>
        <w:t>E</w:t>
      </w:r>
      <w:r w:rsidRPr="00587393">
        <w:rPr>
          <w:rFonts w:ascii="Times New Roman" w:hAnsi="Times New Roman" w:cs="Times New Roman"/>
          <w:b/>
          <w:sz w:val="24"/>
          <w:szCs w:val="24"/>
          <w:lang w:val="en-GB" w:eastAsia="ar-SA"/>
        </w:rPr>
        <w:t>S</w:t>
      </w:r>
    </w:p>
    <w:p w14:paraId="18E7A6F9" w14:textId="47A5B8B3" w:rsidR="005F3ABA" w:rsidRPr="00587393" w:rsidRDefault="00002E0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sz w:val="24"/>
          <w:szCs w:val="24"/>
          <w:lang w:val="en-GB"/>
        </w:rPr>
        <w:fldChar w:fldCharType="begin" w:fldLock="1"/>
      </w:r>
      <w:r w:rsidRPr="00587393">
        <w:rPr>
          <w:rFonts w:ascii="Times New Roman" w:hAnsi="Times New Roman" w:cs="Times New Roman"/>
          <w:sz w:val="24"/>
          <w:szCs w:val="24"/>
          <w:lang w:val="en-GB"/>
        </w:rPr>
        <w:instrText xml:space="preserve">ADDIN Mendeley Bibliography CSL_BIBLIOGRAPHY </w:instrText>
      </w:r>
      <w:r w:rsidRPr="00587393">
        <w:rPr>
          <w:rFonts w:ascii="Times New Roman" w:hAnsi="Times New Roman" w:cs="Times New Roman"/>
          <w:sz w:val="24"/>
          <w:szCs w:val="24"/>
          <w:lang w:val="en-GB"/>
        </w:rPr>
        <w:fldChar w:fldCharType="separate"/>
      </w:r>
      <w:bookmarkStart w:id="7" w:name="_Hlk65668680"/>
      <w:r w:rsidR="005F3ABA" w:rsidRPr="00587393">
        <w:rPr>
          <w:rFonts w:ascii="Times New Roman" w:hAnsi="Times New Roman" w:cs="Times New Roman"/>
          <w:noProof/>
          <w:sz w:val="24"/>
          <w:szCs w:val="24"/>
        </w:rPr>
        <w:t>[1]</w:t>
      </w:r>
      <w:r w:rsidR="005F3ABA" w:rsidRPr="00587393">
        <w:rPr>
          <w:rFonts w:ascii="Times New Roman" w:hAnsi="Times New Roman" w:cs="Times New Roman"/>
          <w:noProof/>
          <w:sz w:val="24"/>
          <w:szCs w:val="24"/>
        </w:rPr>
        <w:tab/>
        <w:t>Harding JL, Pavkov ME, Magliano DJ, Shaw JE, Gregg EW. Global trends in diabetes complications: a review of current evidence. Diabetologia 2019. https://doi.org/10.1007/s00125-018-4711-2.</w:t>
      </w:r>
    </w:p>
    <w:p w14:paraId="09FD6EA2"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w:t>
      </w:r>
      <w:r w:rsidRPr="00587393">
        <w:rPr>
          <w:rFonts w:ascii="Times New Roman" w:hAnsi="Times New Roman" w:cs="Times New Roman"/>
          <w:noProof/>
          <w:sz w:val="24"/>
          <w:szCs w:val="24"/>
        </w:rPr>
        <w:tab/>
        <w:t>Liu X, Xu Y, An M, Zeng Q. The risk factors for diabetic peripheral neuropathy: A meta-analysis. PLoS One 2019;14. https://doi.org/10.1371/journal.pone.0212574.</w:t>
      </w:r>
    </w:p>
    <w:p w14:paraId="5A89FDF7"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w:t>
      </w:r>
      <w:r w:rsidRPr="00587393">
        <w:rPr>
          <w:rFonts w:ascii="Times New Roman" w:hAnsi="Times New Roman" w:cs="Times New Roman"/>
          <w:noProof/>
          <w:sz w:val="24"/>
          <w:szCs w:val="24"/>
        </w:rPr>
        <w:tab/>
        <w:t>Sun J, Wang Y, Zhang X, Zhu S, He H. Prevalence of peripheral neuropathy in patients with diabetes: A systematic review and meta-analysis. Prim Care Diabetes 2020;14:435–44. https://doi.org/10.1016/j.pcd.2019.12.005.</w:t>
      </w:r>
    </w:p>
    <w:p w14:paraId="7AE0C0A6"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w:t>
      </w:r>
      <w:r w:rsidRPr="00587393">
        <w:rPr>
          <w:rFonts w:ascii="Times New Roman" w:hAnsi="Times New Roman" w:cs="Times New Roman"/>
          <w:noProof/>
          <w:sz w:val="24"/>
          <w:szCs w:val="24"/>
        </w:rPr>
        <w:tab/>
        <w:t>Almuhannadi H, Ponirakis G, Khan A, Malik RA. Diabetic neuropathy and painful diabetic neuropathy: Cinderella complications in South East Asia. J Pak Med Assoc 2018.</w:t>
      </w:r>
    </w:p>
    <w:p w14:paraId="1B4B8AEE"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lastRenderedPageBreak/>
        <w:t>[5]</w:t>
      </w:r>
      <w:r w:rsidRPr="00587393">
        <w:rPr>
          <w:rFonts w:ascii="Times New Roman" w:hAnsi="Times New Roman" w:cs="Times New Roman"/>
          <w:noProof/>
          <w:sz w:val="24"/>
          <w:szCs w:val="24"/>
        </w:rPr>
        <w:tab/>
        <w:t>Li Q, Jingya N, Jinyi Z, Qingjun Z, Fang Z, Ning Z, et al. Prevalence and risk factors of diabetic peripheral neuropathy in Chinese communities. Chinese J Endem 2019;40:1578–84. https://doi.org/10.3760/cma.j.issn.0254-6450.2019.12.014.</w:t>
      </w:r>
    </w:p>
    <w:p w14:paraId="3C1D9238" w14:textId="77777777" w:rsidR="005F3ABA" w:rsidRPr="00AC6D29" w:rsidRDefault="005F3ABA" w:rsidP="005F3ABA">
      <w:pPr>
        <w:widowControl w:val="0"/>
        <w:autoSpaceDE w:val="0"/>
        <w:autoSpaceDN w:val="0"/>
        <w:adjustRightInd w:val="0"/>
        <w:spacing w:line="480" w:lineRule="auto"/>
        <w:ind w:left="640" w:hanging="640"/>
        <w:rPr>
          <w:rFonts w:ascii="Times New Roman" w:hAnsi="Times New Roman" w:cs="Times New Roman"/>
          <w:noProof/>
          <w:color w:val="FF0000"/>
          <w:sz w:val="24"/>
          <w:szCs w:val="24"/>
        </w:rPr>
      </w:pPr>
      <w:r w:rsidRPr="00587393">
        <w:rPr>
          <w:rFonts w:ascii="Times New Roman" w:hAnsi="Times New Roman" w:cs="Times New Roman"/>
          <w:noProof/>
          <w:sz w:val="24"/>
          <w:szCs w:val="24"/>
        </w:rPr>
        <w:t>[6]</w:t>
      </w:r>
      <w:r w:rsidRPr="00587393">
        <w:rPr>
          <w:rFonts w:ascii="Times New Roman" w:hAnsi="Times New Roman" w:cs="Times New Roman"/>
          <w:noProof/>
          <w:sz w:val="24"/>
          <w:szCs w:val="24"/>
        </w:rPr>
        <w:tab/>
      </w:r>
      <w:r w:rsidRPr="00AC6D29">
        <w:rPr>
          <w:rFonts w:ascii="Times New Roman" w:hAnsi="Times New Roman" w:cs="Times New Roman"/>
          <w:noProof/>
          <w:color w:val="FF0000"/>
          <w:sz w:val="24"/>
          <w:szCs w:val="24"/>
        </w:rPr>
        <w:t>Gregg EW, Gu Q, Williams D, de Rekeneire N, Cheng YJ, Geiss L, et al. Prevalence of lower extremity diseases associated with normal glucose levels, impaired fasting glucose, and diabetes among U.S. adults aged 40 or older. Diabetes Res Clin Pract 2007. https://doi.org/10.1016/j.diabres.2007.01.005.</w:t>
      </w:r>
    </w:p>
    <w:p w14:paraId="557F4C4E" w14:textId="77777777" w:rsidR="005F3ABA" w:rsidRPr="00AC6D29" w:rsidRDefault="005F3ABA" w:rsidP="005F3ABA">
      <w:pPr>
        <w:widowControl w:val="0"/>
        <w:autoSpaceDE w:val="0"/>
        <w:autoSpaceDN w:val="0"/>
        <w:adjustRightInd w:val="0"/>
        <w:spacing w:line="480" w:lineRule="auto"/>
        <w:ind w:left="640" w:hanging="640"/>
        <w:rPr>
          <w:rFonts w:ascii="Times New Roman" w:hAnsi="Times New Roman" w:cs="Times New Roman"/>
          <w:noProof/>
          <w:color w:val="FF0000"/>
          <w:sz w:val="24"/>
          <w:szCs w:val="24"/>
        </w:rPr>
      </w:pPr>
      <w:r w:rsidRPr="00AC6D29">
        <w:rPr>
          <w:rFonts w:ascii="Times New Roman" w:hAnsi="Times New Roman" w:cs="Times New Roman"/>
          <w:noProof/>
          <w:color w:val="FF0000"/>
          <w:sz w:val="24"/>
          <w:szCs w:val="24"/>
        </w:rPr>
        <w:t>[7]</w:t>
      </w:r>
      <w:r w:rsidRPr="00AC6D29">
        <w:rPr>
          <w:rFonts w:ascii="Times New Roman" w:hAnsi="Times New Roman" w:cs="Times New Roman"/>
          <w:noProof/>
          <w:color w:val="FF0000"/>
          <w:sz w:val="24"/>
          <w:szCs w:val="24"/>
        </w:rPr>
        <w:tab/>
        <w:t>Cabezas-Cerrato J. The prevalence of clinical diabetic polyneuropathy in Spain: a study in primary care and hospital clinic groups. Neuropathy Spanish Study Group of the Spanish Diabetes Society (SDS). Diabetologia 1998;41(11):1263–9. https://doi.org/10.1007/s001250051063.</w:t>
      </w:r>
    </w:p>
    <w:p w14:paraId="0F9F1DA3"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[8]</w:t>
      </w:r>
      <w:r w:rsidRPr="00587393">
        <w:rPr>
          <w:rFonts w:ascii="Times New Roman" w:hAnsi="Times New Roman" w:cs="Times New Roman"/>
          <w:noProof/>
          <w:sz w:val="24"/>
          <w:szCs w:val="24"/>
        </w:rPr>
        <w:tab/>
        <w:t>Veves A SM. Diagnosis, Classification, and Treatment of Diabetic Peripheral Neuropathy - PubMed. Clin Pod Med Surg 1995:19–30. https://pubmed.ncbi.nlm.nih.gov/7720030/ (accessed June 11, 2020).</w:t>
      </w:r>
    </w:p>
    <w:p w14:paraId="6640ACC3"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[9]</w:t>
      </w:r>
      <w:r w:rsidRPr="00587393">
        <w:rPr>
          <w:rFonts w:ascii="Times New Roman" w:hAnsi="Times New Roman" w:cs="Times New Roman"/>
          <w:noProof/>
          <w:sz w:val="24"/>
          <w:szCs w:val="24"/>
        </w:rPr>
        <w:tab/>
        <w:t>Pinzur MS. Diabetic Peripheral Neuropathy. Foot Ankle Clin 2011;16:345–9. https://doi.org/10.1016/j.fcl.2011.01.002.</w:t>
      </w:r>
    </w:p>
    <w:p w14:paraId="5A3097AB"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[10]</w:t>
      </w:r>
      <w:r w:rsidRPr="00587393">
        <w:rPr>
          <w:rFonts w:ascii="Times New Roman" w:hAnsi="Times New Roman" w:cs="Times New Roman"/>
          <w:noProof/>
          <w:sz w:val="24"/>
          <w:szCs w:val="24"/>
        </w:rPr>
        <w:tab/>
        <w:t>Iqbal Z, Azmi S, Yadav R, Ferdousi M, Kumar M, Cuthbertson DJ, et al. Diabetic Peripheral Neuropathy: Epidemiology, Diagnosis, and Pharmacotherapy. Clin Ther 2018:828–49. https://doi.org/10.1016/j.clinthera.2018.04.001.</w:t>
      </w:r>
    </w:p>
    <w:p w14:paraId="15376B5E"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[11]</w:t>
      </w:r>
      <w:r w:rsidRPr="00587393">
        <w:rPr>
          <w:rFonts w:ascii="Times New Roman" w:hAnsi="Times New Roman" w:cs="Times New Roman"/>
          <w:noProof/>
          <w:sz w:val="24"/>
          <w:szCs w:val="24"/>
        </w:rPr>
        <w:tab/>
        <w:t>Tabatabaei-Malazy O, Mohajeri-Tehrani MR, Madani SP, Heshmat R, Larijani B. The prevalence of diabetic peripheral neuropathy and related factors. Iran J Public Health 2011;40(3):55–62.</w:t>
      </w:r>
    </w:p>
    <w:p w14:paraId="0A1EAC60"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lastRenderedPageBreak/>
        <w:t>[12]</w:t>
      </w:r>
      <w:r w:rsidRPr="00587393">
        <w:rPr>
          <w:rFonts w:ascii="Times New Roman" w:hAnsi="Times New Roman" w:cs="Times New Roman"/>
          <w:noProof/>
          <w:sz w:val="24"/>
          <w:szCs w:val="24"/>
        </w:rPr>
        <w:tab/>
        <w:t>Ababneh A, Bakri FG, Khader Y, Lazzarini P, Ajlouni K. Prevalence and Associates of Foot Deformities among Patients with Diabetes in Jordan. Curr Diabetes Rev 2019. https://doi.org/10.2174/1573399815666191001101910.</w:t>
      </w:r>
    </w:p>
    <w:p w14:paraId="55C78D54"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[13]</w:t>
      </w:r>
      <w:r w:rsidRPr="00587393">
        <w:rPr>
          <w:rFonts w:ascii="Times New Roman" w:hAnsi="Times New Roman" w:cs="Times New Roman"/>
          <w:noProof/>
          <w:sz w:val="24"/>
          <w:szCs w:val="24"/>
        </w:rPr>
        <w:tab/>
        <w:t>Richard JL, Schuldiner S. Epidemiology of diabetic foot problems. Rev Med Interne 2008;29:222–30. https://doi.org/10.1016/S0248-8663(08)73949-3.</w:t>
      </w:r>
    </w:p>
    <w:p w14:paraId="6385C108"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[14]</w:t>
      </w:r>
      <w:r w:rsidRPr="00587393">
        <w:rPr>
          <w:rFonts w:ascii="Times New Roman" w:hAnsi="Times New Roman" w:cs="Times New Roman"/>
          <w:noProof/>
          <w:sz w:val="24"/>
          <w:szCs w:val="24"/>
        </w:rPr>
        <w:tab/>
        <w:t>Cowley MS, Boyko EJ, Shofer JB, Ahroni JH, Ledoux WR. Foot ulcer risk and location in relation to prospective clinical assessment of foot shape and mobility among persons with diabetes. Diabetes Res Clin Pract 2008;82(2):226–32. https://doi.org/10.1016/j.diabres.2008.07.025.</w:t>
      </w:r>
    </w:p>
    <w:p w14:paraId="1D4B30DE"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[15]</w:t>
      </w:r>
      <w:r w:rsidRPr="00587393">
        <w:rPr>
          <w:rFonts w:ascii="Times New Roman" w:hAnsi="Times New Roman" w:cs="Times New Roman"/>
          <w:noProof/>
          <w:sz w:val="24"/>
          <w:szCs w:val="24"/>
        </w:rPr>
        <w:tab/>
        <w:t>Yazdanpanah L, Shahbazian H, Nazari I, Arti HR, Ahmadi F, Mohammadianinejad SE, et al. Incidence and Risk Factors of Diabetic Foot Ulcer: A Population-Based Diabetic Foot Cohort (ADFC Study)-Two-Year Follow-Up Study. Intonal J Endocrinol 2018;15. https://doi.org/10.1155/2018/7631659.</w:t>
      </w:r>
    </w:p>
    <w:p w14:paraId="689E69C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[16]</w:t>
      </w:r>
      <w:r w:rsidRPr="00587393">
        <w:rPr>
          <w:rFonts w:ascii="Times New Roman" w:hAnsi="Times New Roman" w:cs="Times New Roman"/>
          <w:noProof/>
          <w:sz w:val="24"/>
          <w:szCs w:val="24"/>
        </w:rPr>
        <w:tab/>
        <w:t>Monteiro-Soares M, Boyko EJ, Ribeiro J, Ribeiro I, Dinis-Ribeiro M. Predictive factors for diabetic foot ulceration: A systematic review. Diabetes Metab Res Rev 2012:574–600. https://doi.org/10.1002/dmrr.2319.</w:t>
      </w:r>
    </w:p>
    <w:p w14:paraId="204CA274"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[17]</w:t>
      </w:r>
      <w:r w:rsidRPr="00587393">
        <w:rPr>
          <w:rFonts w:ascii="Times New Roman" w:hAnsi="Times New Roman" w:cs="Times New Roman"/>
          <w:noProof/>
          <w:sz w:val="24"/>
          <w:szCs w:val="24"/>
        </w:rPr>
        <w:tab/>
        <w:t>Fernando M, Crowther R, Lazzarini P, Sangla K, Cunningham M, Buttner P, et al. Biomechanical characteristics of peripheral diabetic neuropathy: A systematic review and meta-analysis of findings from the gait cycle, muscle activity and dynamic barefoot plantar pressure. Clin Biomech 2013:831–45. https://doi.org/10.1016/j.clinbiomech.2013.08.004.</w:t>
      </w:r>
    </w:p>
    <w:p w14:paraId="37010798"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[18]</w:t>
      </w:r>
      <w:r w:rsidRPr="00587393">
        <w:rPr>
          <w:rFonts w:ascii="Times New Roman" w:hAnsi="Times New Roman" w:cs="Times New Roman"/>
          <w:noProof/>
          <w:sz w:val="24"/>
          <w:szCs w:val="24"/>
        </w:rPr>
        <w:tab/>
        <w:t xml:space="preserve">Allan J, Munro W, Figgins E. Foot deformities within the diabetic foot and their influence on biomechanics: A review of the literature. Prosthet Orthot Int </w:t>
      </w:r>
      <w:r w:rsidRPr="00587393">
        <w:rPr>
          <w:rFonts w:ascii="Times New Roman" w:hAnsi="Times New Roman" w:cs="Times New Roman"/>
          <w:noProof/>
          <w:sz w:val="24"/>
          <w:szCs w:val="24"/>
        </w:rPr>
        <w:lastRenderedPageBreak/>
        <w:t>2016:182–92. https://doi.org/10.1177/0309364615592705.</w:t>
      </w:r>
    </w:p>
    <w:p w14:paraId="3D8D28B0"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[19]</w:t>
      </w:r>
      <w:r w:rsidRPr="00587393">
        <w:rPr>
          <w:rFonts w:ascii="Times New Roman" w:hAnsi="Times New Roman" w:cs="Times New Roman"/>
          <w:noProof/>
          <w:sz w:val="24"/>
          <w:szCs w:val="24"/>
        </w:rPr>
        <w:tab/>
        <w:t>Ferreira AC, MacEdo FYB. A review of simple, non-invasive means of assessing peripheral arterial disease and implications for medical management. Ann Med 2010:139–50. https://doi.org/10.3109/07853890903521070.</w:t>
      </w:r>
    </w:p>
    <w:p w14:paraId="6B5EB2F0"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[20]</w:t>
      </w:r>
      <w:r w:rsidRPr="00587393">
        <w:rPr>
          <w:rFonts w:ascii="Times New Roman" w:hAnsi="Times New Roman" w:cs="Times New Roman"/>
          <w:noProof/>
          <w:sz w:val="24"/>
          <w:szCs w:val="24"/>
        </w:rPr>
        <w:tab/>
        <w:t>Vallejo OG. Utilidad del índice tobillo-brazo para el diagnostico de la enfermedad arterial periférica. Clin e Investig En Arterioscler 2011;23(1):29. https://doi.org/10.1016/j.arteri.2011.03.006.</w:t>
      </w:r>
    </w:p>
    <w:p w14:paraId="2B039A93"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[21]</w:t>
      </w:r>
      <w:r w:rsidRPr="00587393">
        <w:rPr>
          <w:rFonts w:ascii="Times New Roman" w:hAnsi="Times New Roman" w:cs="Times New Roman"/>
          <w:noProof/>
          <w:sz w:val="24"/>
          <w:szCs w:val="24"/>
        </w:rPr>
        <w:tab/>
        <w:t>Kabul HK, Aydogdu A TI. Calculation Methods of Ankle Brachial Index and Correct Diagnosis of Peripheral Arterial Disease. 2012.</w:t>
      </w:r>
    </w:p>
    <w:p w14:paraId="444DB6C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[22]</w:t>
      </w:r>
      <w:r w:rsidRPr="00587393">
        <w:rPr>
          <w:rFonts w:ascii="Times New Roman" w:hAnsi="Times New Roman" w:cs="Times New Roman"/>
          <w:noProof/>
          <w:sz w:val="24"/>
          <w:szCs w:val="24"/>
        </w:rPr>
        <w:tab/>
        <w:t>Novo-García C, Ciria-Uriel J, Novo-García E, Niño-de Mateo M. Determination of ankle-brachial index using a portable doppler and a blood pressure measuring device in diabetic patients. Enferm Clin 2012;22(4):198–204. https://doi.org/10.1016/j.enfcli.2012.06.001.</w:t>
      </w:r>
    </w:p>
    <w:p w14:paraId="74697456"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[23]</w:t>
      </w:r>
      <w:r w:rsidRPr="00587393">
        <w:rPr>
          <w:rFonts w:ascii="Times New Roman" w:hAnsi="Times New Roman" w:cs="Times New Roman"/>
          <w:noProof/>
          <w:sz w:val="24"/>
          <w:szCs w:val="24"/>
        </w:rPr>
        <w:tab/>
        <w:t>Tendera M, Aboyans V, Bartelink ML, Baumgartner I, Clément D, Collet JP, et al. Guía de práctica clíníca de la ESC sobre diagnóstico y tratamiento de las enfermedades arteriales periféricas. Rev Esp Cardiol 2012;65(2):172. https://doi.org/10.1016/j.recesp.2011.11.007.</w:t>
      </w:r>
    </w:p>
    <w:p w14:paraId="0CA1001B"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[24]</w:t>
      </w:r>
      <w:r w:rsidRPr="00587393">
        <w:rPr>
          <w:rFonts w:ascii="Times New Roman" w:hAnsi="Times New Roman" w:cs="Times New Roman"/>
          <w:noProof/>
          <w:sz w:val="24"/>
          <w:szCs w:val="24"/>
        </w:rPr>
        <w:tab/>
        <w:t>Boulton AJM, Armstrong DG, Albert SF, Frykberg RG, Hellman R, Kirkman MS, et al. Comprehensive foot examination and risk assessment. Diabetes Care 2008;14(5):576–83. https://doi.org/10.2337/dc08-9021.</w:t>
      </w:r>
    </w:p>
    <w:p w14:paraId="178DBED6"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[25]</w:t>
      </w:r>
      <w:r w:rsidRPr="00587393">
        <w:rPr>
          <w:rFonts w:ascii="Times New Roman" w:hAnsi="Times New Roman" w:cs="Times New Roman"/>
          <w:noProof/>
          <w:sz w:val="24"/>
          <w:szCs w:val="24"/>
        </w:rPr>
        <w:tab/>
        <w:t>Association AD. Microvascular complications and foot care. Diabetes Care 2017. https://doi.org/10.2337/dc17-S013.</w:t>
      </w:r>
    </w:p>
    <w:p w14:paraId="33DEE5F8"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[26]</w:t>
      </w:r>
      <w:r w:rsidRPr="00587393">
        <w:rPr>
          <w:rFonts w:ascii="Times New Roman" w:hAnsi="Times New Roman" w:cs="Times New Roman"/>
          <w:noProof/>
          <w:sz w:val="24"/>
          <w:szCs w:val="24"/>
        </w:rPr>
        <w:tab/>
        <w:t xml:space="preserve">Bakker K, Apelqvist J, Schaper NC. Practical guidelines on the management and </w:t>
      </w:r>
      <w:r w:rsidRPr="00587393">
        <w:rPr>
          <w:rFonts w:ascii="Times New Roman" w:hAnsi="Times New Roman" w:cs="Times New Roman"/>
          <w:noProof/>
          <w:sz w:val="24"/>
          <w:szCs w:val="24"/>
        </w:rPr>
        <w:lastRenderedPageBreak/>
        <w:t>prevention of the diabetic foot 2011. Diabetes Metab Res Rev 2012:225–31. https://doi.org/10.1002/dmrr.2253.</w:t>
      </w:r>
    </w:p>
    <w:p w14:paraId="092926DA"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[27]</w:t>
      </w:r>
      <w:r w:rsidRPr="00587393">
        <w:rPr>
          <w:rFonts w:ascii="Times New Roman" w:hAnsi="Times New Roman" w:cs="Times New Roman"/>
          <w:noProof/>
          <w:sz w:val="24"/>
          <w:szCs w:val="24"/>
        </w:rPr>
        <w:tab/>
        <w:t>Menz HB, Munteanu SE. Radiographic validation of the Manchester scale for the classification of hallux valgus deformity. Rheumatology 2005;44:1061–6. https://doi.org/10.1093/rheumatology/keh687.</w:t>
      </w:r>
    </w:p>
    <w:p w14:paraId="0AC41ED0"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[28]</w:t>
      </w:r>
      <w:r w:rsidRPr="00587393">
        <w:rPr>
          <w:rFonts w:ascii="Times New Roman" w:hAnsi="Times New Roman" w:cs="Times New Roman"/>
          <w:noProof/>
          <w:sz w:val="24"/>
          <w:szCs w:val="24"/>
        </w:rPr>
        <w:tab/>
        <w:t>Garrow AP, Papageorgiou A, Silman AJ, Thomas E, Jayson MIV, Macfarlane GJ. The grading of hallux valgus: The Manchester scale. J Am Podiatr Med Assoc 2001;91(2):74–8. https://doi.org/10.7547/87507315-91-2-74.</w:t>
      </w:r>
    </w:p>
    <w:p w14:paraId="20DECC1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[29]</w:t>
      </w:r>
      <w:r w:rsidRPr="00587393">
        <w:rPr>
          <w:rFonts w:ascii="Times New Roman" w:hAnsi="Times New Roman" w:cs="Times New Roman"/>
          <w:noProof/>
          <w:sz w:val="24"/>
          <w:szCs w:val="24"/>
        </w:rPr>
        <w:tab/>
        <w:t>Schrier JCM, Verheyen CCPM, Louwerens JW. Definitions of hammer toe and claw toe. J Am Podiatr Med Assoc 2009;99:194–7. https://doi.org/10.7547/0980194.</w:t>
      </w:r>
    </w:p>
    <w:p w14:paraId="1E481627"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[30]</w:t>
      </w:r>
      <w:r w:rsidRPr="00587393">
        <w:rPr>
          <w:rFonts w:ascii="Times New Roman" w:hAnsi="Times New Roman" w:cs="Times New Roman"/>
          <w:noProof/>
          <w:sz w:val="24"/>
          <w:szCs w:val="24"/>
        </w:rPr>
        <w:tab/>
        <w:t>Gould N. Cockup deformity of the great toe hallux extensus. Bull Hosp Jt Dis Orthop Inst 1987;47(2):136–43.</w:t>
      </w:r>
    </w:p>
    <w:p w14:paraId="4E868572"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[31]</w:t>
      </w:r>
      <w:r w:rsidRPr="00587393">
        <w:rPr>
          <w:rFonts w:ascii="Times New Roman" w:hAnsi="Times New Roman" w:cs="Times New Roman"/>
          <w:noProof/>
          <w:sz w:val="24"/>
          <w:szCs w:val="24"/>
        </w:rPr>
        <w:tab/>
        <w:t>Brody DM. Techniques in the evaluation and treatment of the injured runner. Orthop Clin North Am 1982;13(3):541–58.</w:t>
      </w:r>
    </w:p>
    <w:p w14:paraId="19BA57DC"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[32]</w:t>
      </w:r>
      <w:r w:rsidRPr="00587393">
        <w:rPr>
          <w:rFonts w:ascii="Times New Roman" w:hAnsi="Times New Roman" w:cs="Times New Roman"/>
          <w:noProof/>
          <w:sz w:val="24"/>
          <w:szCs w:val="24"/>
        </w:rPr>
        <w:tab/>
        <w:t>Mueller MJ, Host J V., Norton BJ. Navicular drop as a composite measure of excessive pronation. J Am Podiatr Med Assoc 1993;83(4):198–202. https://doi.org/10.7547/87507315-83-4-198.</w:t>
      </w:r>
    </w:p>
    <w:p w14:paraId="1CC9468D"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[33]</w:t>
      </w:r>
      <w:r w:rsidRPr="00587393">
        <w:rPr>
          <w:rFonts w:ascii="Times New Roman" w:hAnsi="Times New Roman" w:cs="Times New Roman"/>
          <w:noProof/>
          <w:sz w:val="24"/>
          <w:szCs w:val="24"/>
        </w:rPr>
        <w:tab/>
        <w:t>Redmond AC, Crosbie J, Ouvrier RA. Development and validation of a novel rating system for scoring standing foot posture: The Foot Posture Index. Clin Biomech 2006;21(1):89–98. https://doi.org/10.1016/j.clinbiomech.2005.08.002.</w:t>
      </w:r>
    </w:p>
    <w:p w14:paraId="70A44877"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[34]</w:t>
      </w:r>
      <w:r w:rsidRPr="00587393">
        <w:rPr>
          <w:rFonts w:ascii="Times New Roman" w:hAnsi="Times New Roman" w:cs="Times New Roman"/>
          <w:noProof/>
          <w:sz w:val="24"/>
          <w:szCs w:val="24"/>
        </w:rPr>
        <w:tab/>
        <w:t>Redmond AC, Crane YZ, Menz HB. Normative values for the Foot Posture Index. J Foot Ankle Res 2008;1(1). https://doi.org/10.1186/1757-1146-1-6.</w:t>
      </w:r>
    </w:p>
    <w:p w14:paraId="697CF4BD"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lastRenderedPageBreak/>
        <w:t>[35]</w:t>
      </w:r>
      <w:r w:rsidRPr="00587393">
        <w:rPr>
          <w:rFonts w:ascii="Times New Roman" w:hAnsi="Times New Roman" w:cs="Times New Roman"/>
          <w:noProof/>
          <w:sz w:val="24"/>
          <w:szCs w:val="24"/>
        </w:rPr>
        <w:tab/>
        <w:t>Keenan AM, Redmond AC, Horton M, Conaghan PG, Tennant A. The Foot Posture Index: Rasch Analysis of a Novel, Foot-Specific Outcome Measure. Arch Phys Med Rehabil 2007;88(1):88–93. https://doi.org/10.1016/j.apmr.2006.10.005.</w:t>
      </w:r>
    </w:p>
    <w:p w14:paraId="79C5EC12"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[36]</w:t>
      </w:r>
      <w:r w:rsidRPr="00587393">
        <w:rPr>
          <w:rFonts w:ascii="Times New Roman" w:hAnsi="Times New Roman" w:cs="Times New Roman"/>
          <w:noProof/>
          <w:sz w:val="24"/>
          <w:szCs w:val="24"/>
        </w:rPr>
        <w:tab/>
        <w:t>Lázaro-Martínez JL, Aragón-Sánchez FJ, Beneit-Montesinos JV, González-Jurado MA, Morales EG, Hernández DM. Foot biomechanics in patients with diabetes mellitus: Doubts regarding the relationship between neuropathy, foot motion, and deformities. J Am Podiatr Med Assoc 2011;101(3):208–14. https://doi.org/10.7547/1010208.</w:t>
      </w:r>
    </w:p>
    <w:p w14:paraId="38FE609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[37]</w:t>
      </w:r>
      <w:r w:rsidRPr="00587393">
        <w:rPr>
          <w:rFonts w:ascii="Times New Roman" w:hAnsi="Times New Roman" w:cs="Times New Roman"/>
          <w:noProof/>
          <w:sz w:val="24"/>
          <w:szCs w:val="24"/>
        </w:rPr>
        <w:tab/>
        <w:t>Cheuy VA, Hastings MK, Mueller MJ. Metatarsophalangeal Hyperextension Movement Pattern Related to Diabetic Forefoot Deformity. Phys Ther 2016;96(8):1143–51. https://doi.org/10.2522/ptj.20150361.</w:t>
      </w:r>
    </w:p>
    <w:p w14:paraId="11CBF94A"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[38]</w:t>
      </w:r>
      <w:r w:rsidRPr="00587393">
        <w:rPr>
          <w:rFonts w:ascii="Times New Roman" w:hAnsi="Times New Roman" w:cs="Times New Roman"/>
          <w:noProof/>
          <w:sz w:val="24"/>
          <w:szCs w:val="24"/>
        </w:rPr>
        <w:tab/>
        <w:t>Cheuy VA, Hastings MK, Commean PK, Mueller MJ. Muscle and Joint Factors Associated with Forefoot Deformity in the Diabetic Neuropathic Foot. Foot Ankle Int 2016;37(5):514–21. https://doi.org/10.1177/1071100715621544.</w:t>
      </w:r>
    </w:p>
    <w:p w14:paraId="5927587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[39]</w:t>
      </w:r>
      <w:r w:rsidRPr="00587393">
        <w:rPr>
          <w:rFonts w:ascii="Times New Roman" w:hAnsi="Times New Roman" w:cs="Times New Roman"/>
          <w:noProof/>
          <w:sz w:val="24"/>
          <w:szCs w:val="24"/>
        </w:rPr>
        <w:tab/>
        <w:t>García-Álvarez Y, Lázaro-Martínez JL, García-Morales E, Cecilia-Matilla A, Aragón-Sánchez J, Carabantes-Alarcón D. Morphofunctional characteristics of the foot in patients with diabetes mellitus and diabetic neuropathy. Diabetes Metab Syndr Clin Res Rev 2013;7(2):78–82. https://doi.org/10.1016/j.dsx.2013.02.029.</w:t>
      </w:r>
    </w:p>
    <w:p w14:paraId="557972C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[40]</w:t>
      </w:r>
      <w:r w:rsidRPr="00587393">
        <w:rPr>
          <w:rFonts w:ascii="Times New Roman" w:hAnsi="Times New Roman" w:cs="Times New Roman"/>
          <w:noProof/>
          <w:sz w:val="24"/>
          <w:szCs w:val="24"/>
        </w:rPr>
        <w:tab/>
        <w:t>Molines-Barroso RJ, Lázaro-Martínez JL, Aragón-Sánchez FJ, Álvaro-Afonso FJ, García-Morales E, García-Álvarez Y. Forefoot ulcer risk is associated with foot type in patients with diabetes and neuropathy. Diabetes Res Clin Pract 2016;114:93–8. https://doi.org/10.1016/j.diabres.2016.01.008.</w:t>
      </w:r>
    </w:p>
    <w:p w14:paraId="2F34C97B"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[41]</w:t>
      </w:r>
      <w:r w:rsidRPr="00587393">
        <w:rPr>
          <w:rFonts w:ascii="Times New Roman" w:hAnsi="Times New Roman" w:cs="Times New Roman"/>
          <w:noProof/>
          <w:sz w:val="24"/>
          <w:szCs w:val="24"/>
        </w:rPr>
        <w:tab/>
        <w:t xml:space="preserve">Guiotto A, Sawacha Z, Guarneri G, Cristoferi G, Avogaro A, Cobelli C. The role </w:t>
      </w:r>
      <w:r w:rsidRPr="00587393">
        <w:rPr>
          <w:rFonts w:ascii="Times New Roman" w:hAnsi="Times New Roman" w:cs="Times New Roman"/>
          <w:noProof/>
          <w:sz w:val="24"/>
          <w:szCs w:val="24"/>
        </w:rPr>
        <w:lastRenderedPageBreak/>
        <w:t>of foot morphology on foot function in diabetic subjects with or without neuropathy. Gait Posture 2013;37(4):603–10. https://doi.org/10.1016/j.gaitpost.2012.09.024.</w:t>
      </w:r>
    </w:p>
    <w:p w14:paraId="17224C54"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[42]</w:t>
      </w:r>
      <w:r w:rsidRPr="00587393">
        <w:rPr>
          <w:rFonts w:ascii="Times New Roman" w:hAnsi="Times New Roman" w:cs="Times New Roman"/>
          <w:noProof/>
          <w:sz w:val="24"/>
          <w:szCs w:val="24"/>
        </w:rPr>
        <w:tab/>
        <w:t>Nubé VL, Molyneaux L, Yue DK. Biomechanical risk factors associated with neuropathic ulceration of the hallux in people with diabetes mellitus. J Am Podiatr Med Assoc 2006;96(3):189–97. https://doi.org/10.7547/0960189.</w:t>
      </w:r>
    </w:p>
    <w:p w14:paraId="19D6E16C"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[43]</w:t>
      </w:r>
      <w:r w:rsidRPr="00587393">
        <w:rPr>
          <w:rFonts w:ascii="Times New Roman" w:hAnsi="Times New Roman" w:cs="Times New Roman"/>
          <w:noProof/>
          <w:sz w:val="24"/>
          <w:szCs w:val="24"/>
        </w:rPr>
        <w:tab/>
        <w:t>Arosi I, Hiner G, Rajbhandari S. Pathogenesis and Treatment of Callus in the Diabetic Foot. Curr Diabetes Rev 2016;12(3):179–83. https://doi.org/10.2174/1573399811666150609160219.</w:t>
      </w:r>
    </w:p>
    <w:p w14:paraId="6392BAD5"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[44]</w:t>
      </w:r>
      <w:r w:rsidRPr="00587393">
        <w:rPr>
          <w:rFonts w:ascii="Times New Roman" w:hAnsi="Times New Roman" w:cs="Times New Roman"/>
          <w:noProof/>
          <w:sz w:val="24"/>
          <w:szCs w:val="24"/>
        </w:rPr>
        <w:tab/>
        <w:t>Amemiya A, Noguchi H, Oe M, Takehara K, Ohashi Y, Suzuki R, et al. Shear Stress-Normal Stress (Pressure) Ratio Decides Forming Callus in Patients with Diabetic Neuropathy. J Diabetes Res 2016. https://doi.org/10.1155/2016/3157123.</w:t>
      </w:r>
    </w:p>
    <w:p w14:paraId="0F166BFA"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szCs w:val="24"/>
        </w:rPr>
      </w:pPr>
      <w:r w:rsidRPr="00587393">
        <w:rPr>
          <w:rFonts w:ascii="Times New Roman" w:hAnsi="Times New Roman" w:cs="Times New Roman"/>
          <w:noProof/>
          <w:sz w:val="24"/>
          <w:szCs w:val="24"/>
        </w:rPr>
        <w:t>[45]</w:t>
      </w:r>
      <w:r w:rsidRPr="00587393">
        <w:rPr>
          <w:rFonts w:ascii="Times New Roman" w:hAnsi="Times New Roman" w:cs="Times New Roman"/>
          <w:noProof/>
          <w:sz w:val="24"/>
          <w:szCs w:val="24"/>
        </w:rPr>
        <w:tab/>
        <w:t>Pataky Z, Golay A, Faravel L, Da Silva J, Makoundou V, Peter-Riesch B, et al. The impact of callosities on the magnitude and duration of plantar pressure in patients with diabetes mellitus: A callus may cause 18,600 kilograms of excess plantar pressure per day. Diabetes Metab 2002;28(5):356–61.</w:t>
      </w:r>
    </w:p>
    <w:p w14:paraId="6A390D31" w14:textId="77777777" w:rsidR="005F3ABA" w:rsidRPr="00587393" w:rsidRDefault="005F3ABA" w:rsidP="005F3ABA">
      <w:pPr>
        <w:widowControl w:val="0"/>
        <w:autoSpaceDE w:val="0"/>
        <w:autoSpaceDN w:val="0"/>
        <w:adjustRightInd w:val="0"/>
        <w:spacing w:line="480" w:lineRule="auto"/>
        <w:ind w:left="640" w:hanging="640"/>
        <w:rPr>
          <w:rFonts w:ascii="Times New Roman" w:hAnsi="Times New Roman" w:cs="Times New Roman"/>
          <w:noProof/>
          <w:sz w:val="24"/>
        </w:rPr>
      </w:pPr>
      <w:r w:rsidRPr="00587393">
        <w:rPr>
          <w:rFonts w:ascii="Times New Roman" w:hAnsi="Times New Roman" w:cs="Times New Roman"/>
          <w:noProof/>
          <w:sz w:val="24"/>
          <w:szCs w:val="24"/>
        </w:rPr>
        <w:t>[46]</w:t>
      </w:r>
      <w:r w:rsidRPr="00587393">
        <w:rPr>
          <w:rFonts w:ascii="Times New Roman" w:hAnsi="Times New Roman" w:cs="Times New Roman"/>
          <w:noProof/>
          <w:sz w:val="24"/>
          <w:szCs w:val="24"/>
        </w:rPr>
        <w:tab/>
        <w:t>Armstrong DG, Liswood PJ, Todd WF. Potential risks of accommodative padding in the treatment of neuropathic ulcerations. Ostomy Wound Manage 1995;41(7):44–9.</w:t>
      </w:r>
    </w:p>
    <w:bookmarkEnd w:id="7"/>
    <w:p w14:paraId="5C764310" w14:textId="11E4DF4D" w:rsidR="00F612F5" w:rsidRPr="00817931" w:rsidRDefault="00002E0A" w:rsidP="00860AB4">
      <w:pPr>
        <w:spacing w:line="480" w:lineRule="auto"/>
        <w:rPr>
          <w:rFonts w:ascii="Times New Roman" w:hAnsi="Times New Roman" w:cs="Times New Roman"/>
          <w:sz w:val="24"/>
          <w:szCs w:val="24"/>
          <w:lang w:val="en-GB"/>
        </w:rPr>
      </w:pPr>
      <w:r w:rsidRPr="00587393">
        <w:rPr>
          <w:rFonts w:ascii="Times New Roman" w:hAnsi="Times New Roman" w:cs="Times New Roman"/>
          <w:sz w:val="24"/>
          <w:szCs w:val="24"/>
          <w:lang w:val="en-GB"/>
        </w:rPr>
        <w:fldChar w:fldCharType="end"/>
      </w:r>
    </w:p>
    <w:p w14:paraId="1866D5D3" w14:textId="77777777" w:rsidR="00F612F5" w:rsidRPr="00817931" w:rsidRDefault="00F612F5" w:rsidP="004F12CD">
      <w:pPr>
        <w:rPr>
          <w:rFonts w:ascii="Times New Roman" w:hAnsi="Times New Roman" w:cs="Times New Roman"/>
          <w:sz w:val="24"/>
          <w:szCs w:val="24"/>
          <w:lang w:val="en-GB"/>
        </w:rPr>
      </w:pPr>
    </w:p>
    <w:p w14:paraId="108BE5AD" w14:textId="77777777" w:rsidR="00F612F5" w:rsidRDefault="00F612F5" w:rsidP="004F12CD">
      <w:pPr>
        <w:rPr>
          <w:rFonts w:ascii="Times New Roman" w:hAnsi="Times New Roman" w:cs="Times New Roman"/>
          <w:color w:val="000000"/>
          <w:sz w:val="24"/>
          <w:szCs w:val="24"/>
          <w:lang w:val="en-GB"/>
        </w:rPr>
      </w:pPr>
    </w:p>
    <w:sectPr w:rsidR="00F612F5">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2F9A43" w14:textId="77777777" w:rsidR="00EF1CD1" w:rsidRDefault="00EF1CD1" w:rsidP="005E3ACE">
      <w:pPr>
        <w:spacing w:after="0" w:line="240" w:lineRule="auto"/>
      </w:pPr>
      <w:r>
        <w:separator/>
      </w:r>
    </w:p>
  </w:endnote>
  <w:endnote w:type="continuationSeparator" w:id="0">
    <w:p w14:paraId="59E8D3FF" w14:textId="77777777" w:rsidR="00EF1CD1" w:rsidRDefault="00EF1CD1" w:rsidP="005E3A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mpact">
    <w:panose1 w:val="020B0806030902050204"/>
    <w:charset w:val="00"/>
    <w:family w:val="swiss"/>
    <w:pitch w:val="variable"/>
    <w:sig w:usb0="00000287" w:usb1="00000000" w:usb2="00000000" w:usb3="00000000" w:csb0="0000009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EC7507" w14:textId="77777777" w:rsidR="00EF1CD1" w:rsidRDefault="00EF1CD1" w:rsidP="005E3ACE">
      <w:pPr>
        <w:spacing w:after="0" w:line="240" w:lineRule="auto"/>
      </w:pPr>
      <w:r>
        <w:separator/>
      </w:r>
    </w:p>
  </w:footnote>
  <w:footnote w:type="continuationSeparator" w:id="0">
    <w:p w14:paraId="20C1FBDA" w14:textId="77777777" w:rsidR="00EF1CD1" w:rsidRDefault="00EF1CD1" w:rsidP="005E3A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059538"/>
      <w:docPartObj>
        <w:docPartGallery w:val="Page Numbers (Top of Page)"/>
        <w:docPartUnique/>
      </w:docPartObj>
    </w:sdtPr>
    <w:sdtEndPr/>
    <w:sdtContent>
      <w:p w14:paraId="48424960" w14:textId="20F6C5E3" w:rsidR="00BF0E4B" w:rsidRDefault="00BF0E4B">
        <w:pPr>
          <w:pStyle w:val="Encabezado"/>
          <w:jc w:val="right"/>
        </w:pPr>
        <w:r>
          <w:fldChar w:fldCharType="begin"/>
        </w:r>
        <w:r>
          <w:instrText>PAGE   \* MERGEFORMAT</w:instrText>
        </w:r>
        <w:r>
          <w:fldChar w:fldCharType="separate"/>
        </w:r>
        <w:r>
          <w:rPr>
            <w:noProof/>
          </w:rPr>
          <w:t>22</w:t>
        </w:r>
        <w:r>
          <w:fldChar w:fldCharType="end"/>
        </w:r>
      </w:p>
    </w:sdtContent>
  </w:sdt>
  <w:p w14:paraId="421D0028" w14:textId="77777777" w:rsidR="00BF0E4B" w:rsidRDefault="00BF0E4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6A438F"/>
    <w:multiLevelType w:val="hybridMultilevel"/>
    <w:tmpl w:val="2C52BB4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ED807E9"/>
    <w:multiLevelType w:val="hybridMultilevel"/>
    <w:tmpl w:val="3F8C4548"/>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15:restartNumberingAfterBreak="0">
    <w:nsid w:val="32105BC2"/>
    <w:multiLevelType w:val="hybridMultilevel"/>
    <w:tmpl w:val="CC2A0782"/>
    <w:lvl w:ilvl="0" w:tplc="0C0A0005">
      <w:start w:val="1"/>
      <w:numFmt w:val="bullet"/>
      <w:lvlText w:val=""/>
      <w:lvlJc w:val="left"/>
      <w:pPr>
        <w:ind w:left="717" w:hanging="360"/>
      </w:pPr>
      <w:rPr>
        <w:rFonts w:ascii="Wingdings" w:hAnsi="Wingdings" w:hint="default"/>
      </w:rPr>
    </w:lvl>
    <w:lvl w:ilvl="1" w:tplc="0C0A0003" w:tentative="1">
      <w:start w:val="1"/>
      <w:numFmt w:val="bullet"/>
      <w:lvlText w:val="o"/>
      <w:lvlJc w:val="left"/>
      <w:pPr>
        <w:ind w:left="1437" w:hanging="360"/>
      </w:pPr>
      <w:rPr>
        <w:rFonts w:ascii="Courier New" w:hAnsi="Courier New" w:cs="Courier New" w:hint="default"/>
      </w:rPr>
    </w:lvl>
    <w:lvl w:ilvl="2" w:tplc="0C0A0005" w:tentative="1">
      <w:start w:val="1"/>
      <w:numFmt w:val="bullet"/>
      <w:lvlText w:val=""/>
      <w:lvlJc w:val="left"/>
      <w:pPr>
        <w:ind w:left="2157" w:hanging="360"/>
      </w:pPr>
      <w:rPr>
        <w:rFonts w:ascii="Wingdings" w:hAnsi="Wingdings" w:hint="default"/>
      </w:rPr>
    </w:lvl>
    <w:lvl w:ilvl="3" w:tplc="0C0A0001" w:tentative="1">
      <w:start w:val="1"/>
      <w:numFmt w:val="bullet"/>
      <w:lvlText w:val=""/>
      <w:lvlJc w:val="left"/>
      <w:pPr>
        <w:ind w:left="2877" w:hanging="360"/>
      </w:pPr>
      <w:rPr>
        <w:rFonts w:ascii="Symbol" w:hAnsi="Symbol" w:hint="default"/>
      </w:rPr>
    </w:lvl>
    <w:lvl w:ilvl="4" w:tplc="0C0A0003" w:tentative="1">
      <w:start w:val="1"/>
      <w:numFmt w:val="bullet"/>
      <w:lvlText w:val="o"/>
      <w:lvlJc w:val="left"/>
      <w:pPr>
        <w:ind w:left="3597" w:hanging="360"/>
      </w:pPr>
      <w:rPr>
        <w:rFonts w:ascii="Courier New" w:hAnsi="Courier New" w:cs="Courier New" w:hint="default"/>
      </w:rPr>
    </w:lvl>
    <w:lvl w:ilvl="5" w:tplc="0C0A0005" w:tentative="1">
      <w:start w:val="1"/>
      <w:numFmt w:val="bullet"/>
      <w:lvlText w:val=""/>
      <w:lvlJc w:val="left"/>
      <w:pPr>
        <w:ind w:left="4317" w:hanging="360"/>
      </w:pPr>
      <w:rPr>
        <w:rFonts w:ascii="Wingdings" w:hAnsi="Wingdings" w:hint="default"/>
      </w:rPr>
    </w:lvl>
    <w:lvl w:ilvl="6" w:tplc="0C0A0001" w:tentative="1">
      <w:start w:val="1"/>
      <w:numFmt w:val="bullet"/>
      <w:lvlText w:val=""/>
      <w:lvlJc w:val="left"/>
      <w:pPr>
        <w:ind w:left="5037" w:hanging="360"/>
      </w:pPr>
      <w:rPr>
        <w:rFonts w:ascii="Symbol" w:hAnsi="Symbol" w:hint="default"/>
      </w:rPr>
    </w:lvl>
    <w:lvl w:ilvl="7" w:tplc="0C0A0003" w:tentative="1">
      <w:start w:val="1"/>
      <w:numFmt w:val="bullet"/>
      <w:lvlText w:val="o"/>
      <w:lvlJc w:val="left"/>
      <w:pPr>
        <w:ind w:left="5757" w:hanging="360"/>
      </w:pPr>
      <w:rPr>
        <w:rFonts w:ascii="Courier New" w:hAnsi="Courier New" w:cs="Courier New" w:hint="default"/>
      </w:rPr>
    </w:lvl>
    <w:lvl w:ilvl="8" w:tplc="0C0A0005" w:tentative="1">
      <w:start w:val="1"/>
      <w:numFmt w:val="bullet"/>
      <w:lvlText w:val=""/>
      <w:lvlJc w:val="left"/>
      <w:pPr>
        <w:ind w:left="6477" w:hanging="360"/>
      </w:pPr>
      <w:rPr>
        <w:rFonts w:ascii="Wingdings" w:hAnsi="Wingdings" w:hint="default"/>
      </w:rPr>
    </w:lvl>
  </w:abstractNum>
  <w:abstractNum w:abstractNumId="3" w15:restartNumberingAfterBreak="0">
    <w:nsid w:val="39C91CAC"/>
    <w:multiLevelType w:val="hybridMultilevel"/>
    <w:tmpl w:val="86AE6BA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D13FDF"/>
    <w:multiLevelType w:val="multilevel"/>
    <w:tmpl w:val="DA8820F6"/>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val="0"/>
      </w:rPr>
    </w:lvl>
    <w:lvl w:ilvl="3">
      <w:start w:val="1"/>
      <w:numFmt w:val="decimal"/>
      <w:pStyle w:val="Ttulo4"/>
      <w:lvlText w:val="%1.%2.%3.%4"/>
      <w:lvlJc w:val="left"/>
      <w:pPr>
        <w:ind w:lef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tulo5"/>
      <w:lvlText w:val="%1.%2.%3.%4.%5"/>
      <w:lvlJc w:val="left"/>
      <w:pPr>
        <w:ind w:left="1008" w:hanging="100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62633779"/>
    <w:multiLevelType w:val="hybridMultilevel"/>
    <w:tmpl w:val="F54C2BCA"/>
    <w:lvl w:ilvl="0" w:tplc="6B88AACC">
      <w:start w:val="1"/>
      <w:numFmt w:val="bullet"/>
      <w:pStyle w:val="ItemsEsther"/>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7281167"/>
    <w:multiLevelType w:val="hybridMultilevel"/>
    <w:tmpl w:val="B1E0900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797416FB"/>
    <w:multiLevelType w:val="hybridMultilevel"/>
    <w:tmpl w:val="5FAEEE1A"/>
    <w:lvl w:ilvl="0" w:tplc="48401AD2">
      <w:start w:val="1"/>
      <w:numFmt w:val="decimal"/>
      <w:pStyle w:val="Prrafodelista"/>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CB3364B"/>
    <w:multiLevelType w:val="hybridMultilevel"/>
    <w:tmpl w:val="00B474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2"/>
  </w:num>
  <w:num w:numId="7">
    <w:abstractNumId w:val="1"/>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F34"/>
    <w:rsid w:val="0000142F"/>
    <w:rsid w:val="00002E0A"/>
    <w:rsid w:val="00006546"/>
    <w:rsid w:val="000222FC"/>
    <w:rsid w:val="0002564F"/>
    <w:rsid w:val="00036BDE"/>
    <w:rsid w:val="00040C8F"/>
    <w:rsid w:val="00040FEC"/>
    <w:rsid w:val="00047D58"/>
    <w:rsid w:val="00052197"/>
    <w:rsid w:val="00074FD1"/>
    <w:rsid w:val="000816CC"/>
    <w:rsid w:val="00091C51"/>
    <w:rsid w:val="000947D1"/>
    <w:rsid w:val="000A55DA"/>
    <w:rsid w:val="000A61AD"/>
    <w:rsid w:val="000B0214"/>
    <w:rsid w:val="000B6DAD"/>
    <w:rsid w:val="000C08DC"/>
    <w:rsid w:val="000D2B91"/>
    <w:rsid w:val="000D6E55"/>
    <w:rsid w:val="000F02E3"/>
    <w:rsid w:val="000F1C7C"/>
    <w:rsid w:val="000F5F58"/>
    <w:rsid w:val="00107F34"/>
    <w:rsid w:val="001245AD"/>
    <w:rsid w:val="0013639F"/>
    <w:rsid w:val="00141F55"/>
    <w:rsid w:val="001456BE"/>
    <w:rsid w:val="00155E8E"/>
    <w:rsid w:val="00157220"/>
    <w:rsid w:val="00162D3E"/>
    <w:rsid w:val="00162F57"/>
    <w:rsid w:val="00170BAC"/>
    <w:rsid w:val="00175D24"/>
    <w:rsid w:val="00183190"/>
    <w:rsid w:val="001A434A"/>
    <w:rsid w:val="001A55AC"/>
    <w:rsid w:val="001A669F"/>
    <w:rsid w:val="001B631C"/>
    <w:rsid w:val="001B6F4F"/>
    <w:rsid w:val="001C33B2"/>
    <w:rsid w:val="001D368D"/>
    <w:rsid w:val="001D3B57"/>
    <w:rsid w:val="001D4EA5"/>
    <w:rsid w:val="001E2BE7"/>
    <w:rsid w:val="001E3489"/>
    <w:rsid w:val="00211828"/>
    <w:rsid w:val="002174C6"/>
    <w:rsid w:val="00224C20"/>
    <w:rsid w:val="00230190"/>
    <w:rsid w:val="00252047"/>
    <w:rsid w:val="0025735E"/>
    <w:rsid w:val="00260088"/>
    <w:rsid w:val="002631B0"/>
    <w:rsid w:val="002672B7"/>
    <w:rsid w:val="00275B3F"/>
    <w:rsid w:val="00280B14"/>
    <w:rsid w:val="00290B44"/>
    <w:rsid w:val="00292A7E"/>
    <w:rsid w:val="0029685A"/>
    <w:rsid w:val="002B36A8"/>
    <w:rsid w:val="002C7062"/>
    <w:rsid w:val="002E6ECC"/>
    <w:rsid w:val="00305C3A"/>
    <w:rsid w:val="003143BD"/>
    <w:rsid w:val="00330C8B"/>
    <w:rsid w:val="0033673C"/>
    <w:rsid w:val="00340E44"/>
    <w:rsid w:val="00341852"/>
    <w:rsid w:val="003425E8"/>
    <w:rsid w:val="00356209"/>
    <w:rsid w:val="00375B41"/>
    <w:rsid w:val="0038501C"/>
    <w:rsid w:val="00391C86"/>
    <w:rsid w:val="00392C49"/>
    <w:rsid w:val="003B7F57"/>
    <w:rsid w:val="003D260B"/>
    <w:rsid w:val="003E449A"/>
    <w:rsid w:val="003F39B3"/>
    <w:rsid w:val="003F3F9C"/>
    <w:rsid w:val="003F7827"/>
    <w:rsid w:val="004053B9"/>
    <w:rsid w:val="004056D1"/>
    <w:rsid w:val="00413EEA"/>
    <w:rsid w:val="00417044"/>
    <w:rsid w:val="004500C1"/>
    <w:rsid w:val="004654AD"/>
    <w:rsid w:val="004765D0"/>
    <w:rsid w:val="00485529"/>
    <w:rsid w:val="004912DD"/>
    <w:rsid w:val="004915B5"/>
    <w:rsid w:val="00491685"/>
    <w:rsid w:val="00491A62"/>
    <w:rsid w:val="004929E4"/>
    <w:rsid w:val="004937A2"/>
    <w:rsid w:val="00493C13"/>
    <w:rsid w:val="004A588C"/>
    <w:rsid w:val="004B09FE"/>
    <w:rsid w:val="004B516D"/>
    <w:rsid w:val="004C4A62"/>
    <w:rsid w:val="004F09FB"/>
    <w:rsid w:val="004F12CD"/>
    <w:rsid w:val="004F70DD"/>
    <w:rsid w:val="005008B8"/>
    <w:rsid w:val="00510E5C"/>
    <w:rsid w:val="00515961"/>
    <w:rsid w:val="00517EC6"/>
    <w:rsid w:val="00522E0D"/>
    <w:rsid w:val="00531B2F"/>
    <w:rsid w:val="00545F1E"/>
    <w:rsid w:val="005510F2"/>
    <w:rsid w:val="0057522E"/>
    <w:rsid w:val="005763E9"/>
    <w:rsid w:val="00587393"/>
    <w:rsid w:val="00587AC2"/>
    <w:rsid w:val="00597C1A"/>
    <w:rsid w:val="005B5E5A"/>
    <w:rsid w:val="005B7B11"/>
    <w:rsid w:val="005C2C0C"/>
    <w:rsid w:val="005D4F0E"/>
    <w:rsid w:val="005E3595"/>
    <w:rsid w:val="005E3ACE"/>
    <w:rsid w:val="005E4032"/>
    <w:rsid w:val="005E6691"/>
    <w:rsid w:val="005F13FC"/>
    <w:rsid w:val="005F3ABA"/>
    <w:rsid w:val="00611777"/>
    <w:rsid w:val="006134EC"/>
    <w:rsid w:val="006178F8"/>
    <w:rsid w:val="00622357"/>
    <w:rsid w:val="006377BF"/>
    <w:rsid w:val="006463CE"/>
    <w:rsid w:val="006546B1"/>
    <w:rsid w:val="00656CDC"/>
    <w:rsid w:val="00657E55"/>
    <w:rsid w:val="0066066F"/>
    <w:rsid w:val="00665E2E"/>
    <w:rsid w:val="0068196A"/>
    <w:rsid w:val="006B71F2"/>
    <w:rsid w:val="006C5F31"/>
    <w:rsid w:val="006D1AF2"/>
    <w:rsid w:val="006F4EE1"/>
    <w:rsid w:val="007145F2"/>
    <w:rsid w:val="00716909"/>
    <w:rsid w:val="00722D86"/>
    <w:rsid w:val="007259CD"/>
    <w:rsid w:val="0072703E"/>
    <w:rsid w:val="007403B8"/>
    <w:rsid w:val="00740501"/>
    <w:rsid w:val="007541A2"/>
    <w:rsid w:val="00766561"/>
    <w:rsid w:val="00774DBB"/>
    <w:rsid w:val="0078109F"/>
    <w:rsid w:val="0078283E"/>
    <w:rsid w:val="00790E0F"/>
    <w:rsid w:val="007A008B"/>
    <w:rsid w:val="007A2304"/>
    <w:rsid w:val="007A3EBB"/>
    <w:rsid w:val="007C0DD8"/>
    <w:rsid w:val="007C46FD"/>
    <w:rsid w:val="007C4AE8"/>
    <w:rsid w:val="007C5DB4"/>
    <w:rsid w:val="007D4F8C"/>
    <w:rsid w:val="007F263D"/>
    <w:rsid w:val="00802ED6"/>
    <w:rsid w:val="00804EAF"/>
    <w:rsid w:val="00807A9F"/>
    <w:rsid w:val="00817931"/>
    <w:rsid w:val="0082785B"/>
    <w:rsid w:val="0083199A"/>
    <w:rsid w:val="008450CF"/>
    <w:rsid w:val="008468C0"/>
    <w:rsid w:val="00856931"/>
    <w:rsid w:val="00860AB4"/>
    <w:rsid w:val="00864E89"/>
    <w:rsid w:val="008669CB"/>
    <w:rsid w:val="00877970"/>
    <w:rsid w:val="00882D1B"/>
    <w:rsid w:val="00887E3C"/>
    <w:rsid w:val="008937AA"/>
    <w:rsid w:val="00894117"/>
    <w:rsid w:val="008957BF"/>
    <w:rsid w:val="008B722B"/>
    <w:rsid w:val="008C6CED"/>
    <w:rsid w:val="008D34BD"/>
    <w:rsid w:val="008D715B"/>
    <w:rsid w:val="008F3557"/>
    <w:rsid w:val="008F5CA9"/>
    <w:rsid w:val="00901F3B"/>
    <w:rsid w:val="009061FB"/>
    <w:rsid w:val="0090625E"/>
    <w:rsid w:val="009100EE"/>
    <w:rsid w:val="009336BF"/>
    <w:rsid w:val="0095371A"/>
    <w:rsid w:val="009551F5"/>
    <w:rsid w:val="00965768"/>
    <w:rsid w:val="00966FAC"/>
    <w:rsid w:val="00983793"/>
    <w:rsid w:val="00985217"/>
    <w:rsid w:val="00987D92"/>
    <w:rsid w:val="009A3CE8"/>
    <w:rsid w:val="009A75E0"/>
    <w:rsid w:val="009B23AA"/>
    <w:rsid w:val="009E09F0"/>
    <w:rsid w:val="009E7FC4"/>
    <w:rsid w:val="009F29C8"/>
    <w:rsid w:val="009F2BF6"/>
    <w:rsid w:val="009F6BB3"/>
    <w:rsid w:val="00A00FB5"/>
    <w:rsid w:val="00A0648E"/>
    <w:rsid w:val="00A0704F"/>
    <w:rsid w:val="00A34266"/>
    <w:rsid w:val="00A35807"/>
    <w:rsid w:val="00A4789B"/>
    <w:rsid w:val="00A567AA"/>
    <w:rsid w:val="00A73904"/>
    <w:rsid w:val="00A746BE"/>
    <w:rsid w:val="00A82B30"/>
    <w:rsid w:val="00A8335F"/>
    <w:rsid w:val="00A83831"/>
    <w:rsid w:val="00A86997"/>
    <w:rsid w:val="00A86B00"/>
    <w:rsid w:val="00AA0047"/>
    <w:rsid w:val="00AA2248"/>
    <w:rsid w:val="00AB5D95"/>
    <w:rsid w:val="00AB7D6E"/>
    <w:rsid w:val="00AC6D29"/>
    <w:rsid w:val="00AD638E"/>
    <w:rsid w:val="00AE336B"/>
    <w:rsid w:val="00AF22F1"/>
    <w:rsid w:val="00B03E89"/>
    <w:rsid w:val="00B21E70"/>
    <w:rsid w:val="00B30EA4"/>
    <w:rsid w:val="00B428DB"/>
    <w:rsid w:val="00B536D2"/>
    <w:rsid w:val="00B5553D"/>
    <w:rsid w:val="00B566CD"/>
    <w:rsid w:val="00B73B0E"/>
    <w:rsid w:val="00B75AB4"/>
    <w:rsid w:val="00B813F2"/>
    <w:rsid w:val="00B83829"/>
    <w:rsid w:val="00B839A4"/>
    <w:rsid w:val="00B93552"/>
    <w:rsid w:val="00B95D9A"/>
    <w:rsid w:val="00BC140E"/>
    <w:rsid w:val="00BE2213"/>
    <w:rsid w:val="00BF0E4B"/>
    <w:rsid w:val="00C05D0C"/>
    <w:rsid w:val="00C070B9"/>
    <w:rsid w:val="00C10900"/>
    <w:rsid w:val="00C17720"/>
    <w:rsid w:val="00C272EB"/>
    <w:rsid w:val="00C350C4"/>
    <w:rsid w:val="00C40D38"/>
    <w:rsid w:val="00C41CB1"/>
    <w:rsid w:val="00C42170"/>
    <w:rsid w:val="00C44E49"/>
    <w:rsid w:val="00C45CF1"/>
    <w:rsid w:val="00C52DA0"/>
    <w:rsid w:val="00C60782"/>
    <w:rsid w:val="00C65A68"/>
    <w:rsid w:val="00C671F9"/>
    <w:rsid w:val="00C73A86"/>
    <w:rsid w:val="00C742AF"/>
    <w:rsid w:val="00C82C3C"/>
    <w:rsid w:val="00C83A62"/>
    <w:rsid w:val="00C8574A"/>
    <w:rsid w:val="00C87910"/>
    <w:rsid w:val="00C90C91"/>
    <w:rsid w:val="00CB4A26"/>
    <w:rsid w:val="00CD4899"/>
    <w:rsid w:val="00CE682F"/>
    <w:rsid w:val="00CE7235"/>
    <w:rsid w:val="00D0421F"/>
    <w:rsid w:val="00D10603"/>
    <w:rsid w:val="00D5090E"/>
    <w:rsid w:val="00D56CAB"/>
    <w:rsid w:val="00D72D9C"/>
    <w:rsid w:val="00D75D40"/>
    <w:rsid w:val="00D82B33"/>
    <w:rsid w:val="00DA62BC"/>
    <w:rsid w:val="00DC01B1"/>
    <w:rsid w:val="00DD51EB"/>
    <w:rsid w:val="00DE0F05"/>
    <w:rsid w:val="00DE1252"/>
    <w:rsid w:val="00DE448F"/>
    <w:rsid w:val="00DE6B2F"/>
    <w:rsid w:val="00DF5C6B"/>
    <w:rsid w:val="00E06D29"/>
    <w:rsid w:val="00E157EF"/>
    <w:rsid w:val="00E24A68"/>
    <w:rsid w:val="00E40170"/>
    <w:rsid w:val="00E4692A"/>
    <w:rsid w:val="00E70296"/>
    <w:rsid w:val="00E74894"/>
    <w:rsid w:val="00E83B20"/>
    <w:rsid w:val="00E8518D"/>
    <w:rsid w:val="00E94B9A"/>
    <w:rsid w:val="00EA1261"/>
    <w:rsid w:val="00EA72D3"/>
    <w:rsid w:val="00EC3530"/>
    <w:rsid w:val="00EE2119"/>
    <w:rsid w:val="00EE2D01"/>
    <w:rsid w:val="00EE6066"/>
    <w:rsid w:val="00EF1CD1"/>
    <w:rsid w:val="00EF4D74"/>
    <w:rsid w:val="00F0635E"/>
    <w:rsid w:val="00F12CE0"/>
    <w:rsid w:val="00F2241E"/>
    <w:rsid w:val="00F263F6"/>
    <w:rsid w:val="00F31A1D"/>
    <w:rsid w:val="00F357C0"/>
    <w:rsid w:val="00F46BE0"/>
    <w:rsid w:val="00F612F5"/>
    <w:rsid w:val="00F63225"/>
    <w:rsid w:val="00F6393C"/>
    <w:rsid w:val="00F6515A"/>
    <w:rsid w:val="00F8195E"/>
    <w:rsid w:val="00F9227F"/>
    <w:rsid w:val="00F93F11"/>
    <w:rsid w:val="00FA2AF5"/>
    <w:rsid w:val="00FE5C33"/>
    <w:rsid w:val="00FE7C04"/>
    <w:rsid w:val="00FF06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408798D"/>
  <w15:docId w15:val="{7ED535ED-7121-42DD-886A-DF1DF7F2D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7F34"/>
    <w:pPr>
      <w:spacing w:after="180" w:line="360" w:lineRule="auto"/>
      <w:ind w:firstLine="709"/>
      <w:jc w:val="both"/>
    </w:pPr>
  </w:style>
  <w:style w:type="paragraph" w:styleId="Ttulo1">
    <w:name w:val="heading 1"/>
    <w:basedOn w:val="Normal"/>
    <w:next w:val="Normal"/>
    <w:link w:val="Ttulo1Car"/>
    <w:uiPriority w:val="9"/>
    <w:qFormat/>
    <w:rsid w:val="00107F34"/>
    <w:pPr>
      <w:keepNext/>
      <w:keepLines/>
      <w:numPr>
        <w:numId w:val="2"/>
      </w:numPr>
      <w:shd w:val="clear" w:color="auto" w:fill="ACB9CA" w:themeFill="text2" w:themeFillTint="66"/>
      <w:spacing w:after="0" w:line="240" w:lineRule="auto"/>
      <w:outlineLvl w:val="0"/>
    </w:pPr>
    <w:rPr>
      <w:rFonts w:ascii="Impact" w:eastAsiaTheme="majorEastAsia" w:hAnsi="Impact" w:cstheme="majorBidi"/>
      <w:bCs/>
      <w:color w:val="FFFFFF" w:themeColor="background1"/>
      <w:spacing w:val="20"/>
      <w:sz w:val="52"/>
      <w:szCs w:val="28"/>
    </w:rPr>
  </w:style>
  <w:style w:type="paragraph" w:styleId="Ttulo2">
    <w:name w:val="heading 2"/>
    <w:basedOn w:val="Normal"/>
    <w:next w:val="Normal"/>
    <w:link w:val="Ttulo2Car"/>
    <w:autoRedefine/>
    <w:uiPriority w:val="9"/>
    <w:unhideWhenUsed/>
    <w:qFormat/>
    <w:rsid w:val="00107F34"/>
    <w:pPr>
      <w:keepNext/>
      <w:keepLines/>
      <w:numPr>
        <w:ilvl w:val="1"/>
        <w:numId w:val="2"/>
      </w:numPr>
      <w:spacing w:before="480" w:after="480" w:line="240" w:lineRule="auto"/>
      <w:jc w:val="left"/>
      <w:outlineLvl w:val="1"/>
    </w:pPr>
    <w:rPr>
      <w:rFonts w:eastAsiaTheme="majorEastAsia" w:cstheme="majorBidi"/>
      <w:b/>
      <w:bCs/>
      <w:color w:val="44546A" w:themeColor="text2"/>
      <w:sz w:val="40"/>
      <w:szCs w:val="40"/>
      <w:u w:val="single"/>
    </w:rPr>
  </w:style>
  <w:style w:type="paragraph" w:styleId="Ttulo3">
    <w:name w:val="heading 3"/>
    <w:basedOn w:val="Normal"/>
    <w:next w:val="Normal"/>
    <w:link w:val="Ttulo3Car"/>
    <w:autoRedefine/>
    <w:uiPriority w:val="9"/>
    <w:unhideWhenUsed/>
    <w:qFormat/>
    <w:rsid w:val="00107F34"/>
    <w:pPr>
      <w:keepNext/>
      <w:keepLines/>
      <w:numPr>
        <w:ilvl w:val="2"/>
        <w:numId w:val="2"/>
      </w:numPr>
      <w:spacing w:before="480" w:after="480" w:line="240" w:lineRule="auto"/>
      <w:jc w:val="left"/>
      <w:outlineLvl w:val="2"/>
    </w:pPr>
    <w:rPr>
      <w:rFonts w:eastAsiaTheme="majorEastAsia" w:cstheme="majorBidi"/>
      <w:bCs/>
      <w:color w:val="44546A" w:themeColor="text2"/>
      <w:spacing w:val="14"/>
      <w:sz w:val="36"/>
      <w:u w:val="single"/>
      <w:lang w:eastAsia="ar-SA"/>
    </w:rPr>
  </w:style>
  <w:style w:type="paragraph" w:styleId="Ttulo4">
    <w:name w:val="heading 4"/>
    <w:basedOn w:val="Normal"/>
    <w:next w:val="Normal"/>
    <w:link w:val="Ttulo4Car"/>
    <w:uiPriority w:val="9"/>
    <w:unhideWhenUsed/>
    <w:qFormat/>
    <w:rsid w:val="00107F34"/>
    <w:pPr>
      <w:keepNext/>
      <w:keepLines/>
      <w:numPr>
        <w:ilvl w:val="3"/>
        <w:numId w:val="2"/>
      </w:numPr>
      <w:spacing w:before="360" w:after="120"/>
      <w:jc w:val="left"/>
      <w:outlineLvl w:val="3"/>
    </w:pPr>
    <w:rPr>
      <w:rFonts w:eastAsiaTheme="majorEastAsia" w:cstheme="majorBidi"/>
      <w:bCs/>
      <w:i/>
      <w:iCs/>
      <w:sz w:val="32"/>
      <w:lang w:val="es-ES_tradnl" w:eastAsia="es-ES"/>
    </w:rPr>
  </w:style>
  <w:style w:type="paragraph" w:styleId="Ttulo5">
    <w:name w:val="heading 5"/>
    <w:basedOn w:val="Normal"/>
    <w:next w:val="Normal"/>
    <w:link w:val="Ttulo5Car"/>
    <w:uiPriority w:val="9"/>
    <w:unhideWhenUsed/>
    <w:qFormat/>
    <w:rsid w:val="00107F34"/>
    <w:pPr>
      <w:keepNext/>
      <w:keepLines/>
      <w:numPr>
        <w:ilvl w:val="4"/>
        <w:numId w:val="2"/>
      </w:numPr>
      <w:spacing w:before="240" w:after="0"/>
      <w:outlineLvl w:val="4"/>
    </w:pPr>
    <w:rPr>
      <w:rFonts w:eastAsiaTheme="majorEastAsia" w:cstheme="majorBidi"/>
      <w:color w:val="8496B0" w:themeColor="text2" w:themeTint="99"/>
      <w:sz w:val="28"/>
      <w:lang w:val="es-ES_tradnl"/>
    </w:rPr>
  </w:style>
  <w:style w:type="paragraph" w:styleId="Ttulo6">
    <w:name w:val="heading 6"/>
    <w:basedOn w:val="Normal"/>
    <w:next w:val="Normal"/>
    <w:link w:val="Ttulo6Car"/>
    <w:uiPriority w:val="9"/>
    <w:unhideWhenUsed/>
    <w:qFormat/>
    <w:rsid w:val="00107F34"/>
    <w:pPr>
      <w:keepNext/>
      <w:keepLines/>
      <w:numPr>
        <w:ilvl w:val="5"/>
        <w:numId w:val="2"/>
      </w:numPr>
      <w:spacing w:before="360" w:after="120"/>
      <w:outlineLvl w:val="5"/>
    </w:pPr>
    <w:rPr>
      <w:rFonts w:eastAsiaTheme="majorEastAsia" w:cstheme="majorBidi"/>
      <w:iCs/>
      <w:color w:val="5B9BD5" w:themeColor="accent1"/>
      <w:sz w:val="24"/>
      <w:szCs w:val="24"/>
      <w:u w:val="single"/>
      <w:lang w:val="es-ES_tradnl" w:eastAsia="es-ES"/>
    </w:rPr>
  </w:style>
  <w:style w:type="paragraph" w:styleId="Ttulo7">
    <w:name w:val="heading 7"/>
    <w:basedOn w:val="Normal"/>
    <w:next w:val="Normal"/>
    <w:link w:val="Ttulo7Car"/>
    <w:uiPriority w:val="9"/>
    <w:unhideWhenUsed/>
    <w:qFormat/>
    <w:rsid w:val="00107F34"/>
    <w:pPr>
      <w:keepNext/>
      <w:keepLines/>
      <w:numPr>
        <w:ilvl w:val="6"/>
        <w:numId w:val="2"/>
      </w:numPr>
      <w:spacing w:before="200" w:after="0"/>
      <w:outlineLvl w:val="6"/>
    </w:pPr>
    <w:rPr>
      <w:rFonts w:eastAsiaTheme="majorEastAsia" w:cstheme="majorBidi"/>
      <w:i/>
      <w:iCs/>
      <w:color w:val="000000"/>
    </w:rPr>
  </w:style>
  <w:style w:type="paragraph" w:styleId="Ttulo8">
    <w:name w:val="heading 8"/>
    <w:basedOn w:val="Normal"/>
    <w:next w:val="Normal"/>
    <w:link w:val="Ttulo8Car"/>
    <w:uiPriority w:val="9"/>
    <w:semiHidden/>
    <w:unhideWhenUsed/>
    <w:qFormat/>
    <w:rsid w:val="00107F34"/>
    <w:pPr>
      <w:keepNext/>
      <w:keepLines/>
      <w:numPr>
        <w:ilvl w:val="7"/>
        <w:numId w:val="2"/>
      </w:numPr>
      <w:spacing w:before="200" w:after="0"/>
      <w:outlineLvl w:val="7"/>
    </w:pPr>
    <w:rPr>
      <w:rFonts w:eastAsiaTheme="majorEastAsia" w:cstheme="majorBidi"/>
      <w:color w:val="000000"/>
      <w:sz w:val="20"/>
      <w:szCs w:val="20"/>
    </w:rPr>
  </w:style>
  <w:style w:type="paragraph" w:styleId="Ttulo9">
    <w:name w:val="heading 9"/>
    <w:basedOn w:val="Normal"/>
    <w:next w:val="Normal"/>
    <w:link w:val="Ttulo9Car"/>
    <w:uiPriority w:val="9"/>
    <w:semiHidden/>
    <w:unhideWhenUsed/>
    <w:qFormat/>
    <w:rsid w:val="00107F34"/>
    <w:pPr>
      <w:keepNext/>
      <w:keepLines/>
      <w:numPr>
        <w:ilvl w:val="8"/>
        <w:numId w:val="2"/>
      </w:numPr>
      <w:spacing w:before="200" w:after="0"/>
      <w:outlineLvl w:val="8"/>
    </w:pPr>
    <w:rPr>
      <w:rFonts w:eastAsiaTheme="majorEastAsia" w:cstheme="majorBidi"/>
      <w:i/>
      <w:iCs/>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107F34"/>
    <w:pPr>
      <w:numPr>
        <w:numId w:val="1"/>
      </w:numPr>
      <w:spacing w:before="120" w:after="240"/>
      <w:contextualSpacing/>
    </w:pPr>
    <w:rPr>
      <w:lang w:val="es-ES_tradnl"/>
    </w:rPr>
  </w:style>
  <w:style w:type="table" w:styleId="Listaclara-nfasis1">
    <w:name w:val="Light List Accent 1"/>
    <w:basedOn w:val="Tablanormal"/>
    <w:uiPriority w:val="61"/>
    <w:rsid w:val="00107F34"/>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PrrafodelistaCar">
    <w:name w:val="Párrafo de lista Car"/>
    <w:basedOn w:val="Fuentedeprrafopredeter"/>
    <w:link w:val="Prrafodelista"/>
    <w:uiPriority w:val="34"/>
    <w:rsid w:val="00107F34"/>
    <w:rPr>
      <w:lang w:val="es-ES_tradnl"/>
    </w:rPr>
  </w:style>
  <w:style w:type="character" w:customStyle="1" w:styleId="Ttulo1Car">
    <w:name w:val="Título 1 Car"/>
    <w:basedOn w:val="Fuentedeprrafopredeter"/>
    <w:link w:val="Ttulo1"/>
    <w:uiPriority w:val="9"/>
    <w:rsid w:val="00107F34"/>
    <w:rPr>
      <w:rFonts w:ascii="Impact" w:eastAsiaTheme="majorEastAsia" w:hAnsi="Impact" w:cstheme="majorBidi"/>
      <w:bCs/>
      <w:color w:val="FFFFFF" w:themeColor="background1"/>
      <w:spacing w:val="20"/>
      <w:sz w:val="52"/>
      <w:szCs w:val="28"/>
      <w:shd w:val="clear" w:color="auto" w:fill="ACB9CA" w:themeFill="text2" w:themeFillTint="66"/>
    </w:rPr>
  </w:style>
  <w:style w:type="character" w:customStyle="1" w:styleId="Ttulo2Car">
    <w:name w:val="Título 2 Car"/>
    <w:basedOn w:val="Fuentedeprrafopredeter"/>
    <w:link w:val="Ttulo2"/>
    <w:uiPriority w:val="9"/>
    <w:rsid w:val="00107F34"/>
    <w:rPr>
      <w:rFonts w:eastAsiaTheme="majorEastAsia" w:cstheme="majorBidi"/>
      <w:b/>
      <w:bCs/>
      <w:color w:val="44546A" w:themeColor="text2"/>
      <w:sz w:val="40"/>
      <w:szCs w:val="40"/>
      <w:u w:val="single"/>
    </w:rPr>
  </w:style>
  <w:style w:type="character" w:customStyle="1" w:styleId="Ttulo3Car">
    <w:name w:val="Título 3 Car"/>
    <w:basedOn w:val="Fuentedeprrafopredeter"/>
    <w:link w:val="Ttulo3"/>
    <w:uiPriority w:val="9"/>
    <w:rsid w:val="00107F34"/>
    <w:rPr>
      <w:rFonts w:eastAsiaTheme="majorEastAsia" w:cstheme="majorBidi"/>
      <w:bCs/>
      <w:color w:val="44546A" w:themeColor="text2"/>
      <w:spacing w:val="14"/>
      <w:sz w:val="36"/>
      <w:u w:val="single"/>
      <w:lang w:eastAsia="ar-SA"/>
    </w:rPr>
  </w:style>
  <w:style w:type="character" w:customStyle="1" w:styleId="Ttulo4Car">
    <w:name w:val="Título 4 Car"/>
    <w:basedOn w:val="Fuentedeprrafopredeter"/>
    <w:link w:val="Ttulo4"/>
    <w:uiPriority w:val="9"/>
    <w:rsid w:val="00107F34"/>
    <w:rPr>
      <w:rFonts w:eastAsiaTheme="majorEastAsia" w:cstheme="majorBidi"/>
      <w:bCs/>
      <w:i/>
      <w:iCs/>
      <w:sz w:val="32"/>
      <w:lang w:val="es-ES_tradnl" w:eastAsia="es-ES"/>
    </w:rPr>
  </w:style>
  <w:style w:type="character" w:customStyle="1" w:styleId="Ttulo5Car">
    <w:name w:val="Título 5 Car"/>
    <w:basedOn w:val="Fuentedeprrafopredeter"/>
    <w:link w:val="Ttulo5"/>
    <w:uiPriority w:val="9"/>
    <w:rsid w:val="00107F34"/>
    <w:rPr>
      <w:rFonts w:eastAsiaTheme="majorEastAsia" w:cstheme="majorBidi"/>
      <w:color w:val="8496B0" w:themeColor="text2" w:themeTint="99"/>
      <w:sz w:val="28"/>
      <w:lang w:val="es-ES_tradnl"/>
    </w:rPr>
  </w:style>
  <w:style w:type="character" w:customStyle="1" w:styleId="Ttulo6Car">
    <w:name w:val="Título 6 Car"/>
    <w:basedOn w:val="Fuentedeprrafopredeter"/>
    <w:link w:val="Ttulo6"/>
    <w:uiPriority w:val="9"/>
    <w:rsid w:val="00107F34"/>
    <w:rPr>
      <w:rFonts w:eastAsiaTheme="majorEastAsia" w:cstheme="majorBidi"/>
      <w:iCs/>
      <w:color w:val="5B9BD5" w:themeColor="accent1"/>
      <w:sz w:val="24"/>
      <w:szCs w:val="24"/>
      <w:u w:val="single"/>
      <w:lang w:val="es-ES_tradnl" w:eastAsia="es-ES"/>
    </w:rPr>
  </w:style>
  <w:style w:type="character" w:customStyle="1" w:styleId="Ttulo7Car">
    <w:name w:val="Título 7 Car"/>
    <w:basedOn w:val="Fuentedeprrafopredeter"/>
    <w:link w:val="Ttulo7"/>
    <w:uiPriority w:val="9"/>
    <w:rsid w:val="00107F34"/>
    <w:rPr>
      <w:rFonts w:eastAsiaTheme="majorEastAsia" w:cstheme="majorBidi"/>
      <w:i/>
      <w:iCs/>
      <w:color w:val="000000"/>
    </w:rPr>
  </w:style>
  <w:style w:type="character" w:customStyle="1" w:styleId="Ttulo8Car">
    <w:name w:val="Título 8 Car"/>
    <w:basedOn w:val="Fuentedeprrafopredeter"/>
    <w:link w:val="Ttulo8"/>
    <w:uiPriority w:val="9"/>
    <w:semiHidden/>
    <w:rsid w:val="00107F34"/>
    <w:rPr>
      <w:rFonts w:eastAsiaTheme="majorEastAsia" w:cstheme="majorBidi"/>
      <w:color w:val="000000"/>
      <w:sz w:val="20"/>
      <w:szCs w:val="20"/>
    </w:rPr>
  </w:style>
  <w:style w:type="character" w:customStyle="1" w:styleId="Ttulo9Car">
    <w:name w:val="Título 9 Car"/>
    <w:basedOn w:val="Fuentedeprrafopredeter"/>
    <w:link w:val="Ttulo9"/>
    <w:uiPriority w:val="9"/>
    <w:semiHidden/>
    <w:rsid w:val="00107F34"/>
    <w:rPr>
      <w:rFonts w:eastAsiaTheme="majorEastAsia" w:cstheme="majorBidi"/>
      <w:i/>
      <w:iCs/>
      <w:color w:val="000000"/>
      <w:sz w:val="20"/>
      <w:szCs w:val="20"/>
    </w:rPr>
  </w:style>
  <w:style w:type="paragraph" w:customStyle="1" w:styleId="ItemsEsther">
    <w:name w:val="Items (Esther)"/>
    <w:basedOn w:val="Prrafodelista"/>
    <w:link w:val="ItemsEstherCar"/>
    <w:qFormat/>
    <w:rsid w:val="00155E8E"/>
    <w:pPr>
      <w:numPr>
        <w:numId w:val="5"/>
      </w:numPr>
      <w:contextualSpacing w:val="0"/>
    </w:pPr>
  </w:style>
  <w:style w:type="character" w:customStyle="1" w:styleId="ItemsEstherCar">
    <w:name w:val="Items (Esther) Car"/>
    <w:basedOn w:val="PrrafodelistaCar"/>
    <w:link w:val="ItemsEsther"/>
    <w:rsid w:val="00155E8E"/>
    <w:rPr>
      <w:lang w:val="es-ES_tradnl"/>
    </w:rPr>
  </w:style>
  <w:style w:type="table" w:styleId="Tablaconcuadrcula">
    <w:name w:val="Table Grid"/>
    <w:basedOn w:val="Tablanormal"/>
    <w:uiPriority w:val="39"/>
    <w:rsid w:val="00C4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5E4032"/>
    <w:rPr>
      <w:sz w:val="16"/>
      <w:szCs w:val="16"/>
    </w:rPr>
  </w:style>
  <w:style w:type="paragraph" w:styleId="Textocomentario">
    <w:name w:val="annotation text"/>
    <w:basedOn w:val="Normal"/>
    <w:link w:val="TextocomentarioCar"/>
    <w:uiPriority w:val="99"/>
    <w:semiHidden/>
    <w:unhideWhenUsed/>
    <w:rsid w:val="005E403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4032"/>
    <w:rPr>
      <w:sz w:val="20"/>
      <w:szCs w:val="20"/>
    </w:rPr>
  </w:style>
  <w:style w:type="paragraph" w:styleId="Asuntodelcomentario">
    <w:name w:val="annotation subject"/>
    <w:basedOn w:val="Textocomentario"/>
    <w:next w:val="Textocomentario"/>
    <w:link w:val="AsuntodelcomentarioCar"/>
    <w:uiPriority w:val="99"/>
    <w:semiHidden/>
    <w:unhideWhenUsed/>
    <w:rsid w:val="005E4032"/>
    <w:rPr>
      <w:b/>
      <w:bCs/>
    </w:rPr>
  </w:style>
  <w:style w:type="character" w:customStyle="1" w:styleId="AsuntodelcomentarioCar">
    <w:name w:val="Asunto del comentario Car"/>
    <w:basedOn w:val="TextocomentarioCar"/>
    <w:link w:val="Asuntodelcomentario"/>
    <w:uiPriority w:val="99"/>
    <w:semiHidden/>
    <w:rsid w:val="005E4032"/>
    <w:rPr>
      <w:b/>
      <w:bCs/>
      <w:sz w:val="20"/>
      <w:szCs w:val="20"/>
    </w:rPr>
  </w:style>
  <w:style w:type="paragraph" w:styleId="Textodeglobo">
    <w:name w:val="Balloon Text"/>
    <w:basedOn w:val="Normal"/>
    <w:link w:val="TextodegloboCar"/>
    <w:uiPriority w:val="99"/>
    <w:semiHidden/>
    <w:unhideWhenUsed/>
    <w:rsid w:val="005E403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4032"/>
    <w:rPr>
      <w:rFonts w:ascii="Segoe UI" w:hAnsi="Segoe UI" w:cs="Segoe UI"/>
      <w:sz w:val="18"/>
      <w:szCs w:val="18"/>
    </w:rPr>
  </w:style>
  <w:style w:type="paragraph" w:styleId="Encabezado">
    <w:name w:val="header"/>
    <w:basedOn w:val="Normal"/>
    <w:link w:val="EncabezadoCar"/>
    <w:uiPriority w:val="99"/>
    <w:unhideWhenUsed/>
    <w:rsid w:val="005E3AC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E3ACE"/>
  </w:style>
  <w:style w:type="paragraph" w:styleId="Piedepgina">
    <w:name w:val="footer"/>
    <w:basedOn w:val="Normal"/>
    <w:link w:val="PiedepginaCar"/>
    <w:uiPriority w:val="99"/>
    <w:unhideWhenUsed/>
    <w:rsid w:val="005E3AC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E3ACE"/>
  </w:style>
  <w:style w:type="table" w:styleId="Cuadrculamedia3-nfasis1">
    <w:name w:val="Medium Grid 3 Accent 1"/>
    <w:basedOn w:val="Tablanormal"/>
    <w:uiPriority w:val="69"/>
    <w:rsid w:val="00091C51"/>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vAlign w:val="center"/>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Tablanormal21">
    <w:name w:val="Tabla normal 21"/>
    <w:basedOn w:val="Tablanormal"/>
    <w:uiPriority w:val="42"/>
    <w:rsid w:val="0000142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ighlight">
    <w:name w:val="highlight"/>
    <w:rsid w:val="00E70296"/>
  </w:style>
  <w:style w:type="paragraph" w:styleId="HTMLconformatoprevio">
    <w:name w:val="HTML Preformatted"/>
    <w:basedOn w:val="Normal"/>
    <w:link w:val="HTMLconformatoprevioCar"/>
    <w:uiPriority w:val="99"/>
    <w:unhideWhenUsed/>
    <w:rsid w:val="00895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8957BF"/>
    <w:rPr>
      <w:rFonts w:ascii="Courier New" w:eastAsia="Times New Roman" w:hAnsi="Courier New" w:cs="Courier New"/>
      <w:sz w:val="20"/>
      <w:szCs w:val="20"/>
      <w:lang w:eastAsia="es-ES"/>
    </w:rPr>
  </w:style>
  <w:style w:type="paragraph" w:styleId="NormalWeb">
    <w:name w:val="Normal (Web)"/>
    <w:basedOn w:val="Normal"/>
    <w:uiPriority w:val="99"/>
    <w:semiHidden/>
    <w:unhideWhenUsed/>
    <w:rsid w:val="00D82B33"/>
    <w:pPr>
      <w:spacing w:before="100" w:beforeAutospacing="1" w:after="100" w:afterAutospacing="1" w:line="240" w:lineRule="auto"/>
      <w:ind w:firstLine="0"/>
      <w:jc w:val="left"/>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885548">
      <w:bodyDiv w:val="1"/>
      <w:marLeft w:val="0"/>
      <w:marRight w:val="0"/>
      <w:marTop w:val="0"/>
      <w:marBottom w:val="0"/>
      <w:divBdr>
        <w:top w:val="none" w:sz="0" w:space="0" w:color="auto"/>
        <w:left w:val="none" w:sz="0" w:space="0" w:color="auto"/>
        <w:bottom w:val="none" w:sz="0" w:space="0" w:color="auto"/>
        <w:right w:val="none" w:sz="0" w:space="0" w:color="auto"/>
      </w:divBdr>
    </w:div>
    <w:div w:id="227960460">
      <w:bodyDiv w:val="1"/>
      <w:marLeft w:val="0"/>
      <w:marRight w:val="0"/>
      <w:marTop w:val="0"/>
      <w:marBottom w:val="0"/>
      <w:divBdr>
        <w:top w:val="none" w:sz="0" w:space="0" w:color="auto"/>
        <w:left w:val="none" w:sz="0" w:space="0" w:color="auto"/>
        <w:bottom w:val="none" w:sz="0" w:space="0" w:color="auto"/>
        <w:right w:val="none" w:sz="0" w:space="0" w:color="auto"/>
      </w:divBdr>
    </w:div>
    <w:div w:id="431051633">
      <w:bodyDiv w:val="1"/>
      <w:marLeft w:val="0"/>
      <w:marRight w:val="0"/>
      <w:marTop w:val="0"/>
      <w:marBottom w:val="0"/>
      <w:divBdr>
        <w:top w:val="none" w:sz="0" w:space="0" w:color="auto"/>
        <w:left w:val="none" w:sz="0" w:space="0" w:color="auto"/>
        <w:bottom w:val="none" w:sz="0" w:space="0" w:color="auto"/>
        <w:right w:val="none" w:sz="0" w:space="0" w:color="auto"/>
      </w:divBdr>
    </w:div>
    <w:div w:id="686907636">
      <w:bodyDiv w:val="1"/>
      <w:marLeft w:val="0"/>
      <w:marRight w:val="0"/>
      <w:marTop w:val="0"/>
      <w:marBottom w:val="0"/>
      <w:divBdr>
        <w:top w:val="none" w:sz="0" w:space="0" w:color="auto"/>
        <w:left w:val="none" w:sz="0" w:space="0" w:color="auto"/>
        <w:bottom w:val="none" w:sz="0" w:space="0" w:color="auto"/>
        <w:right w:val="none" w:sz="0" w:space="0" w:color="auto"/>
      </w:divBdr>
    </w:div>
    <w:div w:id="155380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CD495-5DA8-4CAF-9902-1DFBA3F08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23842</Words>
  <Characters>131136</Characters>
  <Application>Microsoft Office Word</Application>
  <DocSecurity>0</DocSecurity>
  <Lines>1092</Lines>
  <Paragraphs>309</Paragraphs>
  <ScaleCrop>false</ScaleCrop>
  <HeadingPairs>
    <vt:vector size="2" baseType="variant">
      <vt:variant>
        <vt:lpstr>Título</vt:lpstr>
      </vt:variant>
      <vt:variant>
        <vt:i4>1</vt:i4>
      </vt:variant>
    </vt:vector>
  </HeadingPairs>
  <TitlesOfParts>
    <vt:vector size="1" baseType="lpstr">
      <vt:lpstr>-</vt:lpstr>
    </vt:vector>
  </TitlesOfParts>
  <Company/>
  <LinksUpToDate>false</LinksUpToDate>
  <CharactersWithSpaces>154669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ESTHER</dc:creator>
  <cp:keywords/>
  <dc:description/>
  <cp:lastModifiedBy>Ana Belén Ortega Ávila</cp:lastModifiedBy>
  <cp:revision>4</cp:revision>
  <cp:lastPrinted>2018-11-15T09:11:00Z</cp:lastPrinted>
  <dcterms:created xsi:type="dcterms:W3CDTF">2021-03-12T16:00:00Z</dcterms:created>
  <dcterms:modified xsi:type="dcterms:W3CDTF">2021-03-12T16:02:00Z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http://www.zotero.org/styles/journal-of-tissue-viability</vt:lpwstr>
  </property>
  <property fmtid="{D5CDD505-2E9C-101B-9397-08002B2CF9AE}" pid="15" name="Mendeley Recent Style Name 6_1">
    <vt:lpwstr>Journal of Tissue Viability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http://www.zotero.org/styles/journal-of-tissue-viability</vt:lpwstr>
  </property>
  <property fmtid="{D5CDD505-2E9C-101B-9397-08002B2CF9AE}" pid="24" name="Mendeley Unique User Id_1">
    <vt:lpwstr>650bfcc0-16a3-3f07-a667-df1bf39dd2b1</vt:lpwstr>
  </property>
</Properties>
</file>