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862334" w14:textId="77777777" w:rsidR="005119F4" w:rsidRPr="00687F08" w:rsidRDefault="005119F4" w:rsidP="005119F4">
      <w:pPr>
        <w:pStyle w:val="NormalWeb"/>
        <w:jc w:val="center"/>
        <w:rPr>
          <w:b/>
          <w:bCs/>
          <w:color w:val="0D0D0D" w:themeColor="text1" w:themeTint="F2"/>
          <w:sz w:val="32"/>
          <w:szCs w:val="32"/>
        </w:rPr>
      </w:pPr>
      <w:r w:rsidRPr="00687F08">
        <w:rPr>
          <w:b/>
          <w:bCs/>
          <w:color w:val="0D0D0D" w:themeColor="text1" w:themeTint="F2"/>
          <w:sz w:val="32"/>
          <w:szCs w:val="32"/>
          <w:shd w:val="clear" w:color="auto" w:fill="FFFFFF"/>
        </w:rPr>
        <w:t xml:space="preserve">Sobre la compatibilidad de la indexación de las prestaciones familiares con el reglamento 883/2004. Reflexiones a partir de la Sentencia del TJUE (Sala Segunda) de 16 de junio de 2022, </w:t>
      </w:r>
      <w:r w:rsidRPr="00687F08">
        <w:rPr>
          <w:b/>
          <w:bCs/>
          <w:color w:val="0D0D0D" w:themeColor="text1" w:themeTint="F2"/>
          <w:sz w:val="32"/>
          <w:szCs w:val="32"/>
        </w:rPr>
        <w:t>asunto C-328/20</w:t>
      </w:r>
    </w:p>
    <w:p w14:paraId="64AB8376" w14:textId="44016AF1" w:rsidR="00A8211D" w:rsidRDefault="00A8211D"/>
    <w:p w14:paraId="05706C5B" w14:textId="5BA9EE18" w:rsidR="005119F4" w:rsidRPr="00687F08" w:rsidRDefault="00810BA1" w:rsidP="00FF4591">
      <w:pPr>
        <w:jc w:val="both"/>
        <w:rPr>
          <w:rFonts w:ascii="Book Antiqua" w:hAnsi="Book Antiqua"/>
          <w:b/>
          <w:bCs/>
          <w:u w:val="single"/>
        </w:rPr>
      </w:pPr>
      <w:r w:rsidRPr="00687F08">
        <w:rPr>
          <w:rFonts w:ascii="Book Antiqua" w:hAnsi="Book Antiqua"/>
          <w:b/>
          <w:bCs/>
          <w:u w:val="single"/>
        </w:rPr>
        <w:t>INTERÉS DE LA SENTENCIA:</w:t>
      </w:r>
    </w:p>
    <w:p w14:paraId="7F9BE10D" w14:textId="1A159F72" w:rsidR="005119F4" w:rsidRPr="00687F08" w:rsidRDefault="005119F4" w:rsidP="00FF4591">
      <w:pPr>
        <w:jc w:val="both"/>
        <w:rPr>
          <w:rFonts w:ascii="Book Antiqua" w:hAnsi="Book Antiqua"/>
        </w:rPr>
      </w:pPr>
    </w:p>
    <w:p w14:paraId="4A92854C" w14:textId="2FC85B6C" w:rsidR="005119F4" w:rsidRPr="00687F08" w:rsidRDefault="005119F4" w:rsidP="00FF4591">
      <w:pPr>
        <w:ind w:left="708"/>
        <w:jc w:val="both"/>
        <w:rPr>
          <w:rFonts w:ascii="Book Antiqua" w:hAnsi="Book Antiqua"/>
        </w:rPr>
      </w:pPr>
      <w:r w:rsidRPr="00687F08">
        <w:rPr>
          <w:rFonts w:ascii="Book Antiqua" w:hAnsi="Book Antiqua"/>
        </w:rPr>
        <w:t xml:space="preserve">-Discriminación indirecta frente a una disposición cuestionada reforzadamente aséptica. </w:t>
      </w:r>
    </w:p>
    <w:p w14:paraId="5E2A9119" w14:textId="220D5C2D" w:rsidR="005119F4" w:rsidRPr="00687F08" w:rsidRDefault="005119F4" w:rsidP="00FF4591">
      <w:pPr>
        <w:ind w:left="708"/>
        <w:jc w:val="both"/>
        <w:rPr>
          <w:rFonts w:ascii="Book Antiqua" w:hAnsi="Book Antiqua"/>
        </w:rPr>
      </w:pPr>
    </w:p>
    <w:p w14:paraId="7595F9FE" w14:textId="76687E8A" w:rsidR="005119F4" w:rsidRPr="00687F08" w:rsidRDefault="005119F4" w:rsidP="00FF4591">
      <w:pPr>
        <w:ind w:left="708"/>
        <w:jc w:val="both"/>
        <w:rPr>
          <w:rFonts w:ascii="Book Antiqua" w:hAnsi="Book Antiqua"/>
        </w:rPr>
      </w:pPr>
      <w:r w:rsidRPr="00687F08">
        <w:rPr>
          <w:rFonts w:ascii="Book Antiqua" w:hAnsi="Book Antiqua"/>
        </w:rPr>
        <w:t xml:space="preserve">-Reflexionar sobre la indexación de las prestaciones familiares según el lugar de residencia. </w:t>
      </w:r>
    </w:p>
    <w:p w14:paraId="21CB78AF" w14:textId="15E1917E" w:rsidR="005119F4" w:rsidRPr="00687F08" w:rsidRDefault="005119F4" w:rsidP="00FF4591">
      <w:pPr>
        <w:ind w:left="708"/>
        <w:jc w:val="both"/>
        <w:rPr>
          <w:rFonts w:ascii="Book Antiqua" w:hAnsi="Book Antiqua"/>
        </w:rPr>
      </w:pPr>
    </w:p>
    <w:p w14:paraId="09973FEE" w14:textId="551E6BCC" w:rsidR="005119F4" w:rsidRPr="00687F08" w:rsidRDefault="005119F4" w:rsidP="00FF4591">
      <w:pPr>
        <w:ind w:left="708"/>
        <w:jc w:val="both"/>
        <w:rPr>
          <w:rFonts w:ascii="Book Antiqua" w:hAnsi="Book Antiqua"/>
        </w:rPr>
      </w:pPr>
      <w:r w:rsidRPr="00687F08">
        <w:rPr>
          <w:rFonts w:ascii="Book Antiqua" w:hAnsi="Book Antiqua"/>
        </w:rPr>
        <w:t xml:space="preserve">-Política legislativa: Limitaciones política social—Instrumento demográfico. </w:t>
      </w:r>
    </w:p>
    <w:p w14:paraId="0B1A567E" w14:textId="0C74CA09" w:rsidR="005119F4" w:rsidRPr="00687F08" w:rsidRDefault="005119F4" w:rsidP="00FF4591">
      <w:pPr>
        <w:ind w:left="708"/>
        <w:jc w:val="both"/>
        <w:rPr>
          <w:rFonts w:ascii="Book Antiqua" w:hAnsi="Book Antiqua"/>
        </w:rPr>
      </w:pPr>
    </w:p>
    <w:p w14:paraId="5D66BED5" w14:textId="77777777" w:rsidR="005119F4" w:rsidRPr="00687F08" w:rsidRDefault="005119F4" w:rsidP="00FF4591">
      <w:pPr>
        <w:ind w:left="708"/>
        <w:jc w:val="both"/>
        <w:rPr>
          <w:rFonts w:ascii="Book Antiqua" w:hAnsi="Book Antiqua"/>
        </w:rPr>
      </w:pPr>
      <w:r w:rsidRPr="00687F08">
        <w:rPr>
          <w:rFonts w:ascii="Book Antiqua" w:hAnsi="Book Antiqua"/>
        </w:rPr>
        <w:t>-Política legislativa: Incentivos de segregación familiar.</w:t>
      </w:r>
    </w:p>
    <w:p w14:paraId="10F55B9D" w14:textId="3467F95B" w:rsidR="005119F4" w:rsidRPr="00687F08" w:rsidRDefault="005119F4" w:rsidP="00FF4591">
      <w:pPr>
        <w:jc w:val="both"/>
        <w:rPr>
          <w:rFonts w:ascii="Book Antiqua" w:hAnsi="Book Antiqua"/>
        </w:rPr>
      </w:pPr>
    </w:p>
    <w:p w14:paraId="13D5D79A" w14:textId="52CD93F5" w:rsidR="005119F4" w:rsidRDefault="005119F4" w:rsidP="00FF4591">
      <w:pPr>
        <w:ind w:left="708"/>
        <w:jc w:val="both"/>
        <w:rPr>
          <w:rFonts w:ascii="Book Antiqua" w:hAnsi="Book Antiqua"/>
        </w:rPr>
      </w:pPr>
      <w:r w:rsidRPr="0004302E">
        <w:rPr>
          <w:rFonts w:ascii="Book Antiqua" w:hAnsi="Book Antiqua"/>
        </w:rPr>
        <w:t xml:space="preserve">Particularmente nos separamos de la resolución dada. </w:t>
      </w:r>
    </w:p>
    <w:p w14:paraId="33B1FB24" w14:textId="4DFC6573" w:rsidR="00E87780" w:rsidRDefault="00E87780" w:rsidP="00FF4591">
      <w:pPr>
        <w:ind w:left="708"/>
        <w:jc w:val="both"/>
        <w:rPr>
          <w:rFonts w:ascii="Book Antiqua" w:hAnsi="Book Antiqua"/>
        </w:rPr>
      </w:pPr>
    </w:p>
    <w:p w14:paraId="66CCD0A8" w14:textId="5A6D9BBD" w:rsidR="00E87780" w:rsidRDefault="00E87780" w:rsidP="00FF4591">
      <w:pPr>
        <w:ind w:left="708"/>
        <w:jc w:val="both"/>
        <w:rPr>
          <w:rFonts w:ascii="Book Antiqua" w:hAnsi="Book Antiqua"/>
        </w:rPr>
      </w:pPr>
    </w:p>
    <w:p w14:paraId="39FC9247" w14:textId="0DBBA23C" w:rsidR="00E87780" w:rsidRPr="00A91660" w:rsidRDefault="00E87780" w:rsidP="00E87780">
      <w:pPr>
        <w:jc w:val="both"/>
        <w:rPr>
          <w:rFonts w:ascii="Book Antiqua" w:hAnsi="Book Antiqua"/>
          <w:b/>
          <w:bCs/>
          <w:u w:val="single"/>
        </w:rPr>
      </w:pPr>
      <w:r w:rsidRPr="00A91660">
        <w:rPr>
          <w:rFonts w:ascii="Book Antiqua" w:hAnsi="Book Antiqua"/>
          <w:b/>
          <w:bCs/>
          <w:u w:val="single"/>
        </w:rPr>
        <w:t>ANTECEDENTES INDEXACIÓN PRESTACIONES</w:t>
      </w:r>
    </w:p>
    <w:p w14:paraId="724B8DF8" w14:textId="57924972" w:rsidR="00E87780" w:rsidRDefault="00E87780" w:rsidP="00E87780">
      <w:pPr>
        <w:jc w:val="both"/>
        <w:rPr>
          <w:rFonts w:ascii="Book Antiqua" w:hAnsi="Book Antiqua"/>
        </w:rPr>
      </w:pPr>
    </w:p>
    <w:p w14:paraId="2218790D" w14:textId="42E481CB" w:rsidR="00E87780" w:rsidRDefault="00E87780" w:rsidP="00E87780">
      <w:pPr>
        <w:jc w:val="both"/>
        <w:rPr>
          <w:rFonts w:ascii="Times New Roman" w:hAnsi="Times New Roman" w:cs="Times New Roman"/>
          <w:color w:val="0D0D0D" w:themeColor="text1" w:themeTint="F2"/>
          <w:lang w:eastAsia="es-ES_tradnl"/>
        </w:rPr>
      </w:pPr>
      <w:r w:rsidRPr="00B64F6E">
        <w:rPr>
          <w:rFonts w:ascii="Times New Roman" w:hAnsi="Times New Roman" w:cs="Times New Roman"/>
          <w:i/>
          <w:iCs/>
          <w:color w:val="0D0D0D" w:themeColor="text1" w:themeTint="F2"/>
          <w:lang w:eastAsia="es-ES_tradnl"/>
        </w:rPr>
        <w:t>Decisión del Consejo Europeo relativa a un nuevo régimen para el Reino Unido en la Unión Europea</w:t>
      </w:r>
      <w:r w:rsidRPr="00B64F6E">
        <w:rPr>
          <w:rFonts w:ascii="Times New Roman" w:hAnsi="Times New Roman" w:cs="Times New Roman"/>
          <w:color w:val="0D0D0D" w:themeColor="text1" w:themeTint="F2"/>
          <w:lang w:eastAsia="es-ES_tradnl"/>
        </w:rPr>
        <w:t xml:space="preserve">, de </w:t>
      </w:r>
      <w:r>
        <w:rPr>
          <w:rFonts w:ascii="Times New Roman" w:hAnsi="Times New Roman" w:cs="Times New Roman"/>
          <w:color w:val="0D0D0D" w:themeColor="text1" w:themeTint="F2"/>
          <w:lang w:eastAsia="es-ES_tradnl"/>
        </w:rPr>
        <w:t>18 y 19 de f</w:t>
      </w:r>
      <w:r w:rsidR="00A91660">
        <w:rPr>
          <w:rFonts w:ascii="Times New Roman" w:hAnsi="Times New Roman" w:cs="Times New Roman"/>
          <w:color w:val="0D0D0D" w:themeColor="text1" w:themeTint="F2"/>
          <w:lang w:eastAsia="es-ES_tradnl"/>
        </w:rPr>
        <w:t>e</w:t>
      </w:r>
      <w:r>
        <w:rPr>
          <w:rFonts w:ascii="Times New Roman" w:hAnsi="Times New Roman" w:cs="Times New Roman"/>
          <w:color w:val="0D0D0D" w:themeColor="text1" w:themeTint="F2"/>
          <w:lang w:eastAsia="es-ES_tradnl"/>
        </w:rPr>
        <w:t xml:space="preserve">brero de </w:t>
      </w:r>
      <w:r w:rsidRPr="00B64F6E">
        <w:rPr>
          <w:rFonts w:ascii="Times New Roman" w:hAnsi="Times New Roman" w:cs="Times New Roman"/>
          <w:color w:val="0D0D0D" w:themeColor="text1" w:themeTint="F2"/>
          <w:lang w:eastAsia="es-ES_tradnl"/>
        </w:rPr>
        <w:t>2016</w:t>
      </w:r>
      <w:r w:rsidRPr="00B64F6E">
        <w:rPr>
          <w:rFonts w:ascii="Times New Roman" w:hAnsi="Times New Roman" w:cs="Times New Roman"/>
          <w:color w:val="0D0D0D" w:themeColor="text1" w:themeTint="F2"/>
          <w:lang w:eastAsia="es-ES_tradnl"/>
        </w:rPr>
        <w:t>, en la que se instaba a la Comisión a modificar el Reglamento 883/2004 para indexar el importe de las prestaciones sociales según el país de residencia</w:t>
      </w:r>
      <w:r w:rsidR="00A91660">
        <w:rPr>
          <w:rFonts w:ascii="Times New Roman" w:hAnsi="Times New Roman" w:cs="Times New Roman"/>
          <w:color w:val="0D0D0D" w:themeColor="text1" w:themeTint="F2"/>
          <w:lang w:eastAsia="es-ES_tradnl"/>
        </w:rPr>
        <w:t xml:space="preserve">. </w:t>
      </w:r>
    </w:p>
    <w:p w14:paraId="53542428" w14:textId="5DFC0372" w:rsidR="00A91660" w:rsidRDefault="00A91660" w:rsidP="00E87780">
      <w:pPr>
        <w:jc w:val="both"/>
        <w:rPr>
          <w:rFonts w:ascii="Times New Roman" w:hAnsi="Times New Roman" w:cs="Times New Roman"/>
          <w:color w:val="0D0D0D" w:themeColor="text1" w:themeTint="F2"/>
          <w:lang w:eastAsia="es-ES_tradnl"/>
        </w:rPr>
      </w:pPr>
    </w:p>
    <w:p w14:paraId="281D225A" w14:textId="77777777" w:rsidR="00A91660" w:rsidRPr="0004302E" w:rsidRDefault="00A91660" w:rsidP="00E87780">
      <w:pPr>
        <w:jc w:val="both"/>
        <w:rPr>
          <w:rFonts w:ascii="Book Antiqua" w:hAnsi="Book Antiqua"/>
        </w:rPr>
      </w:pPr>
    </w:p>
    <w:p w14:paraId="643841D3" w14:textId="5D421D48" w:rsidR="005119F4" w:rsidRPr="00687F08" w:rsidRDefault="005119F4" w:rsidP="00FF4591">
      <w:pPr>
        <w:ind w:left="708"/>
        <w:jc w:val="both"/>
        <w:rPr>
          <w:rFonts w:ascii="Book Antiqua" w:hAnsi="Book Antiqua"/>
          <w:b/>
          <w:bCs/>
        </w:rPr>
      </w:pPr>
    </w:p>
    <w:p w14:paraId="7C216818" w14:textId="61461AD1" w:rsidR="00810BA1" w:rsidRPr="00687F08" w:rsidRDefault="00810BA1" w:rsidP="00FF4591">
      <w:pPr>
        <w:jc w:val="both"/>
        <w:rPr>
          <w:rFonts w:ascii="Book Antiqua" w:eastAsia="Times New Roman" w:hAnsi="Book Antiqua" w:cs="Times New Roman"/>
          <w:b/>
          <w:bCs/>
          <w:color w:val="0D0D0D" w:themeColor="text1" w:themeTint="F2"/>
          <w:u w:val="single"/>
          <w:shd w:val="clear" w:color="auto" w:fill="FFFFFF"/>
          <w:lang w:eastAsia="es-ES_tradnl"/>
        </w:rPr>
      </w:pPr>
      <w:r w:rsidRPr="00687F08">
        <w:rPr>
          <w:rFonts w:ascii="Book Antiqua" w:eastAsia="Times New Roman" w:hAnsi="Book Antiqua" w:cs="Times New Roman"/>
          <w:b/>
          <w:bCs/>
          <w:color w:val="0D0D0D" w:themeColor="text1" w:themeTint="F2"/>
          <w:u w:val="single"/>
          <w:shd w:val="clear" w:color="auto" w:fill="FFFFFF"/>
          <w:lang w:eastAsia="es-ES_tradnl"/>
        </w:rPr>
        <w:t>NORMATIVA CUESTIONADA:</w:t>
      </w:r>
    </w:p>
    <w:p w14:paraId="1C79EA20" w14:textId="77777777"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4C6A46FF" w14:textId="252731C5" w:rsidR="005119F4"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Art. 8.a) de la </w:t>
      </w:r>
      <w:proofErr w:type="spellStart"/>
      <w:r w:rsidRPr="00687F08">
        <w:rPr>
          <w:rFonts w:ascii="Book Antiqua" w:eastAsia="Times New Roman" w:hAnsi="Book Antiqua" w:cs="Times New Roman"/>
          <w:i/>
          <w:iCs/>
          <w:color w:val="0D0D0D" w:themeColor="text1" w:themeTint="F2"/>
          <w:shd w:val="clear" w:color="auto" w:fill="FFFFFF"/>
          <w:lang w:eastAsia="es-ES_tradnl"/>
        </w:rPr>
        <w:t>Bundesgesetz</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w:t>
      </w:r>
      <w:proofErr w:type="spellStart"/>
      <w:r w:rsidRPr="00687F08">
        <w:rPr>
          <w:rFonts w:ascii="Book Antiqua" w:eastAsia="Times New Roman" w:hAnsi="Book Antiqua" w:cs="Times New Roman"/>
          <w:i/>
          <w:iCs/>
          <w:color w:val="0D0D0D" w:themeColor="text1" w:themeTint="F2"/>
          <w:shd w:val="clear" w:color="auto" w:fill="FFFFFF"/>
          <w:lang w:eastAsia="es-ES_tradnl"/>
        </w:rPr>
        <w:t>betreffend</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den </w:t>
      </w:r>
      <w:proofErr w:type="spellStart"/>
      <w:r w:rsidRPr="00687F08">
        <w:rPr>
          <w:rFonts w:ascii="Book Antiqua" w:eastAsia="Times New Roman" w:hAnsi="Book Antiqua" w:cs="Times New Roman"/>
          <w:i/>
          <w:iCs/>
          <w:color w:val="0D0D0D" w:themeColor="text1" w:themeTint="F2"/>
          <w:shd w:val="clear" w:color="auto" w:fill="FFFFFF"/>
          <w:lang w:eastAsia="es-ES_tradnl"/>
        </w:rPr>
        <w:t>Familienlastenausgleich</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w:t>
      </w:r>
      <w:proofErr w:type="spellStart"/>
      <w:r w:rsidRPr="00687F08">
        <w:rPr>
          <w:rFonts w:ascii="Book Antiqua" w:eastAsia="Times New Roman" w:hAnsi="Book Antiqua" w:cs="Times New Roman"/>
          <w:i/>
          <w:iCs/>
          <w:color w:val="0D0D0D" w:themeColor="text1" w:themeTint="F2"/>
          <w:shd w:val="clear" w:color="auto" w:fill="FFFFFF"/>
          <w:lang w:eastAsia="es-ES_tradnl"/>
        </w:rPr>
        <w:t>durch</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w:t>
      </w:r>
      <w:proofErr w:type="spellStart"/>
      <w:r w:rsidRPr="00687F08">
        <w:rPr>
          <w:rFonts w:ascii="Book Antiqua" w:eastAsia="Times New Roman" w:hAnsi="Book Antiqua" w:cs="Times New Roman"/>
          <w:i/>
          <w:iCs/>
          <w:color w:val="0D0D0D" w:themeColor="text1" w:themeTint="F2"/>
          <w:shd w:val="clear" w:color="auto" w:fill="FFFFFF"/>
          <w:lang w:eastAsia="es-ES_tradnl"/>
        </w:rPr>
        <w:t>Beihilfen</w:t>
      </w:r>
      <w:proofErr w:type="spellEnd"/>
      <w:r w:rsidRPr="00687F08">
        <w:rPr>
          <w:rFonts w:ascii="Book Antiqua" w:eastAsia="Times New Roman" w:hAnsi="Book Antiqua" w:cs="Times New Roman"/>
          <w:color w:val="0D0D0D" w:themeColor="text1" w:themeTint="F2"/>
          <w:shd w:val="clear" w:color="auto" w:fill="FFFFFF"/>
          <w:lang w:eastAsia="es-ES_tradnl"/>
        </w:rPr>
        <w:t xml:space="preserve"> (Ley Federal relativa a los Subsidios para la </w:t>
      </w:r>
      <w:proofErr w:type="spellStart"/>
      <w:r w:rsidRPr="00687F08">
        <w:rPr>
          <w:rFonts w:ascii="Book Antiqua" w:eastAsia="Times New Roman" w:hAnsi="Book Antiqua" w:cs="Times New Roman"/>
          <w:color w:val="0D0D0D" w:themeColor="text1" w:themeTint="F2"/>
          <w:shd w:val="clear" w:color="auto" w:fill="FFFFFF"/>
          <w:lang w:eastAsia="es-ES_tradnl"/>
        </w:rPr>
        <w:t>Compensación</w:t>
      </w:r>
      <w:proofErr w:type="spellEnd"/>
      <w:r w:rsidRPr="00687F08">
        <w:rPr>
          <w:rFonts w:ascii="Book Antiqua" w:eastAsia="Times New Roman" w:hAnsi="Book Antiqua" w:cs="Times New Roman"/>
          <w:color w:val="0D0D0D" w:themeColor="text1" w:themeTint="F2"/>
          <w:shd w:val="clear" w:color="auto" w:fill="FFFFFF"/>
          <w:lang w:eastAsia="es-ES_tradnl"/>
        </w:rPr>
        <w:t xml:space="preserve"> de Cargas Familiares), de 24 de octubre de 1967</w:t>
      </w:r>
      <w:r w:rsidRPr="00687F08">
        <w:rPr>
          <w:rFonts w:ascii="Book Antiqua" w:eastAsia="Times New Roman" w:hAnsi="Book Antiqua" w:cs="Times New Roman"/>
          <w:color w:val="0D0D0D" w:themeColor="text1" w:themeTint="F2"/>
          <w:shd w:val="clear" w:color="auto" w:fill="FFFFFF"/>
          <w:lang w:eastAsia="es-ES_tradnl"/>
        </w:rPr>
        <w:t>.</w:t>
      </w:r>
    </w:p>
    <w:p w14:paraId="6BAD1B6F" w14:textId="6B0250BE" w:rsidR="00134E9A" w:rsidRPr="00687F08" w:rsidRDefault="00134E9A" w:rsidP="00FF4591">
      <w:pPr>
        <w:jc w:val="both"/>
        <w:rPr>
          <w:rFonts w:ascii="Book Antiqua" w:eastAsia="Times New Roman" w:hAnsi="Book Antiqua" w:cs="Times New Roman"/>
          <w:color w:val="0D0D0D" w:themeColor="text1" w:themeTint="F2"/>
          <w:shd w:val="clear" w:color="auto" w:fill="FFFFFF"/>
          <w:lang w:eastAsia="es-ES_tradnl"/>
        </w:rPr>
      </w:pPr>
    </w:p>
    <w:p w14:paraId="52E08255" w14:textId="452D9C6B" w:rsidR="00134E9A" w:rsidRPr="00687F08" w:rsidRDefault="00134E9A"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El importe medio de las prestaciones: 90 €, 700 €. Importe medio 200 €. </w:t>
      </w:r>
    </w:p>
    <w:p w14:paraId="5BAE25F1" w14:textId="42F27FB1"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6C198DC7" w14:textId="2FCA85F4"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El </w:t>
      </w:r>
      <w:proofErr w:type="spellStart"/>
      <w:r w:rsidRPr="00687F08">
        <w:rPr>
          <w:rFonts w:ascii="Book Antiqua" w:eastAsia="Times New Roman" w:hAnsi="Book Antiqua" w:cs="Times New Roman"/>
          <w:color w:val="0D0D0D" w:themeColor="text1" w:themeTint="F2"/>
          <w:shd w:val="clear" w:color="auto" w:fill="FFFFFF"/>
          <w:lang w:eastAsia="es-ES_tradnl"/>
        </w:rPr>
        <w:t>artículo</w:t>
      </w:r>
      <w:proofErr w:type="spellEnd"/>
      <w:r w:rsidRPr="00687F08">
        <w:rPr>
          <w:rFonts w:ascii="Book Antiqua" w:eastAsia="Times New Roman" w:hAnsi="Book Antiqua" w:cs="Times New Roman"/>
          <w:color w:val="0D0D0D" w:themeColor="text1" w:themeTint="F2"/>
          <w:shd w:val="clear" w:color="auto" w:fill="FFFFFF"/>
          <w:lang w:eastAsia="es-ES_tradnl"/>
        </w:rPr>
        <w:t xml:space="preserve"> 33 de la </w:t>
      </w:r>
      <w:proofErr w:type="spellStart"/>
      <w:r w:rsidRPr="00687F08">
        <w:rPr>
          <w:rFonts w:ascii="Book Antiqua" w:eastAsia="Times New Roman" w:hAnsi="Book Antiqua" w:cs="Times New Roman"/>
          <w:i/>
          <w:iCs/>
          <w:color w:val="0D0D0D" w:themeColor="text1" w:themeTint="F2"/>
          <w:shd w:val="clear" w:color="auto" w:fill="FFFFFF"/>
          <w:lang w:eastAsia="es-ES_tradnl"/>
        </w:rPr>
        <w:t>Bundesgesetz</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w:t>
      </w:r>
      <w:proofErr w:type="spellStart"/>
      <w:r w:rsidRPr="00687F08">
        <w:rPr>
          <w:rFonts w:ascii="Book Antiqua" w:eastAsia="Times New Roman" w:hAnsi="Book Antiqua" w:cs="Times New Roman"/>
          <w:i/>
          <w:iCs/>
          <w:color w:val="0D0D0D" w:themeColor="text1" w:themeTint="F2"/>
          <w:shd w:val="clear" w:color="auto" w:fill="FFFFFF"/>
          <w:lang w:eastAsia="es-ES_tradnl"/>
        </w:rPr>
        <w:t>u</w:t>
      </w:r>
      <w:r w:rsidRPr="00687F08">
        <w:rPr>
          <w:rFonts w:ascii="Times New Roman" w:eastAsia="Times New Roman" w:hAnsi="Times New Roman" w:cs="Times New Roman"/>
          <w:i/>
          <w:iCs/>
          <w:color w:val="0D0D0D" w:themeColor="text1" w:themeTint="F2"/>
          <w:shd w:val="clear" w:color="auto" w:fill="FFFFFF"/>
          <w:lang w:eastAsia="es-ES_tradnl"/>
        </w:rPr>
        <w:t>̈</w:t>
      </w:r>
      <w:r w:rsidRPr="00687F08">
        <w:rPr>
          <w:rFonts w:ascii="Book Antiqua" w:eastAsia="Times New Roman" w:hAnsi="Book Antiqua" w:cs="Times New Roman"/>
          <w:i/>
          <w:iCs/>
          <w:color w:val="0D0D0D" w:themeColor="text1" w:themeTint="F2"/>
          <w:shd w:val="clear" w:color="auto" w:fill="FFFFFF"/>
          <w:lang w:eastAsia="es-ES_tradnl"/>
        </w:rPr>
        <w:t>ber</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die </w:t>
      </w:r>
      <w:proofErr w:type="spellStart"/>
      <w:r w:rsidRPr="00687F08">
        <w:rPr>
          <w:rFonts w:ascii="Book Antiqua" w:eastAsia="Times New Roman" w:hAnsi="Book Antiqua" w:cs="Times New Roman"/>
          <w:i/>
          <w:iCs/>
          <w:color w:val="0D0D0D" w:themeColor="text1" w:themeTint="F2"/>
          <w:shd w:val="clear" w:color="auto" w:fill="FFFFFF"/>
          <w:lang w:eastAsia="es-ES_tradnl"/>
        </w:rPr>
        <w:t>Besteuerung</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des </w:t>
      </w:r>
      <w:proofErr w:type="spellStart"/>
      <w:r w:rsidRPr="00687F08">
        <w:rPr>
          <w:rFonts w:ascii="Book Antiqua" w:eastAsia="Times New Roman" w:hAnsi="Book Antiqua" w:cs="Times New Roman"/>
          <w:i/>
          <w:iCs/>
          <w:color w:val="0D0D0D" w:themeColor="text1" w:themeTint="F2"/>
          <w:shd w:val="clear" w:color="auto" w:fill="FFFFFF"/>
          <w:lang w:eastAsia="es-ES_tradnl"/>
        </w:rPr>
        <w:t>Einkommens</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w:t>
      </w:r>
      <w:proofErr w:type="spellStart"/>
      <w:r w:rsidRPr="00687F08">
        <w:rPr>
          <w:rFonts w:ascii="Book Antiqua" w:eastAsia="Times New Roman" w:hAnsi="Book Antiqua" w:cs="Times New Roman"/>
          <w:i/>
          <w:iCs/>
          <w:color w:val="0D0D0D" w:themeColor="text1" w:themeTint="F2"/>
          <w:shd w:val="clear" w:color="auto" w:fill="FFFFFF"/>
          <w:lang w:eastAsia="es-ES_tradnl"/>
        </w:rPr>
        <w:t>natu</w:t>
      </w:r>
      <w:r w:rsidRPr="00687F08">
        <w:rPr>
          <w:rFonts w:ascii="Times New Roman" w:eastAsia="Times New Roman" w:hAnsi="Times New Roman" w:cs="Times New Roman"/>
          <w:i/>
          <w:iCs/>
          <w:color w:val="0D0D0D" w:themeColor="text1" w:themeTint="F2"/>
          <w:shd w:val="clear" w:color="auto" w:fill="FFFFFF"/>
          <w:lang w:eastAsia="es-ES_tradnl"/>
        </w:rPr>
        <w:t>̈</w:t>
      </w:r>
      <w:r w:rsidRPr="00687F08">
        <w:rPr>
          <w:rFonts w:ascii="Book Antiqua" w:eastAsia="Times New Roman" w:hAnsi="Book Antiqua" w:cs="Times New Roman"/>
          <w:i/>
          <w:iCs/>
          <w:color w:val="0D0D0D" w:themeColor="text1" w:themeTint="F2"/>
          <w:shd w:val="clear" w:color="auto" w:fill="FFFFFF"/>
          <w:lang w:eastAsia="es-ES_tradnl"/>
        </w:rPr>
        <w:t>rlicher</w:t>
      </w:r>
      <w:proofErr w:type="spellEnd"/>
      <w:r w:rsidRPr="00687F08">
        <w:rPr>
          <w:rFonts w:ascii="Book Antiqua" w:eastAsia="Times New Roman" w:hAnsi="Book Antiqua" w:cs="Times New Roman"/>
          <w:color w:val="0D0D0D" w:themeColor="text1" w:themeTint="F2"/>
          <w:shd w:val="clear" w:color="auto" w:fill="FFFFFF"/>
          <w:lang w:eastAsia="es-ES_tradnl"/>
        </w:rPr>
        <w:t xml:space="preserve"> Personen (Ley Federal del Impuesto sobre la Renta de las Personas </w:t>
      </w:r>
      <w:proofErr w:type="spellStart"/>
      <w:r w:rsidRPr="00687F08">
        <w:rPr>
          <w:rFonts w:ascii="Book Antiqua" w:eastAsia="Times New Roman" w:hAnsi="Book Antiqua" w:cs="Times New Roman"/>
          <w:color w:val="0D0D0D" w:themeColor="text1" w:themeTint="F2"/>
          <w:shd w:val="clear" w:color="auto" w:fill="FFFFFF"/>
          <w:lang w:eastAsia="es-ES_tradnl"/>
        </w:rPr>
        <w:t>Físicas</w:t>
      </w:r>
      <w:proofErr w:type="spellEnd"/>
      <w:r w:rsidRPr="00687F08">
        <w:rPr>
          <w:rFonts w:ascii="Book Antiqua" w:eastAsia="Times New Roman" w:hAnsi="Book Antiqua" w:cs="Times New Roman"/>
          <w:color w:val="0D0D0D" w:themeColor="text1" w:themeTint="F2"/>
          <w:shd w:val="clear" w:color="auto" w:fill="FFFFFF"/>
          <w:lang w:eastAsia="es-ES_tradnl"/>
        </w:rPr>
        <w:t>), de 7 de julio de 1988</w:t>
      </w:r>
      <w:r w:rsidRPr="00687F08">
        <w:rPr>
          <w:rFonts w:ascii="Book Antiqua" w:eastAsia="Times New Roman" w:hAnsi="Book Antiqua" w:cs="Times New Roman"/>
          <w:color w:val="0D0D0D" w:themeColor="text1" w:themeTint="F2"/>
          <w:shd w:val="clear" w:color="auto" w:fill="FFFFFF"/>
          <w:lang w:eastAsia="es-ES_tradnl"/>
        </w:rPr>
        <w:t>.</w:t>
      </w:r>
    </w:p>
    <w:p w14:paraId="0781AA8D" w14:textId="14788C96"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6FB61428" w14:textId="78792990" w:rsidR="00810BA1" w:rsidRPr="00687F08" w:rsidRDefault="00810BA1" w:rsidP="00FF4591">
      <w:pPr>
        <w:jc w:val="both"/>
        <w:rPr>
          <w:rFonts w:ascii="Book Antiqua" w:eastAsia="Times New Roman" w:hAnsi="Book Antiqua" w:cs="Times New Roman"/>
          <w:b/>
          <w:bCs/>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Reglamento de </w:t>
      </w:r>
      <w:proofErr w:type="spellStart"/>
      <w:r w:rsidRPr="00687F08">
        <w:rPr>
          <w:rFonts w:ascii="Book Antiqua" w:eastAsia="Times New Roman" w:hAnsi="Book Antiqua" w:cs="Times New Roman"/>
          <w:color w:val="0D0D0D" w:themeColor="text1" w:themeTint="F2"/>
          <w:shd w:val="clear" w:color="auto" w:fill="FFFFFF"/>
          <w:lang w:eastAsia="es-ES_tradnl"/>
        </w:rPr>
        <w:t>desaroollo</w:t>
      </w:r>
      <w:proofErr w:type="spellEnd"/>
      <w:r w:rsidRPr="00687F08">
        <w:rPr>
          <w:rFonts w:ascii="Book Antiqua" w:eastAsia="Times New Roman" w:hAnsi="Book Antiqua" w:cs="Times New Roman"/>
          <w:color w:val="0D0D0D" w:themeColor="text1" w:themeTint="F2"/>
          <w:shd w:val="clear" w:color="auto" w:fill="FFFFFF"/>
          <w:lang w:eastAsia="es-ES_tradnl"/>
        </w:rPr>
        <w:t xml:space="preserve">: </w:t>
      </w:r>
      <w:r w:rsidRPr="00687F08">
        <w:rPr>
          <w:rFonts w:ascii="Book Antiqua" w:eastAsia="Times New Roman" w:hAnsi="Book Antiqua" w:cs="Times New Roman"/>
          <w:color w:val="0D0D0D" w:themeColor="text1" w:themeTint="F2"/>
          <w:shd w:val="clear" w:color="auto" w:fill="FFFFFF"/>
          <w:lang w:eastAsia="es-ES_tradnl"/>
        </w:rPr>
        <w:t>los coeficientes correctores aplicables para los diferentes Estados variaron entre 0,450, para Bulgaria, y 1,520, para Suiza (art. 2.2 del precitado reglamento).</w:t>
      </w:r>
      <w:r w:rsidR="00687F08" w:rsidRPr="00687F08">
        <w:rPr>
          <w:rFonts w:ascii="Book Antiqua" w:eastAsia="Times New Roman" w:hAnsi="Book Antiqua" w:cs="Times New Roman"/>
          <w:color w:val="0D0D0D" w:themeColor="text1" w:themeTint="F2"/>
          <w:shd w:val="clear" w:color="auto" w:fill="FFFFFF"/>
          <w:lang w:eastAsia="es-ES_tradnl"/>
        </w:rPr>
        <w:t xml:space="preserve"> </w:t>
      </w:r>
      <w:r w:rsidR="00687F08" w:rsidRPr="00687F08">
        <w:rPr>
          <w:rFonts w:ascii="Book Antiqua" w:eastAsia="Times New Roman" w:hAnsi="Book Antiqua" w:cs="Times New Roman"/>
          <w:b/>
          <w:bCs/>
          <w:color w:val="0D0D0D" w:themeColor="text1" w:themeTint="F2"/>
          <w:shd w:val="clear" w:color="auto" w:fill="FFFFFF"/>
          <w:lang w:eastAsia="es-ES_tradnl"/>
        </w:rPr>
        <w:t>IMPORTANTE PARA CONOCER EL FINDO DEL ASUNTO.</w:t>
      </w:r>
    </w:p>
    <w:p w14:paraId="11DDA731" w14:textId="7F63BF7D"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710093F0" w14:textId="566D2521" w:rsidR="00810BA1" w:rsidRPr="00687F08" w:rsidRDefault="00810BA1" w:rsidP="00FF4591">
      <w:pPr>
        <w:pStyle w:val="Ttulo1"/>
        <w:jc w:val="both"/>
        <w:rPr>
          <w:rFonts w:ascii="Book Antiqua" w:eastAsia="Times New Roman" w:hAnsi="Book Antiqua" w:cs="Times New Roman"/>
          <w:b/>
          <w:bCs/>
          <w:color w:val="0D0D0D" w:themeColor="text1" w:themeTint="F2"/>
          <w:sz w:val="24"/>
          <w:szCs w:val="24"/>
          <w:u w:val="single"/>
          <w:shd w:val="clear" w:color="auto" w:fill="FFFFFF"/>
          <w:lang w:eastAsia="es-ES_tradnl"/>
        </w:rPr>
      </w:pPr>
      <w:r w:rsidRPr="00687F08">
        <w:rPr>
          <w:rFonts w:ascii="Book Antiqua" w:eastAsia="Times New Roman" w:hAnsi="Book Antiqua" w:cs="Times New Roman"/>
          <w:b/>
          <w:bCs/>
          <w:color w:val="0D0D0D" w:themeColor="text1" w:themeTint="F2"/>
          <w:sz w:val="24"/>
          <w:szCs w:val="24"/>
          <w:u w:val="single"/>
          <w:shd w:val="clear" w:color="auto" w:fill="FFFFFF"/>
          <w:lang w:eastAsia="es-ES_tradnl"/>
        </w:rPr>
        <w:t>NORMATIVA EUROPEA CUESTIONADA:</w:t>
      </w:r>
    </w:p>
    <w:p w14:paraId="3903AB1F" w14:textId="5CC88ED0" w:rsidR="00810BA1" w:rsidRPr="00687F08" w:rsidRDefault="00810BA1" w:rsidP="00FF4591">
      <w:pPr>
        <w:jc w:val="both"/>
        <w:rPr>
          <w:rFonts w:ascii="Book Antiqua" w:hAnsi="Book Antiqua"/>
          <w:lang w:eastAsia="es-ES_tradnl"/>
        </w:rPr>
      </w:pPr>
    </w:p>
    <w:p w14:paraId="151BB781" w14:textId="483AB8BE"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i/>
          <w:iCs/>
          <w:color w:val="0D0D0D" w:themeColor="text1" w:themeTint="F2"/>
          <w:shd w:val="clear" w:color="auto" w:fill="FFFFFF"/>
          <w:lang w:eastAsia="es-ES_tradnl"/>
        </w:rPr>
        <w:t>Reglamento 883/2004 del Parlamento Europeo y del Consejo, de 29 de abril de 2004, sobre la coordinación de los sistemas de seguridad social</w:t>
      </w:r>
      <w:r w:rsidRPr="00687F08">
        <w:rPr>
          <w:rFonts w:ascii="Book Antiqua" w:eastAsia="Times New Roman" w:hAnsi="Book Antiqua" w:cs="Times New Roman"/>
          <w:color w:val="0D0D0D" w:themeColor="text1" w:themeTint="F2"/>
          <w:shd w:val="clear" w:color="auto" w:fill="FFFFFF"/>
          <w:lang w:eastAsia="es-ES_tradnl"/>
        </w:rPr>
        <w:t>.</w:t>
      </w:r>
    </w:p>
    <w:p w14:paraId="0FCE38A7" w14:textId="75601A28"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02D87948" w14:textId="356D7880" w:rsidR="00810BA1" w:rsidRPr="00687F08" w:rsidRDefault="00810BA1" w:rsidP="00FF4591">
      <w:pPr>
        <w:ind w:left="708"/>
        <w:jc w:val="both"/>
        <w:rPr>
          <w:rFonts w:ascii="Book Antiqua" w:eastAsia="Times New Roman" w:hAnsi="Book Antiqua" w:cs="Times New Roman"/>
          <w:color w:val="0D0D0D" w:themeColor="text1" w:themeTint="F2"/>
          <w:sz w:val="20"/>
          <w:szCs w:val="20"/>
          <w:shd w:val="clear" w:color="auto" w:fill="FFFFFF"/>
          <w:lang w:eastAsia="es-ES_tradnl"/>
        </w:rPr>
      </w:pPr>
      <w:r w:rsidRPr="00687F08">
        <w:rPr>
          <w:rFonts w:ascii="Book Antiqua" w:eastAsia="Times New Roman" w:hAnsi="Book Antiqua" w:cs="Times New Roman"/>
          <w:color w:val="0D0D0D" w:themeColor="text1" w:themeTint="F2"/>
          <w:sz w:val="20"/>
          <w:szCs w:val="20"/>
          <w:shd w:val="clear" w:color="auto" w:fill="FFFFFF"/>
          <w:lang w:eastAsia="es-ES_tradnl"/>
        </w:rPr>
        <w:t>4. Igualdad de trato</w:t>
      </w:r>
      <w:r w:rsidRPr="00687F08">
        <w:rPr>
          <w:rFonts w:ascii="Book Antiqua" w:eastAsia="Times New Roman" w:hAnsi="Book Antiqua" w:cs="Times New Roman"/>
          <w:color w:val="0D0D0D" w:themeColor="text1" w:themeTint="F2"/>
          <w:sz w:val="20"/>
          <w:szCs w:val="20"/>
          <w:shd w:val="clear" w:color="auto" w:fill="FFFFFF"/>
          <w:lang w:eastAsia="es-ES_tradnl"/>
        </w:rPr>
        <w:t>.</w:t>
      </w:r>
    </w:p>
    <w:p w14:paraId="43B488D0" w14:textId="7FF163E2" w:rsidR="00810BA1" w:rsidRPr="00687F08" w:rsidRDefault="00810BA1" w:rsidP="00FF4591">
      <w:pPr>
        <w:ind w:left="708"/>
        <w:jc w:val="both"/>
        <w:rPr>
          <w:rFonts w:ascii="Book Antiqua" w:eastAsia="Times New Roman" w:hAnsi="Book Antiqua" w:cs="Times New Roman"/>
          <w:color w:val="0D0D0D" w:themeColor="text1" w:themeTint="F2"/>
          <w:sz w:val="20"/>
          <w:szCs w:val="20"/>
          <w:shd w:val="clear" w:color="auto" w:fill="FFFFFF"/>
          <w:lang w:eastAsia="es-ES_tradnl"/>
        </w:rPr>
      </w:pPr>
    </w:p>
    <w:p w14:paraId="6A91CA83" w14:textId="644EA2F7" w:rsidR="00810BA1" w:rsidRPr="00687F08" w:rsidRDefault="00810BA1" w:rsidP="00FF4591">
      <w:pPr>
        <w:ind w:left="708"/>
        <w:jc w:val="both"/>
        <w:rPr>
          <w:rFonts w:ascii="Book Antiqua" w:eastAsia="Times New Roman" w:hAnsi="Book Antiqua" w:cs="Times New Roman"/>
          <w:color w:val="0D0D0D" w:themeColor="text1" w:themeTint="F2"/>
          <w:sz w:val="20"/>
          <w:szCs w:val="20"/>
          <w:shd w:val="clear" w:color="auto" w:fill="FFFFFF"/>
          <w:lang w:eastAsia="es-ES_tradnl"/>
        </w:rPr>
      </w:pPr>
      <w:r w:rsidRPr="00687F08">
        <w:rPr>
          <w:rFonts w:ascii="Book Antiqua" w:eastAsia="Times New Roman" w:hAnsi="Book Antiqua" w:cs="Times New Roman"/>
          <w:color w:val="0D0D0D" w:themeColor="text1" w:themeTint="F2"/>
          <w:sz w:val="20"/>
          <w:szCs w:val="20"/>
          <w:shd w:val="clear" w:color="auto" w:fill="FFFFFF"/>
          <w:lang w:eastAsia="es-ES_tradnl"/>
        </w:rPr>
        <w:t>7. Supresión de las cláusulas de residencia</w:t>
      </w:r>
      <w:r w:rsidRPr="00687F08">
        <w:rPr>
          <w:rFonts w:ascii="Book Antiqua" w:eastAsia="Times New Roman" w:hAnsi="Book Antiqua" w:cs="Times New Roman"/>
          <w:color w:val="0D0D0D" w:themeColor="text1" w:themeTint="F2"/>
          <w:sz w:val="20"/>
          <w:szCs w:val="20"/>
          <w:shd w:val="clear" w:color="auto" w:fill="FFFFFF"/>
          <w:lang w:eastAsia="es-ES_tradnl"/>
        </w:rPr>
        <w:t>.</w:t>
      </w:r>
    </w:p>
    <w:p w14:paraId="37CEC030" w14:textId="11AFBED7" w:rsidR="00810BA1" w:rsidRPr="00687F08" w:rsidRDefault="00810BA1" w:rsidP="00FF4591">
      <w:pPr>
        <w:ind w:left="708"/>
        <w:jc w:val="both"/>
        <w:rPr>
          <w:rFonts w:ascii="Book Antiqua" w:eastAsia="Times New Roman" w:hAnsi="Book Antiqua" w:cs="Times New Roman"/>
          <w:color w:val="0D0D0D" w:themeColor="text1" w:themeTint="F2"/>
          <w:sz w:val="20"/>
          <w:szCs w:val="20"/>
          <w:shd w:val="clear" w:color="auto" w:fill="FFFFFF"/>
          <w:lang w:eastAsia="es-ES_tradnl"/>
        </w:rPr>
      </w:pPr>
    </w:p>
    <w:p w14:paraId="1E3909EF" w14:textId="797027A5" w:rsidR="00810BA1" w:rsidRPr="00687F08" w:rsidRDefault="00810BA1" w:rsidP="00FF4591">
      <w:pPr>
        <w:ind w:left="708"/>
        <w:jc w:val="both"/>
        <w:rPr>
          <w:rFonts w:ascii="Book Antiqua" w:hAnsi="Book Antiqua"/>
          <w:lang w:eastAsia="es-ES_tradnl"/>
        </w:rPr>
      </w:pPr>
      <w:r w:rsidRPr="00687F08">
        <w:rPr>
          <w:rFonts w:ascii="Book Antiqua" w:eastAsia="Times New Roman" w:hAnsi="Book Antiqua" w:cs="Times New Roman"/>
          <w:color w:val="0D0D0D" w:themeColor="text1" w:themeTint="F2"/>
          <w:sz w:val="20"/>
          <w:szCs w:val="20"/>
          <w:shd w:val="clear" w:color="auto" w:fill="FFFFFF"/>
          <w:lang w:eastAsia="es-ES_tradnl"/>
        </w:rPr>
        <w:t xml:space="preserve">67. </w:t>
      </w:r>
      <w:r w:rsidRPr="00687F08">
        <w:rPr>
          <w:rFonts w:ascii="Book Antiqua" w:eastAsia="Times New Roman" w:hAnsi="Book Antiqua" w:cs="Times New Roman"/>
          <w:color w:val="0D0D0D" w:themeColor="text1" w:themeTint="F2"/>
          <w:sz w:val="20"/>
          <w:szCs w:val="20"/>
          <w:shd w:val="clear" w:color="auto" w:fill="FFFFFF"/>
          <w:lang w:eastAsia="es-ES_tradnl"/>
        </w:rPr>
        <w:t xml:space="preserve">Cualquier persona tendrá derecho a </w:t>
      </w:r>
      <w:r w:rsidRPr="00687F08">
        <w:rPr>
          <w:rFonts w:ascii="Book Antiqua" w:eastAsia="Times New Roman" w:hAnsi="Book Antiqua" w:cs="Times New Roman"/>
          <w:color w:val="0D0D0D" w:themeColor="text1" w:themeTint="F2"/>
          <w:sz w:val="20"/>
          <w:szCs w:val="20"/>
          <w:shd w:val="clear" w:color="auto" w:fill="FFFFFF"/>
          <w:lang w:eastAsia="es-ES_tradnl"/>
        </w:rPr>
        <w:t>p</w:t>
      </w:r>
      <w:r w:rsidRPr="00687F08">
        <w:rPr>
          <w:rFonts w:ascii="Book Antiqua" w:eastAsia="Times New Roman" w:hAnsi="Book Antiqua" w:cs="Times New Roman"/>
          <w:color w:val="0D0D0D" w:themeColor="text1" w:themeTint="F2"/>
          <w:sz w:val="20"/>
          <w:szCs w:val="20"/>
          <w:shd w:val="clear" w:color="auto" w:fill="FFFFFF"/>
          <w:lang w:eastAsia="es-ES_tradnl"/>
        </w:rPr>
        <w:t>restaciones familiares con arreglo a la legislación del Estado miembro competente, que serán extensivas a los miembros de su familia que residan en otro Estado miembro</w:t>
      </w:r>
      <w:r w:rsidR="00C56D60" w:rsidRPr="00687F08">
        <w:rPr>
          <w:rFonts w:ascii="Book Antiqua" w:eastAsia="Times New Roman" w:hAnsi="Book Antiqua" w:cs="Times New Roman"/>
          <w:color w:val="0D0D0D" w:themeColor="text1" w:themeTint="F2"/>
          <w:sz w:val="20"/>
          <w:szCs w:val="20"/>
          <w:shd w:val="clear" w:color="auto" w:fill="FFFFFF"/>
          <w:lang w:eastAsia="es-ES_tradnl"/>
        </w:rPr>
        <w:t xml:space="preserve">, COMO SI </w:t>
      </w:r>
      <w:r w:rsidRPr="00687F08">
        <w:rPr>
          <w:rFonts w:ascii="Book Antiqua" w:eastAsia="Times New Roman" w:hAnsi="Book Antiqua" w:cs="Times New Roman"/>
          <w:color w:val="0D0D0D" w:themeColor="text1" w:themeTint="F2"/>
          <w:sz w:val="20"/>
          <w:szCs w:val="20"/>
          <w:shd w:val="clear" w:color="auto" w:fill="FFFFFF"/>
          <w:lang w:eastAsia="es-ES_tradnl"/>
        </w:rPr>
        <w:t>residieran en el Estado miembro competente</w:t>
      </w:r>
      <w:r w:rsidRPr="00687F08">
        <w:rPr>
          <w:rFonts w:ascii="Book Antiqua" w:eastAsia="Times New Roman" w:hAnsi="Book Antiqua" w:cs="Times New Roman"/>
          <w:color w:val="0D0D0D" w:themeColor="text1" w:themeTint="F2"/>
          <w:sz w:val="20"/>
          <w:szCs w:val="20"/>
          <w:shd w:val="clear" w:color="auto" w:fill="FFFFFF"/>
          <w:lang w:eastAsia="es-ES_tradnl"/>
        </w:rPr>
        <w:t>.</w:t>
      </w:r>
    </w:p>
    <w:p w14:paraId="30B6238F" w14:textId="1125AFB3"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6DD2226B" w14:textId="4BB176D2"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No se cuestiona el </w:t>
      </w:r>
      <w:r w:rsidRPr="00687F08">
        <w:rPr>
          <w:rFonts w:ascii="Book Antiqua" w:eastAsia="Times New Roman" w:hAnsi="Book Antiqua" w:cs="Times New Roman"/>
          <w:color w:val="0D0D0D" w:themeColor="text1" w:themeTint="F2"/>
          <w:shd w:val="clear" w:color="auto" w:fill="FFFFFF"/>
          <w:lang w:eastAsia="es-ES_tradnl"/>
        </w:rPr>
        <w:t>art. 5.b</w:t>
      </w:r>
      <w:r w:rsidRPr="00687F08">
        <w:rPr>
          <w:rFonts w:ascii="Book Antiqua" w:eastAsia="Times New Roman" w:hAnsi="Book Antiqua" w:cs="Times New Roman"/>
          <w:color w:val="0D0D0D" w:themeColor="text1" w:themeTint="F2"/>
          <w:shd w:val="clear" w:color="auto" w:fill="FFFFFF"/>
          <w:lang w:eastAsia="es-ES_tradnl"/>
        </w:rPr>
        <w:t xml:space="preserve">. </w:t>
      </w:r>
    </w:p>
    <w:p w14:paraId="722827F6" w14:textId="0991F8C3"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40011600" w14:textId="1A67F1C0"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i/>
          <w:iCs/>
          <w:color w:val="0D0D0D" w:themeColor="text1" w:themeTint="F2"/>
          <w:shd w:val="clear" w:color="auto" w:fill="FFFFFF"/>
          <w:lang w:eastAsia="es-ES_tradnl"/>
        </w:rPr>
        <w:t xml:space="preserve">Reglamento núm. 492/2011 del Parlamento Europeo y del Consejo, de 5 de abril de 201 relativo a la libre </w:t>
      </w:r>
      <w:proofErr w:type="spellStart"/>
      <w:r w:rsidRPr="00687F08">
        <w:rPr>
          <w:rFonts w:ascii="Book Antiqua" w:eastAsia="Times New Roman" w:hAnsi="Book Antiqua" w:cs="Times New Roman"/>
          <w:i/>
          <w:iCs/>
          <w:color w:val="0D0D0D" w:themeColor="text1" w:themeTint="F2"/>
          <w:shd w:val="clear" w:color="auto" w:fill="FFFFFF"/>
          <w:lang w:eastAsia="es-ES_tradnl"/>
        </w:rPr>
        <w:t>circulación</w:t>
      </w:r>
      <w:proofErr w:type="spellEnd"/>
      <w:r w:rsidRPr="00687F08">
        <w:rPr>
          <w:rFonts w:ascii="Book Antiqua" w:eastAsia="Times New Roman" w:hAnsi="Book Antiqua" w:cs="Times New Roman"/>
          <w:i/>
          <w:iCs/>
          <w:color w:val="0D0D0D" w:themeColor="text1" w:themeTint="F2"/>
          <w:shd w:val="clear" w:color="auto" w:fill="FFFFFF"/>
          <w:lang w:eastAsia="es-ES_tradnl"/>
        </w:rPr>
        <w:t xml:space="preserve"> de los trabajadores dentro de la </w:t>
      </w:r>
      <w:proofErr w:type="spellStart"/>
      <w:r w:rsidRPr="00687F08">
        <w:rPr>
          <w:rFonts w:ascii="Book Antiqua" w:eastAsia="Times New Roman" w:hAnsi="Book Antiqua" w:cs="Times New Roman"/>
          <w:i/>
          <w:iCs/>
          <w:color w:val="0D0D0D" w:themeColor="text1" w:themeTint="F2"/>
          <w:shd w:val="clear" w:color="auto" w:fill="FFFFFF"/>
          <w:lang w:eastAsia="es-ES_tradnl"/>
        </w:rPr>
        <w:t>Unión</w:t>
      </w:r>
      <w:proofErr w:type="spellEnd"/>
      <w:r w:rsidRPr="00687F08">
        <w:rPr>
          <w:rFonts w:ascii="Book Antiqua" w:eastAsia="Times New Roman" w:hAnsi="Book Antiqua" w:cs="Times New Roman"/>
          <w:color w:val="0D0D0D" w:themeColor="text1" w:themeTint="F2"/>
          <w:shd w:val="clear" w:color="auto" w:fill="FFFFFF"/>
          <w:lang w:eastAsia="es-ES_tradnl"/>
        </w:rPr>
        <w:t>.</w:t>
      </w:r>
    </w:p>
    <w:p w14:paraId="20B20D0C" w14:textId="69AB44F9"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6A81E676" w14:textId="163968E9"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-Art. 7.2</w:t>
      </w:r>
      <w:r w:rsidR="00C56D60" w:rsidRPr="00687F08">
        <w:rPr>
          <w:rFonts w:ascii="Book Antiqua" w:eastAsia="Times New Roman" w:hAnsi="Book Antiqua" w:cs="Times New Roman"/>
          <w:color w:val="0D0D0D" w:themeColor="text1" w:themeTint="F2"/>
          <w:shd w:val="clear" w:color="auto" w:fill="FFFFFF"/>
          <w:lang w:eastAsia="es-ES_tradnl"/>
        </w:rPr>
        <w:t>. E</w:t>
      </w:r>
      <w:r w:rsidR="00C56D60" w:rsidRPr="00687F08">
        <w:rPr>
          <w:rFonts w:ascii="Book Antiqua" w:eastAsia="Times New Roman" w:hAnsi="Book Antiqua" w:cs="Times New Roman"/>
          <w:color w:val="0D0D0D" w:themeColor="text1" w:themeTint="F2"/>
          <w:shd w:val="clear" w:color="auto" w:fill="FFFFFF"/>
          <w:lang w:eastAsia="es-ES_tradnl"/>
        </w:rPr>
        <w:t xml:space="preserve">l trabajador nacional de un Estado miembro “se beneficiará de las mismas </w:t>
      </w:r>
      <w:r w:rsidR="00C56D60" w:rsidRPr="00687F08">
        <w:rPr>
          <w:rFonts w:ascii="Book Antiqua" w:eastAsia="Times New Roman" w:hAnsi="Book Antiqua" w:cs="Times New Roman"/>
          <w:color w:val="0D0D0D" w:themeColor="text1" w:themeTint="F2"/>
          <w:shd w:val="clear" w:color="auto" w:fill="FFFFFF"/>
          <w:lang w:eastAsia="es-ES_tradnl"/>
        </w:rPr>
        <w:t xml:space="preserve">VENTAJAS SOCIALES </w:t>
      </w:r>
      <w:r w:rsidR="00C56D60" w:rsidRPr="00687F08">
        <w:rPr>
          <w:rFonts w:ascii="Book Antiqua" w:eastAsia="Times New Roman" w:hAnsi="Book Antiqua" w:cs="Times New Roman"/>
          <w:color w:val="0D0D0D" w:themeColor="text1" w:themeTint="F2"/>
          <w:shd w:val="clear" w:color="auto" w:fill="FFFFFF"/>
          <w:lang w:eastAsia="es-ES_tradnl"/>
        </w:rPr>
        <w:t>y fiscales que los trabajadores nacionales”.</w:t>
      </w:r>
    </w:p>
    <w:p w14:paraId="4D295BAB" w14:textId="46AE8909"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30CBF6E9" w14:textId="113B0AB3" w:rsidR="00810BA1" w:rsidRPr="00687F08" w:rsidRDefault="00837C11" w:rsidP="00FF4591">
      <w:pPr>
        <w:jc w:val="both"/>
        <w:rPr>
          <w:rFonts w:ascii="Book Antiqua" w:eastAsia="Times New Roman" w:hAnsi="Book Antiqua" w:cs="Times New Roman"/>
          <w:b/>
          <w:bCs/>
          <w:color w:val="0D0D0D" w:themeColor="text1" w:themeTint="F2"/>
          <w:u w:val="single"/>
          <w:shd w:val="clear" w:color="auto" w:fill="FFFFFF"/>
          <w:lang w:eastAsia="es-ES_tradnl"/>
        </w:rPr>
      </w:pPr>
      <w:r w:rsidRPr="00687F08">
        <w:rPr>
          <w:rFonts w:ascii="Book Antiqua" w:eastAsia="Times New Roman" w:hAnsi="Book Antiqua" w:cs="Times New Roman"/>
          <w:b/>
          <w:bCs/>
          <w:color w:val="0D0D0D" w:themeColor="text1" w:themeTint="F2"/>
          <w:u w:val="single"/>
          <w:shd w:val="clear" w:color="auto" w:fill="FFFFFF"/>
          <w:lang w:eastAsia="es-ES_tradnl"/>
        </w:rPr>
        <w:t xml:space="preserve">ITINERARIO PROCEDIMENTAL: </w:t>
      </w:r>
    </w:p>
    <w:p w14:paraId="0D1F3754" w14:textId="019A5AE0"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199CF02F" w14:textId="03CBFBB3"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Inicio de oficio por la comisión. Art. 258 TFUE. </w:t>
      </w:r>
      <w:r w:rsidR="00864059" w:rsidRPr="00687F08">
        <w:rPr>
          <w:rFonts w:ascii="Book Antiqua" w:eastAsia="Times New Roman" w:hAnsi="Book Antiqua" w:cs="Times New Roman"/>
          <w:color w:val="0D0D0D" w:themeColor="text1" w:themeTint="F2"/>
          <w:shd w:val="clear" w:color="auto" w:fill="FFFFFF"/>
          <w:lang w:eastAsia="es-ES_tradnl"/>
        </w:rPr>
        <w:t xml:space="preserve">Interpone cuestión prejudicial: </w:t>
      </w:r>
      <w:r w:rsidR="00864059" w:rsidRPr="00687F08">
        <w:rPr>
          <w:rFonts w:ascii="Book Antiqua" w:eastAsia="Times New Roman" w:hAnsi="Book Antiqua" w:cs="Times New Roman"/>
          <w:color w:val="0D0D0D" w:themeColor="text1" w:themeTint="F2"/>
          <w:shd w:val="clear" w:color="auto" w:fill="FFFFFF"/>
          <w:lang w:eastAsia="es-ES_tradnl"/>
        </w:rPr>
        <w:t>22 de julio de 2020</w:t>
      </w:r>
      <w:r w:rsidR="00864059" w:rsidRPr="00687F08">
        <w:rPr>
          <w:rFonts w:ascii="Book Antiqua" w:eastAsia="Times New Roman" w:hAnsi="Book Antiqua" w:cs="Times New Roman"/>
          <w:color w:val="0D0D0D" w:themeColor="text1" w:themeTint="F2"/>
          <w:shd w:val="clear" w:color="auto" w:fill="FFFFFF"/>
          <w:lang w:eastAsia="es-ES_tradnl"/>
        </w:rPr>
        <w:t xml:space="preserve">. </w:t>
      </w:r>
    </w:p>
    <w:p w14:paraId="4383C10B" w14:textId="3091939F" w:rsidR="00864059" w:rsidRPr="00687F08" w:rsidRDefault="00864059" w:rsidP="00FF4591">
      <w:pPr>
        <w:jc w:val="both"/>
        <w:rPr>
          <w:rFonts w:ascii="Book Antiqua" w:eastAsia="Times New Roman" w:hAnsi="Book Antiqua" w:cs="Times New Roman"/>
          <w:color w:val="0D0D0D" w:themeColor="text1" w:themeTint="F2"/>
          <w:shd w:val="clear" w:color="auto" w:fill="FFFFFF"/>
          <w:lang w:eastAsia="es-ES_tradnl"/>
        </w:rPr>
      </w:pPr>
    </w:p>
    <w:p w14:paraId="450F7A04" w14:textId="77777777" w:rsidR="00864059" w:rsidRPr="00687F08" w:rsidRDefault="00864059" w:rsidP="00FF459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Juno a Austria: </w:t>
      </w:r>
      <w:r w:rsidRPr="00687F08">
        <w:rPr>
          <w:rFonts w:ascii="Book Antiqua" w:eastAsia="Times New Roman" w:hAnsi="Book Antiqua" w:cs="Times New Roman"/>
          <w:color w:val="0D0D0D" w:themeColor="text1" w:themeTint="F2"/>
          <w:shd w:val="clear" w:color="auto" w:fill="FFFFFF"/>
          <w:lang w:eastAsia="es-ES_tradnl"/>
        </w:rPr>
        <w:t>Dinamarca y Noruega</w:t>
      </w:r>
      <w:r w:rsidRPr="00687F08">
        <w:rPr>
          <w:rFonts w:ascii="Book Antiqua" w:eastAsia="Times New Roman" w:hAnsi="Book Antiqua" w:cs="Times New Roman"/>
          <w:color w:val="0D0D0D" w:themeColor="text1" w:themeTint="F2"/>
          <w:shd w:val="clear" w:color="auto" w:fill="FFFFFF"/>
          <w:lang w:eastAsia="es-ES_tradnl"/>
        </w:rPr>
        <w:t>.</w:t>
      </w:r>
    </w:p>
    <w:p w14:paraId="1C288A32" w14:textId="77777777" w:rsidR="00864059" w:rsidRPr="00687F08" w:rsidRDefault="00864059" w:rsidP="00FF4591">
      <w:pPr>
        <w:jc w:val="both"/>
        <w:rPr>
          <w:rFonts w:ascii="Book Antiqua" w:eastAsia="Times New Roman" w:hAnsi="Book Antiqua" w:cs="Times New Roman"/>
          <w:color w:val="0D0D0D" w:themeColor="text1" w:themeTint="F2"/>
          <w:shd w:val="clear" w:color="auto" w:fill="FFFFFF"/>
          <w:lang w:eastAsia="es-ES_tradnl"/>
        </w:rPr>
      </w:pPr>
    </w:p>
    <w:p w14:paraId="47B76DEB" w14:textId="6A77E969" w:rsidR="00864059" w:rsidRDefault="00864059" w:rsidP="00FF4591">
      <w:pPr>
        <w:jc w:val="both"/>
        <w:rPr>
          <w:rFonts w:ascii="Book Antiqua" w:hAnsi="Book Antiqua" w:cs="Times New Roman"/>
          <w:color w:val="0D0D0D" w:themeColor="text1" w:themeTint="F2"/>
          <w:shd w:val="clear" w:color="auto" w:fill="FFFFFF"/>
        </w:rPr>
      </w:pPr>
      <w:r w:rsidRPr="00687F08">
        <w:rPr>
          <w:rFonts w:ascii="Book Antiqua" w:eastAsia="Times New Roman" w:hAnsi="Book Antiqua" w:cs="Times New Roman"/>
          <w:color w:val="0D0D0D" w:themeColor="text1" w:themeTint="F2"/>
          <w:shd w:val="clear" w:color="auto" w:fill="FFFFFF"/>
          <w:lang w:eastAsia="es-ES_tradnl"/>
        </w:rPr>
        <w:t xml:space="preserve">Junto a la Comisión: </w:t>
      </w:r>
      <w:r w:rsidRPr="00687F08">
        <w:rPr>
          <w:rFonts w:ascii="Book Antiqua" w:eastAsia="Times New Roman" w:hAnsi="Book Antiqua" w:cs="Times New Roman"/>
          <w:color w:val="0D0D0D" w:themeColor="text1" w:themeTint="F2"/>
          <w:shd w:val="clear" w:color="auto" w:fill="FFFFFF"/>
          <w:lang w:eastAsia="es-ES_tradnl"/>
        </w:rPr>
        <w:t xml:space="preserve">personaron </w:t>
      </w:r>
      <w:r w:rsidRPr="00687F08">
        <w:rPr>
          <w:rFonts w:ascii="Book Antiqua" w:hAnsi="Book Antiqua" w:cs="Times New Roman"/>
          <w:color w:val="0D0D0D" w:themeColor="text1" w:themeTint="F2"/>
          <w:shd w:val="clear" w:color="auto" w:fill="FFFFFF"/>
        </w:rPr>
        <w:t xml:space="preserve">República Checa, Croacia, Rumanía, Eslovaquia y Eslovenia. </w:t>
      </w:r>
    </w:p>
    <w:p w14:paraId="15424C12" w14:textId="2B6D09BC" w:rsidR="00837C11" w:rsidRDefault="00837C11" w:rsidP="00FF4591">
      <w:pPr>
        <w:jc w:val="both"/>
        <w:rPr>
          <w:rFonts w:ascii="Book Antiqua" w:hAnsi="Book Antiqua" w:cs="Times New Roman"/>
          <w:color w:val="0D0D0D" w:themeColor="text1" w:themeTint="F2"/>
          <w:shd w:val="clear" w:color="auto" w:fill="FFFFFF"/>
        </w:rPr>
      </w:pPr>
    </w:p>
    <w:p w14:paraId="5C38B0C0" w14:textId="77777777" w:rsidR="00837C11" w:rsidRPr="00687F08" w:rsidRDefault="00837C11" w:rsidP="00837C1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b/>
          <w:bCs/>
          <w:color w:val="0D0D0D" w:themeColor="text1" w:themeTint="F2"/>
          <w:shd w:val="clear" w:color="auto" w:fill="FFFFFF"/>
          <w:lang w:eastAsia="es-ES_tradnl"/>
        </w:rPr>
        <w:t>CONTEXTUALIZACIÓN POLÍTICO-ECONÓMICA DEL LITIGIO.</w:t>
      </w:r>
      <w:r w:rsidRPr="00687F08">
        <w:rPr>
          <w:rFonts w:ascii="Book Antiqua" w:eastAsia="Times New Roman" w:hAnsi="Book Antiqua" w:cs="Times New Roman"/>
          <w:color w:val="0D0D0D" w:themeColor="text1" w:themeTint="F2"/>
          <w:shd w:val="clear" w:color="auto" w:fill="FFFFFF"/>
          <w:lang w:eastAsia="es-ES_tradnl"/>
        </w:rPr>
        <w:t xml:space="preserve"> </w:t>
      </w:r>
    </w:p>
    <w:p w14:paraId="05E1AA91" w14:textId="77777777" w:rsidR="00837C11" w:rsidRPr="00687F08" w:rsidRDefault="00837C11" w:rsidP="00837C11">
      <w:pPr>
        <w:jc w:val="both"/>
        <w:rPr>
          <w:rFonts w:ascii="Book Antiqua" w:eastAsia="Times New Roman" w:hAnsi="Book Antiqua" w:cs="Times New Roman"/>
          <w:color w:val="0D0D0D" w:themeColor="text1" w:themeTint="F2"/>
          <w:shd w:val="clear" w:color="auto" w:fill="FFFFFF"/>
          <w:lang w:eastAsia="es-ES_tradnl"/>
        </w:rPr>
      </w:pPr>
    </w:p>
    <w:p w14:paraId="3D5936F8" w14:textId="77777777" w:rsidR="00837C11" w:rsidRPr="00687F08" w:rsidRDefault="00837C11" w:rsidP="00837C11">
      <w:pPr>
        <w:jc w:val="both"/>
        <w:rPr>
          <w:rFonts w:ascii="Book Antiqua" w:eastAsia="Times New Roman" w:hAnsi="Book Antiqua" w:cs="Times New Roman"/>
          <w:color w:val="0D0D0D" w:themeColor="text1" w:themeTint="F2"/>
          <w:shd w:val="clear" w:color="auto" w:fill="FFFFFF"/>
          <w:lang w:eastAsia="es-ES_tradnl"/>
        </w:rPr>
      </w:pPr>
      <w:r w:rsidRPr="00687F08">
        <w:rPr>
          <w:rFonts w:ascii="Book Antiqua" w:eastAsia="Times New Roman" w:hAnsi="Book Antiqua" w:cs="Times New Roman"/>
          <w:color w:val="0D0D0D" w:themeColor="text1" w:themeTint="F2"/>
          <w:shd w:val="clear" w:color="auto" w:fill="FFFFFF"/>
          <w:lang w:eastAsia="es-ES_tradnl"/>
        </w:rPr>
        <w:t xml:space="preserve">Auge de movimientos políticos contrarios a la inmigración –su rostro más reconocible quizás sea el del </w:t>
      </w:r>
      <w:proofErr w:type="spellStart"/>
      <w:r w:rsidRPr="00687F08">
        <w:rPr>
          <w:rFonts w:ascii="Book Antiqua" w:eastAsia="Times New Roman" w:hAnsi="Book Antiqua" w:cs="Times New Roman"/>
          <w:color w:val="0D0D0D" w:themeColor="text1" w:themeTint="F2"/>
          <w:shd w:val="clear" w:color="auto" w:fill="FFFFFF"/>
          <w:lang w:eastAsia="es-ES_tradnl"/>
        </w:rPr>
        <w:t>excanciller</w:t>
      </w:r>
      <w:proofErr w:type="spellEnd"/>
      <w:r w:rsidRPr="00687F08">
        <w:rPr>
          <w:rFonts w:ascii="Book Antiqua" w:eastAsia="Times New Roman" w:hAnsi="Book Antiqua" w:cs="Times New Roman"/>
          <w:color w:val="0D0D0D" w:themeColor="text1" w:themeTint="F2"/>
          <w:shd w:val="clear" w:color="auto" w:fill="FFFFFF"/>
          <w:lang w:eastAsia="es-ES_tradnl"/>
        </w:rPr>
        <w:t xml:space="preserve"> </w:t>
      </w:r>
      <w:proofErr w:type="spellStart"/>
      <w:r w:rsidRPr="00687F08">
        <w:rPr>
          <w:rFonts w:ascii="Book Antiqua" w:eastAsia="Times New Roman" w:hAnsi="Book Antiqua" w:cs="Times New Roman"/>
          <w:color w:val="0D0D0D" w:themeColor="text1" w:themeTint="F2"/>
          <w:shd w:val="clear" w:color="auto" w:fill="FFFFFF"/>
          <w:lang w:eastAsia="es-ES_tradnl"/>
        </w:rPr>
        <w:t>Sebastian</w:t>
      </w:r>
      <w:proofErr w:type="spellEnd"/>
      <w:r w:rsidRPr="00687F08">
        <w:rPr>
          <w:rFonts w:ascii="Book Antiqua" w:eastAsia="Times New Roman" w:hAnsi="Book Antiqua" w:cs="Times New Roman"/>
          <w:color w:val="0D0D0D" w:themeColor="text1" w:themeTint="F2"/>
          <w:shd w:val="clear" w:color="auto" w:fill="FFFFFF"/>
          <w:lang w:eastAsia="es-ES_tradnl"/>
        </w:rPr>
        <w:t xml:space="preserve"> </w:t>
      </w:r>
      <w:proofErr w:type="spellStart"/>
      <w:r w:rsidRPr="00687F08">
        <w:rPr>
          <w:rFonts w:ascii="Book Antiqua" w:eastAsia="Times New Roman" w:hAnsi="Book Antiqua" w:cs="Times New Roman"/>
          <w:color w:val="0D0D0D" w:themeColor="text1" w:themeTint="F2"/>
          <w:shd w:val="clear" w:color="auto" w:fill="FFFFFF"/>
          <w:lang w:eastAsia="es-ES_tradnl"/>
        </w:rPr>
        <w:t>Kurz</w:t>
      </w:r>
      <w:proofErr w:type="spellEnd"/>
      <w:r w:rsidRPr="00687F08">
        <w:rPr>
          <w:rFonts w:ascii="Book Antiqua" w:eastAsia="Times New Roman" w:hAnsi="Book Antiqua" w:cs="Times New Roman"/>
          <w:color w:val="0D0D0D" w:themeColor="text1" w:themeTint="F2"/>
          <w:shd w:val="clear" w:color="auto" w:fill="FFFFFF"/>
          <w:lang w:eastAsia="es-ES_tradnl"/>
        </w:rPr>
        <w:t>.</w:t>
      </w:r>
    </w:p>
    <w:p w14:paraId="229EAE13" w14:textId="77777777" w:rsidR="00837C11" w:rsidRPr="00687F08" w:rsidRDefault="00837C11" w:rsidP="00837C11">
      <w:pPr>
        <w:jc w:val="both"/>
        <w:rPr>
          <w:rFonts w:ascii="Book Antiqua" w:eastAsia="Times New Roman" w:hAnsi="Book Antiqua" w:cs="Times New Roman"/>
          <w:color w:val="0D0D0D" w:themeColor="text1" w:themeTint="F2"/>
          <w:shd w:val="clear" w:color="auto" w:fill="FFFFFF"/>
          <w:lang w:eastAsia="es-ES_tradnl"/>
        </w:rPr>
      </w:pPr>
    </w:p>
    <w:p w14:paraId="3C88CA8C" w14:textId="77777777" w:rsidR="00837C11" w:rsidRPr="00687F08" w:rsidRDefault="00837C11" w:rsidP="00837C11">
      <w:pPr>
        <w:jc w:val="both"/>
        <w:rPr>
          <w:rFonts w:ascii="Book Antiqua" w:hAnsi="Book Antiqua" w:cs="Times New Roman"/>
          <w:color w:val="0D0D0D" w:themeColor="text1" w:themeTint="F2"/>
        </w:rPr>
      </w:pPr>
      <w:r w:rsidRPr="00687F08">
        <w:rPr>
          <w:rFonts w:ascii="Book Antiqua" w:hAnsi="Book Antiqua" w:cs="Times New Roman"/>
          <w:color w:val="0D0D0D" w:themeColor="text1" w:themeTint="F2"/>
        </w:rPr>
        <w:t xml:space="preserve">Número de hijos residentes en otros Estados miembros que daban derecho a los subsidios familiares pasó de 1 500 en 2002 a cerca de 130 000 en 2016. </w:t>
      </w:r>
    </w:p>
    <w:p w14:paraId="66CF26D0" w14:textId="77777777" w:rsidR="00837C11" w:rsidRPr="00687F08" w:rsidRDefault="00837C11" w:rsidP="00837C11">
      <w:pPr>
        <w:jc w:val="both"/>
        <w:rPr>
          <w:rFonts w:ascii="Book Antiqua" w:hAnsi="Book Antiqua" w:cs="Times New Roman"/>
          <w:color w:val="0D0D0D" w:themeColor="text1" w:themeTint="F2"/>
        </w:rPr>
      </w:pPr>
    </w:p>
    <w:p w14:paraId="3410DE1E" w14:textId="77777777" w:rsidR="00837C11" w:rsidRPr="00687F08" w:rsidRDefault="00837C11" w:rsidP="00837C11">
      <w:pPr>
        <w:jc w:val="both"/>
        <w:rPr>
          <w:rFonts w:ascii="Book Antiqua" w:hAnsi="Book Antiqua" w:cs="Times New Roman"/>
          <w:color w:val="0D0D0D" w:themeColor="text1" w:themeTint="F2"/>
        </w:rPr>
      </w:pPr>
      <w:r w:rsidRPr="00687F08">
        <w:rPr>
          <w:rFonts w:ascii="Book Antiqua" w:hAnsi="Book Antiqua" w:cs="Times New Roman"/>
          <w:color w:val="0D0D0D" w:themeColor="text1" w:themeTint="F2"/>
        </w:rPr>
        <w:t xml:space="preserve">La norma que cuestionamos se vio como una clara medida antidiscriminatoria. </w:t>
      </w:r>
    </w:p>
    <w:p w14:paraId="0625F59A" w14:textId="77777777" w:rsidR="00837C11" w:rsidRPr="00687F08" w:rsidRDefault="00837C11" w:rsidP="00837C11">
      <w:pPr>
        <w:jc w:val="both"/>
        <w:rPr>
          <w:rFonts w:ascii="Book Antiqua" w:hAnsi="Book Antiqua" w:cs="Times New Roman"/>
          <w:color w:val="0D0D0D" w:themeColor="text1" w:themeTint="F2"/>
        </w:rPr>
      </w:pPr>
    </w:p>
    <w:p w14:paraId="794BBA1B" w14:textId="77777777" w:rsidR="00837C11" w:rsidRPr="00687F08" w:rsidRDefault="00837C11" w:rsidP="00837C11">
      <w:pPr>
        <w:jc w:val="both"/>
        <w:rPr>
          <w:rFonts w:ascii="Book Antiqua" w:eastAsia="Times New Roman" w:hAnsi="Book Antiqua" w:cs="Times New Roman"/>
          <w:color w:val="0D0D0D" w:themeColor="text1" w:themeTint="F2"/>
          <w:spacing w:val="-2"/>
          <w:shd w:val="clear" w:color="auto" w:fill="FFFFFF"/>
          <w:lang w:eastAsia="es-ES_tradnl"/>
        </w:rPr>
      </w:pPr>
      <w:r w:rsidRPr="00687F08">
        <w:rPr>
          <w:rFonts w:ascii="Book Antiqua" w:hAnsi="Book Antiqua" w:cs="Times New Roman"/>
          <w:color w:val="0D0D0D" w:themeColor="text1" w:themeTint="F2"/>
        </w:rPr>
        <w:t xml:space="preserve">Primer </w:t>
      </w:r>
      <w:r w:rsidRPr="00687F08">
        <w:rPr>
          <w:rFonts w:ascii="Book Antiqua" w:eastAsia="Times New Roman" w:hAnsi="Book Antiqua" w:cs="Times New Roman"/>
          <w:color w:val="0D0D0D" w:themeColor="text1" w:themeTint="F2"/>
          <w:spacing w:val="-2"/>
          <w:shd w:val="clear" w:color="auto" w:fill="FFFFFF"/>
          <w:lang w:eastAsia="es-ES_tradnl"/>
        </w:rPr>
        <w:t xml:space="preserve">ministro de Exteriores húngaro, Peter </w:t>
      </w:r>
      <w:proofErr w:type="spellStart"/>
      <w:r w:rsidRPr="00687F08">
        <w:rPr>
          <w:rFonts w:ascii="Book Antiqua" w:eastAsia="Times New Roman" w:hAnsi="Book Antiqua" w:cs="Times New Roman"/>
          <w:color w:val="0D0D0D" w:themeColor="text1" w:themeTint="F2"/>
          <w:spacing w:val="-2"/>
          <w:shd w:val="clear" w:color="auto" w:fill="FFFFFF"/>
          <w:lang w:eastAsia="es-ES_tradnl"/>
        </w:rPr>
        <w:t>Szijjártó</w:t>
      </w:r>
      <w:proofErr w:type="spellEnd"/>
      <w:r w:rsidRPr="00687F08">
        <w:rPr>
          <w:rFonts w:ascii="Book Antiqua" w:hAnsi="Book Antiqua" w:cs="Times New Roman"/>
          <w:color w:val="0D0D0D" w:themeColor="text1" w:themeTint="F2"/>
        </w:rPr>
        <w:t xml:space="preserve">: </w:t>
      </w:r>
      <w:r w:rsidRPr="00687F08">
        <w:rPr>
          <w:rFonts w:ascii="Book Antiqua" w:eastAsia="Times New Roman" w:hAnsi="Book Antiqua" w:cs="Times New Roman"/>
          <w:color w:val="0D0D0D" w:themeColor="text1" w:themeTint="F2"/>
          <w:spacing w:val="-2"/>
          <w:shd w:val="clear" w:color="auto" w:fill="FFFFFF"/>
          <w:lang w:eastAsia="es-ES_tradnl"/>
        </w:rPr>
        <w:t>“Austria es un socio importante. En muchos asuntos son importantes socios, pero en este caso tenemos una discusión severa”</w:t>
      </w:r>
      <w:r w:rsidRPr="00687F08">
        <w:rPr>
          <w:rStyle w:val="Refdenotaalpie"/>
          <w:rFonts w:ascii="Book Antiqua" w:eastAsia="Times New Roman" w:hAnsi="Book Antiqua" w:cs="Times New Roman"/>
          <w:color w:val="0D0D0D" w:themeColor="text1" w:themeTint="F2"/>
          <w:spacing w:val="-2"/>
          <w:shd w:val="clear" w:color="auto" w:fill="FFFFFF"/>
          <w:lang w:eastAsia="es-ES_tradnl"/>
        </w:rPr>
        <w:footnoteReference w:id="1"/>
      </w:r>
      <w:r w:rsidRPr="00687F08">
        <w:rPr>
          <w:rFonts w:ascii="Book Antiqua" w:eastAsia="Times New Roman" w:hAnsi="Book Antiqua" w:cs="Times New Roman"/>
          <w:color w:val="0D0D0D" w:themeColor="text1" w:themeTint="F2"/>
          <w:spacing w:val="-2"/>
          <w:shd w:val="clear" w:color="auto" w:fill="FFFFFF"/>
          <w:lang w:eastAsia="es-ES_tradnl"/>
        </w:rPr>
        <w:t xml:space="preserve">. </w:t>
      </w:r>
    </w:p>
    <w:p w14:paraId="692FA19B" w14:textId="77777777" w:rsidR="00837C11" w:rsidRPr="00687F08" w:rsidRDefault="00837C11" w:rsidP="00837C11">
      <w:pPr>
        <w:jc w:val="both"/>
        <w:rPr>
          <w:rFonts w:ascii="Book Antiqua" w:eastAsia="Times New Roman" w:hAnsi="Book Antiqua" w:cs="Times New Roman"/>
          <w:color w:val="0D0D0D" w:themeColor="text1" w:themeTint="F2"/>
          <w:spacing w:val="-2"/>
          <w:shd w:val="clear" w:color="auto" w:fill="FFFFFF"/>
          <w:lang w:eastAsia="es-ES_tradnl"/>
        </w:rPr>
      </w:pPr>
    </w:p>
    <w:p w14:paraId="6357A4A1" w14:textId="77777777" w:rsidR="00837C11" w:rsidRPr="00687F08" w:rsidRDefault="00837C11" w:rsidP="00837C11">
      <w:pPr>
        <w:jc w:val="both"/>
        <w:rPr>
          <w:rFonts w:ascii="Book Antiqua" w:eastAsia="Times New Roman" w:hAnsi="Book Antiqua" w:cs="Times New Roman"/>
          <w:color w:val="0D0D0D" w:themeColor="text1" w:themeTint="F2"/>
          <w:spacing w:val="-2"/>
          <w:shd w:val="clear" w:color="auto" w:fill="FFFFFF"/>
          <w:lang w:eastAsia="es-ES_tradnl"/>
        </w:rPr>
      </w:pPr>
      <w:r w:rsidRPr="00687F08">
        <w:rPr>
          <w:rFonts w:ascii="Book Antiqua" w:eastAsia="Times New Roman" w:hAnsi="Book Antiqua" w:cs="Times New Roman"/>
          <w:color w:val="0D0D0D" w:themeColor="text1" w:themeTint="F2"/>
          <w:spacing w:val="-2"/>
          <w:shd w:val="clear" w:color="auto" w:fill="FFFFFF"/>
          <w:lang w:eastAsia="es-ES_tradnl"/>
        </w:rPr>
        <w:t xml:space="preserve">Nivel de precios al consumo: </w:t>
      </w:r>
      <w:proofErr w:type="spellStart"/>
      <w:r w:rsidRPr="00687F08">
        <w:rPr>
          <w:rFonts w:ascii="Book Antiqua" w:eastAsia="Times New Roman" w:hAnsi="Book Antiqua" w:cs="Times New Roman"/>
          <w:color w:val="0D0D0D" w:themeColor="text1" w:themeTint="F2"/>
          <w:spacing w:val="-2"/>
          <w:shd w:val="clear" w:color="auto" w:fill="FFFFFF"/>
          <w:lang w:eastAsia="es-ES_tradnl"/>
        </w:rPr>
        <w:t>Eurostat</w:t>
      </w:r>
      <w:proofErr w:type="spellEnd"/>
      <w:r w:rsidRPr="00687F08">
        <w:rPr>
          <w:rFonts w:ascii="Book Antiqua" w:eastAsia="Times New Roman" w:hAnsi="Book Antiqua" w:cs="Times New Roman"/>
          <w:color w:val="0D0D0D" w:themeColor="text1" w:themeTint="F2"/>
          <w:spacing w:val="-2"/>
          <w:shd w:val="clear" w:color="auto" w:fill="FFFFFF"/>
          <w:lang w:eastAsia="es-ES_tradnl"/>
        </w:rPr>
        <w:t xml:space="preserve">. </w:t>
      </w:r>
    </w:p>
    <w:p w14:paraId="111B37CF" w14:textId="77777777" w:rsidR="00837C11" w:rsidRPr="00687F08" w:rsidRDefault="00837C11" w:rsidP="00FF4591">
      <w:pPr>
        <w:jc w:val="both"/>
        <w:rPr>
          <w:rFonts w:ascii="Book Antiqua" w:hAnsi="Book Antiqua" w:cs="Times New Roman"/>
          <w:color w:val="0D0D0D" w:themeColor="text1" w:themeTint="F2"/>
          <w:shd w:val="clear" w:color="auto" w:fill="FFFFFF"/>
        </w:rPr>
      </w:pPr>
    </w:p>
    <w:p w14:paraId="2B74CC74" w14:textId="77777777" w:rsidR="00864059" w:rsidRPr="00687F08" w:rsidRDefault="00864059" w:rsidP="00FF4591">
      <w:pPr>
        <w:jc w:val="both"/>
        <w:rPr>
          <w:rFonts w:ascii="Book Antiqua" w:hAnsi="Book Antiqua" w:cs="Times New Roman"/>
          <w:color w:val="0D0D0D" w:themeColor="text1" w:themeTint="F2"/>
          <w:shd w:val="clear" w:color="auto" w:fill="FFFFFF"/>
        </w:rPr>
      </w:pPr>
    </w:p>
    <w:p w14:paraId="4CEF9413" w14:textId="1E1073E6" w:rsidR="00864059" w:rsidRPr="00687F08" w:rsidRDefault="00864059" w:rsidP="00FF4591">
      <w:pPr>
        <w:jc w:val="both"/>
        <w:rPr>
          <w:rFonts w:ascii="Book Antiqua" w:eastAsia="Times New Roman" w:hAnsi="Book Antiqua" w:cs="Times New Roman"/>
          <w:color w:val="0D0D0D" w:themeColor="text1" w:themeTint="F2"/>
          <w:spacing w:val="-2"/>
          <w:shd w:val="clear" w:color="auto" w:fill="FFFFFF"/>
          <w:lang w:eastAsia="es-ES_tradnl"/>
        </w:rPr>
      </w:pPr>
    </w:p>
    <w:p w14:paraId="783AED9B" w14:textId="0EF93B1D" w:rsidR="00864059" w:rsidRPr="00687F08" w:rsidRDefault="00134E9A" w:rsidP="00FF4591">
      <w:pPr>
        <w:jc w:val="both"/>
        <w:rPr>
          <w:rFonts w:ascii="Book Antiqua" w:eastAsia="Times New Roman" w:hAnsi="Book Antiqua" w:cs="Times New Roman"/>
          <w:b/>
          <w:bCs/>
          <w:color w:val="0D0D0D" w:themeColor="text1" w:themeTint="F2"/>
          <w:spacing w:val="-2"/>
          <w:shd w:val="clear" w:color="auto" w:fill="FFFFFF"/>
          <w:lang w:eastAsia="es-ES_tradnl"/>
        </w:rPr>
      </w:pPr>
      <w:r w:rsidRPr="00687F08">
        <w:rPr>
          <w:rFonts w:ascii="Book Antiqua" w:eastAsia="Times New Roman" w:hAnsi="Book Antiqua" w:cs="Times New Roman"/>
          <w:b/>
          <w:bCs/>
          <w:color w:val="0D0D0D" w:themeColor="text1" w:themeTint="F2"/>
          <w:spacing w:val="-2"/>
          <w:shd w:val="clear" w:color="auto" w:fill="FFFFFF"/>
          <w:lang w:eastAsia="es-ES_tradnl"/>
        </w:rPr>
        <w:t xml:space="preserve">POSICIÓN DE LAS PATES: </w:t>
      </w:r>
    </w:p>
    <w:p w14:paraId="0A5D7FCF" w14:textId="3FFCEB7C" w:rsidR="00134E9A" w:rsidRPr="00687F08" w:rsidRDefault="00134E9A" w:rsidP="00FF4591">
      <w:pPr>
        <w:jc w:val="both"/>
        <w:rPr>
          <w:rFonts w:ascii="Book Antiqua" w:eastAsia="Times New Roman" w:hAnsi="Book Antiqua" w:cs="Times New Roman"/>
          <w:b/>
          <w:bCs/>
          <w:color w:val="0D0D0D" w:themeColor="text1" w:themeTint="F2"/>
          <w:spacing w:val="-2"/>
          <w:shd w:val="clear" w:color="auto" w:fill="FFFFFF"/>
          <w:lang w:eastAsia="es-ES_tradnl"/>
        </w:rPr>
      </w:pPr>
    </w:p>
    <w:p w14:paraId="230FCDF7" w14:textId="7952D4A8" w:rsidR="00134E9A" w:rsidRPr="00687F08" w:rsidRDefault="00134E9A" w:rsidP="00FF4591">
      <w:pPr>
        <w:pStyle w:val="Ttulo2"/>
        <w:jc w:val="both"/>
        <w:rPr>
          <w:rFonts w:ascii="Book Antiqua" w:hAnsi="Book Antiqua" w:cs="Times New Roman"/>
          <w:b/>
          <w:bCs/>
          <w:color w:val="0D0D0D" w:themeColor="text1" w:themeTint="F2"/>
          <w:sz w:val="24"/>
          <w:szCs w:val="24"/>
          <w:shd w:val="clear" w:color="auto" w:fill="FFFFFF"/>
        </w:rPr>
      </w:pPr>
      <w:r w:rsidRPr="00687F08">
        <w:rPr>
          <w:rFonts w:ascii="Book Antiqua" w:eastAsia="Times New Roman" w:hAnsi="Book Antiqua" w:cs="Times New Roman"/>
          <w:b/>
          <w:bCs/>
          <w:color w:val="0D0D0D" w:themeColor="text1" w:themeTint="F2"/>
          <w:sz w:val="24"/>
          <w:szCs w:val="24"/>
          <w:shd w:val="clear" w:color="auto" w:fill="FFFFFF"/>
          <w:lang w:eastAsia="es-ES_tradnl"/>
        </w:rPr>
        <w:t>-</w:t>
      </w:r>
      <w:r w:rsidRPr="00687F08">
        <w:rPr>
          <w:rFonts w:ascii="Book Antiqua" w:eastAsia="Times New Roman" w:hAnsi="Book Antiqua" w:cs="Times New Roman"/>
          <w:b/>
          <w:bCs/>
          <w:color w:val="0D0D0D" w:themeColor="text1" w:themeTint="F2"/>
          <w:sz w:val="24"/>
          <w:szCs w:val="24"/>
          <w:shd w:val="clear" w:color="auto" w:fill="FFFFFF"/>
          <w:lang w:eastAsia="es-ES_tradnl"/>
        </w:rPr>
        <w:t>Posición el Abogado General y de la Comisión Europea (</w:t>
      </w:r>
      <w:r w:rsidR="00837C11" w:rsidRPr="00687F08">
        <w:rPr>
          <w:rFonts w:ascii="Book Antiqua" w:eastAsia="Times New Roman" w:hAnsi="Book Antiqua" w:cs="Times New Roman"/>
          <w:b/>
          <w:bCs/>
          <w:color w:val="0D0D0D" w:themeColor="text1" w:themeTint="F2"/>
          <w:sz w:val="24"/>
          <w:szCs w:val="24"/>
          <w:shd w:val="clear" w:color="auto" w:fill="FFFFFF"/>
          <w:lang w:eastAsia="es-ES_tradnl"/>
        </w:rPr>
        <w:t xml:space="preserve">el Abogado General </w:t>
      </w:r>
      <w:r w:rsidRPr="00687F08">
        <w:rPr>
          <w:rFonts w:ascii="Book Antiqua" w:eastAsia="Times New Roman" w:hAnsi="Book Antiqua" w:cs="Times New Roman"/>
          <w:b/>
          <w:bCs/>
          <w:color w:val="0D0D0D" w:themeColor="text1" w:themeTint="F2"/>
          <w:sz w:val="24"/>
          <w:szCs w:val="24"/>
          <w:shd w:val="clear" w:color="auto" w:fill="FFFFFF"/>
          <w:lang w:eastAsia="es-ES_tradnl"/>
        </w:rPr>
        <w:t xml:space="preserve">respaldada por </w:t>
      </w:r>
      <w:r w:rsidRPr="00687F08">
        <w:rPr>
          <w:rFonts w:ascii="Book Antiqua" w:hAnsi="Book Antiqua" w:cs="Times New Roman"/>
          <w:b/>
          <w:bCs/>
          <w:color w:val="0D0D0D" w:themeColor="text1" w:themeTint="F2"/>
          <w:sz w:val="24"/>
          <w:szCs w:val="24"/>
          <w:shd w:val="clear" w:color="auto" w:fill="FFFFFF"/>
        </w:rPr>
        <w:t>República Checa, Croacia, Rumanía, Eslovaquia y Eslovenia)</w:t>
      </w:r>
    </w:p>
    <w:p w14:paraId="17A9BF47" w14:textId="661BCEF2" w:rsidR="00134E9A" w:rsidRPr="00687F08" w:rsidRDefault="00134E9A" w:rsidP="00FF4591">
      <w:pPr>
        <w:jc w:val="both"/>
        <w:rPr>
          <w:rFonts w:ascii="Book Antiqua" w:hAnsi="Book Antiqua"/>
        </w:rPr>
      </w:pPr>
    </w:p>
    <w:p w14:paraId="53DF170B" w14:textId="06A4EC37" w:rsidR="00134E9A" w:rsidRPr="00687F08" w:rsidRDefault="00134E9A" w:rsidP="00FF4591">
      <w:pPr>
        <w:jc w:val="both"/>
        <w:rPr>
          <w:rFonts w:ascii="Book Antiqua" w:hAnsi="Book Antiqua"/>
        </w:rPr>
      </w:pPr>
      <w:r w:rsidRPr="00687F08">
        <w:rPr>
          <w:rFonts w:ascii="Book Antiqua" w:hAnsi="Book Antiqua"/>
        </w:rPr>
        <w:t>-</w:t>
      </w:r>
      <w:r w:rsidRPr="00687F08">
        <w:rPr>
          <w:rFonts w:ascii="Book Antiqua" w:hAnsi="Book Antiqua"/>
          <w:u w:val="single"/>
        </w:rPr>
        <w:t>Principal:</w:t>
      </w:r>
      <w:r w:rsidRPr="00687F08">
        <w:rPr>
          <w:rFonts w:ascii="Book Antiqua" w:hAnsi="Book Antiqua"/>
        </w:rPr>
        <w:t xml:space="preserve"> Prestaciones a tanto alzado que no atienden a las necesidades concretas. Tampoco se hace una indexación entre las regiones de Austria. A pesar de que entre ellas también existen diferencias de precios superiores a otros países. </w:t>
      </w:r>
    </w:p>
    <w:p w14:paraId="0006A837" w14:textId="1A6FFC3B" w:rsidR="00134E9A" w:rsidRPr="00687F08" w:rsidRDefault="00134E9A" w:rsidP="00FF4591">
      <w:pPr>
        <w:jc w:val="both"/>
        <w:rPr>
          <w:rFonts w:ascii="Book Antiqua" w:hAnsi="Book Antiqua"/>
        </w:rPr>
      </w:pPr>
    </w:p>
    <w:p w14:paraId="552C2A64" w14:textId="2B464B54" w:rsidR="00134E9A" w:rsidRPr="00687F08" w:rsidRDefault="00134E9A" w:rsidP="00FF4591">
      <w:pPr>
        <w:jc w:val="both"/>
        <w:rPr>
          <w:rFonts w:ascii="Book Antiqua" w:hAnsi="Book Antiqua"/>
        </w:rPr>
      </w:pPr>
      <w:r w:rsidRPr="00687F08">
        <w:rPr>
          <w:rFonts w:ascii="Book Antiqua" w:hAnsi="Book Antiqua"/>
        </w:rPr>
        <w:t>-</w:t>
      </w:r>
      <w:r w:rsidR="00C03BD5" w:rsidRPr="00687F08">
        <w:rPr>
          <w:rFonts w:ascii="Book Antiqua" w:hAnsi="Book Antiqua"/>
        </w:rPr>
        <w:t xml:space="preserve">No supone un peligro grave para la sostenibilidad económica del sistema de Seguridad Social. </w:t>
      </w:r>
    </w:p>
    <w:p w14:paraId="42C4A7DD" w14:textId="0D6894AB" w:rsidR="00C03BD5" w:rsidRPr="00687F08" w:rsidRDefault="00C03BD5" w:rsidP="00FF4591">
      <w:pPr>
        <w:jc w:val="both"/>
        <w:rPr>
          <w:rFonts w:ascii="Book Antiqua" w:hAnsi="Book Antiqua"/>
        </w:rPr>
      </w:pPr>
    </w:p>
    <w:p w14:paraId="096329ED" w14:textId="77777777" w:rsidR="00484620" w:rsidRPr="00687F08" w:rsidRDefault="00C03BD5" w:rsidP="00FF4591">
      <w:pPr>
        <w:jc w:val="both"/>
        <w:rPr>
          <w:rFonts w:ascii="Book Antiqua" w:hAnsi="Book Antiqua" w:cs="Times New Roman"/>
          <w:color w:val="0D0D0D" w:themeColor="text1" w:themeTint="F2"/>
          <w:lang w:eastAsia="es-ES_tradnl"/>
        </w:rPr>
      </w:pPr>
      <w:r w:rsidRPr="00687F08">
        <w:rPr>
          <w:rFonts w:ascii="Book Antiqua" w:hAnsi="Book Antiqua"/>
        </w:rPr>
        <w:t>-</w:t>
      </w:r>
      <w:r w:rsidRPr="00687F08">
        <w:rPr>
          <w:rFonts w:ascii="Book Antiqua" w:hAnsi="Book Antiqua" w:cs="Times New Roman"/>
          <w:i/>
          <w:iCs/>
          <w:color w:val="0D0D0D" w:themeColor="text1" w:themeTint="F2"/>
          <w:lang w:eastAsia="es-ES_tradnl"/>
        </w:rPr>
        <w:t xml:space="preserve"> </w:t>
      </w:r>
      <w:r w:rsidRPr="00687F08">
        <w:rPr>
          <w:rFonts w:ascii="Book Antiqua" w:hAnsi="Book Antiqua" w:cs="Times New Roman"/>
          <w:i/>
          <w:iCs/>
          <w:color w:val="0D0D0D" w:themeColor="text1" w:themeTint="F2"/>
          <w:lang w:eastAsia="es-ES_tradnl"/>
        </w:rPr>
        <w:t>Decisión del Consejo Europeo relativa a un nuevo régimen para el Reino Unido en la Unión Europea</w:t>
      </w:r>
      <w:r w:rsidRPr="00687F08">
        <w:rPr>
          <w:rFonts w:ascii="Book Antiqua" w:hAnsi="Book Antiqua" w:cs="Times New Roman"/>
          <w:color w:val="0D0D0D" w:themeColor="text1" w:themeTint="F2"/>
          <w:lang w:eastAsia="es-ES_tradnl"/>
        </w:rPr>
        <w:t>, de 2016</w:t>
      </w:r>
      <w:r w:rsidR="00484620" w:rsidRPr="00687F08">
        <w:rPr>
          <w:rFonts w:ascii="Book Antiqua" w:hAnsi="Book Antiqua" w:cs="Times New Roman"/>
          <w:color w:val="0D0D0D" w:themeColor="text1" w:themeTint="F2"/>
          <w:lang w:eastAsia="es-ES_tradnl"/>
        </w:rPr>
        <w:t xml:space="preserve">. No se puso en marcha, hubiese sido cuestionada art. 45 TFE. </w:t>
      </w:r>
    </w:p>
    <w:p w14:paraId="50A5F16A" w14:textId="77777777" w:rsidR="00484620" w:rsidRPr="00687F08" w:rsidRDefault="00484620" w:rsidP="00FF4591">
      <w:pPr>
        <w:jc w:val="both"/>
        <w:rPr>
          <w:rFonts w:ascii="Book Antiqua" w:hAnsi="Book Antiqua" w:cs="Times New Roman"/>
          <w:color w:val="0D0D0D" w:themeColor="text1" w:themeTint="F2"/>
          <w:lang w:eastAsia="es-ES_tradnl"/>
        </w:rPr>
      </w:pPr>
    </w:p>
    <w:p w14:paraId="001C0D43" w14:textId="494AC0E6" w:rsidR="00C03BD5" w:rsidRPr="00687F08" w:rsidRDefault="00484620" w:rsidP="00FF4591">
      <w:pPr>
        <w:jc w:val="both"/>
        <w:rPr>
          <w:rFonts w:ascii="Book Antiqua" w:hAnsi="Book Antiqua"/>
        </w:rPr>
      </w:pPr>
      <w:r w:rsidRPr="00687F08">
        <w:rPr>
          <w:rFonts w:ascii="Book Antiqua" w:hAnsi="Book Antiqua" w:cs="Times New Roman"/>
          <w:color w:val="0D0D0D" w:themeColor="text1" w:themeTint="F2"/>
          <w:lang w:eastAsia="es-ES_tradnl"/>
        </w:rPr>
        <w:t xml:space="preserve">-No aplicación a los funcionarios </w:t>
      </w:r>
      <w:proofErr w:type="spellStart"/>
      <w:r w:rsidRPr="00687F08">
        <w:rPr>
          <w:rFonts w:ascii="Book Antiqua" w:hAnsi="Book Antiqua" w:cs="Times New Roman"/>
          <w:color w:val="0D0D0D" w:themeColor="text1" w:themeTint="F2"/>
          <w:lang w:eastAsia="es-ES_tradnl"/>
        </w:rPr>
        <w:t>austriacoas</w:t>
      </w:r>
      <w:proofErr w:type="spellEnd"/>
      <w:r w:rsidRPr="00687F08">
        <w:rPr>
          <w:rFonts w:ascii="Book Antiqua" w:hAnsi="Book Antiqua" w:cs="Times New Roman"/>
          <w:color w:val="0D0D0D" w:themeColor="text1" w:themeTint="F2"/>
          <w:lang w:eastAsia="es-ES_tradnl"/>
        </w:rPr>
        <w:t xml:space="preserve">. Art. 26 </w:t>
      </w:r>
      <w:proofErr w:type="spellStart"/>
      <w:r w:rsidRPr="00687F08">
        <w:rPr>
          <w:rFonts w:ascii="Book Antiqua" w:hAnsi="Book Antiqua" w:cs="Times New Roman"/>
          <w:color w:val="0D0D0D" w:themeColor="text1" w:themeTint="F2"/>
          <w:lang w:eastAsia="es-ES_tradnl"/>
        </w:rPr>
        <w:t>Código</w:t>
      </w:r>
      <w:proofErr w:type="spellEnd"/>
      <w:r w:rsidRPr="00687F08">
        <w:rPr>
          <w:rFonts w:ascii="Book Antiqua" w:hAnsi="Book Antiqua" w:cs="Times New Roman"/>
          <w:color w:val="0D0D0D" w:themeColor="text1" w:themeTint="F2"/>
          <w:lang w:eastAsia="es-ES_tradnl"/>
        </w:rPr>
        <w:t xml:space="preserve"> Federal Tributario austriaco, que dispone que “La residencia habitual de los nacionales austriacos que tengan un contrato de trabajo con un organismo público y cuyo lugar de destino esté situado en el extranjero</w:t>
      </w:r>
      <w:r w:rsidRPr="00687F08">
        <w:rPr>
          <w:rFonts w:ascii="Book Antiqua" w:hAnsi="Book Antiqua" w:cs="Times New Roman"/>
          <w:color w:val="0D0D0D" w:themeColor="text1" w:themeTint="F2"/>
          <w:lang w:eastAsia="es-ES_tradnl"/>
        </w:rPr>
        <w:t xml:space="preserve">. </w:t>
      </w:r>
    </w:p>
    <w:p w14:paraId="1CC31B5E" w14:textId="53D7136A" w:rsidR="00134E9A" w:rsidRPr="00687F08" w:rsidRDefault="00134E9A" w:rsidP="00FF4591">
      <w:pPr>
        <w:jc w:val="both"/>
        <w:rPr>
          <w:rFonts w:ascii="Book Antiqua" w:hAnsi="Book Antiqua"/>
        </w:rPr>
      </w:pPr>
    </w:p>
    <w:p w14:paraId="7D10BDDE" w14:textId="39236CC6" w:rsidR="00484620" w:rsidRPr="00687F08" w:rsidRDefault="00484620" w:rsidP="00FF4591">
      <w:pPr>
        <w:jc w:val="both"/>
        <w:rPr>
          <w:rFonts w:ascii="Book Antiqua" w:hAnsi="Book Antiqua"/>
        </w:rPr>
      </w:pPr>
      <w:r w:rsidRPr="00687F08">
        <w:rPr>
          <w:rFonts w:ascii="Book Antiqua" w:hAnsi="Book Antiqua"/>
        </w:rPr>
        <w:t xml:space="preserve">-Otro argumento muy importante. Contribución fiscal de los contribuyentes idéntica. No se aplica indexación: derecho a las mismas prestaciones.  </w:t>
      </w:r>
    </w:p>
    <w:p w14:paraId="3A615439" w14:textId="42E8E9E5" w:rsidR="00484620" w:rsidRPr="00687F08" w:rsidRDefault="00484620" w:rsidP="00FF4591">
      <w:pPr>
        <w:jc w:val="both"/>
        <w:rPr>
          <w:rFonts w:ascii="Book Antiqua" w:hAnsi="Book Antiqua"/>
        </w:rPr>
      </w:pPr>
    </w:p>
    <w:p w14:paraId="7C61D233" w14:textId="77777777" w:rsidR="00484620" w:rsidRPr="00687F08" w:rsidRDefault="00484620" w:rsidP="00FF4591">
      <w:pPr>
        <w:jc w:val="both"/>
        <w:rPr>
          <w:rFonts w:ascii="Book Antiqua" w:hAnsi="Book Antiqua"/>
        </w:rPr>
      </w:pPr>
    </w:p>
    <w:p w14:paraId="3797CCF7" w14:textId="1F10BB67" w:rsidR="00134E9A" w:rsidRPr="00687F08" w:rsidRDefault="00134E9A" w:rsidP="00FF4591">
      <w:pPr>
        <w:jc w:val="both"/>
        <w:rPr>
          <w:rFonts w:ascii="Book Antiqua" w:eastAsia="Times New Roman" w:hAnsi="Book Antiqua" w:cs="Times New Roman"/>
          <w:b/>
          <w:bCs/>
          <w:color w:val="0D0D0D" w:themeColor="text1" w:themeTint="F2"/>
          <w:shd w:val="clear" w:color="auto" w:fill="FFFFFF"/>
          <w:lang w:eastAsia="es-ES_tradnl"/>
        </w:rPr>
      </w:pPr>
      <w:r w:rsidRPr="00687F08">
        <w:rPr>
          <w:rFonts w:ascii="Book Antiqua" w:hAnsi="Book Antiqua"/>
        </w:rPr>
        <w:t>-</w:t>
      </w:r>
      <w:r w:rsidRPr="00687F08">
        <w:rPr>
          <w:rFonts w:ascii="Book Antiqua" w:eastAsia="Times New Roman" w:hAnsi="Book Antiqua" w:cs="Times New Roman"/>
          <w:b/>
          <w:bCs/>
          <w:color w:val="0D0D0D" w:themeColor="text1" w:themeTint="F2"/>
          <w:shd w:val="clear" w:color="auto" w:fill="FFFFFF"/>
          <w:lang w:eastAsia="es-ES_tradnl"/>
        </w:rPr>
        <w:t xml:space="preserve"> </w:t>
      </w:r>
      <w:r w:rsidRPr="00687F08">
        <w:rPr>
          <w:rFonts w:ascii="Book Antiqua" w:eastAsia="Times New Roman" w:hAnsi="Book Antiqua" w:cs="Times New Roman"/>
          <w:b/>
          <w:bCs/>
          <w:color w:val="0D0D0D" w:themeColor="text1" w:themeTint="F2"/>
          <w:shd w:val="clear" w:color="auto" w:fill="FFFFFF"/>
          <w:lang w:eastAsia="es-ES_tradnl"/>
        </w:rPr>
        <w:t>Posición de Austria (respaldada por Dinamarca y Noruega)</w:t>
      </w:r>
      <w:r w:rsidRPr="00687F08">
        <w:rPr>
          <w:rFonts w:ascii="Book Antiqua" w:eastAsia="Times New Roman" w:hAnsi="Book Antiqua" w:cs="Times New Roman"/>
          <w:b/>
          <w:bCs/>
          <w:color w:val="0D0D0D" w:themeColor="text1" w:themeTint="F2"/>
          <w:shd w:val="clear" w:color="auto" w:fill="FFFFFF"/>
          <w:lang w:eastAsia="es-ES_tradnl"/>
        </w:rPr>
        <w:t>.</w:t>
      </w:r>
    </w:p>
    <w:p w14:paraId="5FF21F3B" w14:textId="66A4F8D7" w:rsidR="00484620" w:rsidRPr="00687F08" w:rsidRDefault="00484620" w:rsidP="00FF4591">
      <w:pPr>
        <w:jc w:val="both"/>
        <w:rPr>
          <w:rFonts w:ascii="Book Antiqua" w:eastAsia="Times New Roman" w:hAnsi="Book Antiqua" w:cs="Times New Roman"/>
          <w:b/>
          <w:bCs/>
          <w:color w:val="0D0D0D" w:themeColor="text1" w:themeTint="F2"/>
          <w:shd w:val="clear" w:color="auto" w:fill="FFFFFF"/>
          <w:lang w:eastAsia="es-ES_tradnl"/>
        </w:rPr>
      </w:pPr>
    </w:p>
    <w:p w14:paraId="0CC769CC" w14:textId="315C8ED1" w:rsidR="00FF4591" w:rsidRDefault="00FF4591" w:rsidP="00FF4591">
      <w:pPr>
        <w:jc w:val="both"/>
        <w:rPr>
          <w:rFonts w:ascii="Book Antiqua" w:hAnsi="Book Antiqua"/>
        </w:rPr>
      </w:pPr>
      <w:r w:rsidRPr="00687F08">
        <w:rPr>
          <w:rFonts w:ascii="Book Antiqua" w:hAnsi="Book Antiqua"/>
        </w:rPr>
        <w:t xml:space="preserve">-Presunción de las necesidades. Ajuste a tanto alzado, simplifica las labores de gestión. </w:t>
      </w:r>
    </w:p>
    <w:p w14:paraId="46DFB3C1" w14:textId="0EFFC610" w:rsidR="00F01076" w:rsidRDefault="00F01076" w:rsidP="00FF4591">
      <w:pPr>
        <w:jc w:val="both"/>
        <w:rPr>
          <w:rFonts w:ascii="Book Antiqua" w:hAnsi="Book Antiqua"/>
        </w:rPr>
      </w:pPr>
    </w:p>
    <w:p w14:paraId="055E0A37" w14:textId="3E625E99" w:rsidR="00F01076" w:rsidRPr="00687F08" w:rsidRDefault="00F01076" w:rsidP="00FF4591">
      <w:pPr>
        <w:jc w:val="both"/>
        <w:rPr>
          <w:rFonts w:ascii="Book Antiqua" w:hAnsi="Book Antiqua"/>
        </w:rPr>
      </w:pPr>
      <w:r>
        <w:rPr>
          <w:rFonts w:ascii="Book Antiqua" w:hAnsi="Book Antiqua"/>
        </w:rPr>
        <w:t xml:space="preserve">-Art. 67. </w:t>
      </w:r>
      <w:proofErr w:type="spellStart"/>
      <w:r>
        <w:rPr>
          <w:rFonts w:ascii="Book Antiqua" w:hAnsi="Book Antiqua"/>
        </w:rPr>
        <w:t>Trar</w:t>
      </w:r>
      <w:proofErr w:type="spellEnd"/>
      <w:r>
        <w:rPr>
          <w:rFonts w:ascii="Book Antiqua" w:hAnsi="Book Antiqua"/>
        </w:rPr>
        <w:t xml:space="preserve"> a </w:t>
      </w:r>
      <w:proofErr w:type="spellStart"/>
      <w:r>
        <w:rPr>
          <w:rFonts w:ascii="Book Antiqua" w:hAnsi="Book Antiqua"/>
        </w:rPr>
        <w:t>losresidentes</w:t>
      </w:r>
      <w:proofErr w:type="spellEnd"/>
      <w:r>
        <w:rPr>
          <w:rFonts w:ascii="Book Antiqua" w:hAnsi="Book Antiqua"/>
        </w:rPr>
        <w:t xml:space="preserve"> en otros países COMO SÍ. </w:t>
      </w:r>
    </w:p>
    <w:p w14:paraId="0CF9BD8D" w14:textId="63E98F14" w:rsidR="00FF4591" w:rsidRPr="00687F08" w:rsidRDefault="00FF4591" w:rsidP="00FF4591">
      <w:pPr>
        <w:jc w:val="both"/>
        <w:rPr>
          <w:rFonts w:ascii="Book Antiqua" w:hAnsi="Book Antiqua"/>
        </w:rPr>
      </w:pPr>
    </w:p>
    <w:p w14:paraId="1222EFB3" w14:textId="23501A99" w:rsidR="00FF4591" w:rsidRPr="00687F08" w:rsidRDefault="00FF4591" w:rsidP="00FF4591">
      <w:pPr>
        <w:jc w:val="both"/>
        <w:rPr>
          <w:rFonts w:ascii="Book Antiqua" w:hAnsi="Book Antiqua"/>
        </w:rPr>
      </w:pPr>
      <w:r w:rsidRPr="00687F08">
        <w:rPr>
          <w:rFonts w:ascii="Book Antiqua" w:hAnsi="Book Antiqua"/>
        </w:rPr>
        <w:t xml:space="preserve">-Diferencias de precios entre las regiones de Austria son mínima. No compensa la mayor carga de gestión que impone. </w:t>
      </w:r>
    </w:p>
    <w:p w14:paraId="53191441" w14:textId="042AF60E" w:rsidR="00FF4591" w:rsidRPr="00687F08" w:rsidRDefault="00FF4591" w:rsidP="00FF4591">
      <w:pPr>
        <w:jc w:val="both"/>
        <w:rPr>
          <w:rFonts w:ascii="Book Antiqua" w:hAnsi="Book Antiqua"/>
        </w:rPr>
      </w:pPr>
    </w:p>
    <w:p w14:paraId="5B8085BA" w14:textId="6C971CFD" w:rsidR="00FF4591" w:rsidRPr="00687F08" w:rsidRDefault="00FF4591" w:rsidP="00FF4591">
      <w:pPr>
        <w:jc w:val="both"/>
        <w:rPr>
          <w:rFonts w:ascii="Book Antiqua" w:hAnsi="Book Antiqua"/>
        </w:rPr>
      </w:pPr>
      <w:r w:rsidRPr="00687F08">
        <w:rPr>
          <w:rFonts w:ascii="Book Antiqua" w:hAnsi="Book Antiqua"/>
        </w:rPr>
        <w:t>-Indexación aplicada por las Instituciones Comunitarias. Salarios de sus funcionarios. Erasmus +.</w:t>
      </w:r>
    </w:p>
    <w:p w14:paraId="0F4D7D2A" w14:textId="2AC77F56" w:rsidR="00FF4591" w:rsidRPr="00687F08" w:rsidRDefault="00FF4591" w:rsidP="00FF4591">
      <w:pPr>
        <w:jc w:val="both"/>
        <w:rPr>
          <w:rFonts w:ascii="Book Antiqua" w:hAnsi="Book Antiqua"/>
        </w:rPr>
      </w:pPr>
    </w:p>
    <w:p w14:paraId="426CE03B" w14:textId="2E6F3F29" w:rsidR="00FF4591" w:rsidRPr="00687F08" w:rsidRDefault="00FF4591" w:rsidP="00FF4591">
      <w:pPr>
        <w:jc w:val="both"/>
        <w:rPr>
          <w:rFonts w:ascii="Book Antiqua" w:eastAsia="Times New Roman" w:hAnsi="Book Antiqua" w:cs="Times New Roman"/>
          <w:color w:val="000000" w:themeColor="text1"/>
          <w:lang w:eastAsia="es-ES_tradnl"/>
        </w:rPr>
      </w:pPr>
      <w:r w:rsidRPr="00687F08">
        <w:rPr>
          <w:rFonts w:ascii="Book Antiqua" w:hAnsi="Book Antiqua"/>
        </w:rPr>
        <w:t xml:space="preserve">-Sobre la excepción sobre los funcionarios austriacos obedece a razones de derecho internacional público: protección y lealtad. Además, tiene una incidencia menor (400 y no todos) lo que no sería relevante para estimar una incoherencia normativa. </w:t>
      </w:r>
      <w:r w:rsidRPr="00687F08">
        <w:rPr>
          <w:rFonts w:ascii="Book Antiqua" w:eastAsia="Times New Roman" w:hAnsi="Book Antiqua" w:cs="Times New Roman"/>
          <w:color w:val="000000" w:themeColor="text1"/>
          <w:lang w:eastAsia="es-ES_tradnl"/>
        </w:rPr>
        <w:t>S</w:t>
      </w:r>
      <w:r w:rsidRPr="00687F08">
        <w:rPr>
          <w:rFonts w:ascii="Book Antiqua" w:eastAsia="Times New Roman" w:hAnsi="Book Antiqua" w:cs="Times New Roman"/>
          <w:color w:val="000000" w:themeColor="text1"/>
          <w:lang w:eastAsia="es-ES_tradnl"/>
        </w:rPr>
        <w:t>entencia</w:t>
      </w:r>
      <w:r w:rsidRPr="00687F08">
        <w:rPr>
          <w:rFonts w:ascii="Book Antiqua" w:eastAsia="Times New Roman" w:hAnsi="Book Antiqua" w:cs="Times New Roman"/>
          <w:color w:val="000000" w:themeColor="text1"/>
          <w:lang w:eastAsia="es-ES_tradnl"/>
        </w:rPr>
        <w:t xml:space="preserve"> TJUE</w:t>
      </w:r>
      <w:r w:rsidRPr="00687F08">
        <w:rPr>
          <w:rFonts w:ascii="Book Antiqua" w:eastAsia="Times New Roman" w:hAnsi="Book Antiqua" w:cs="Times New Roman"/>
          <w:color w:val="000000" w:themeColor="text1"/>
          <w:lang w:eastAsia="es-ES_tradnl"/>
        </w:rPr>
        <w:t xml:space="preserve"> de 19 de mayo de 200</w:t>
      </w:r>
      <w:r w:rsidRPr="00687F08">
        <w:rPr>
          <w:rFonts w:ascii="Book Antiqua" w:eastAsia="Times New Roman" w:hAnsi="Book Antiqua" w:cs="Times New Roman"/>
          <w:color w:val="000000" w:themeColor="text1"/>
          <w:lang w:eastAsia="es-ES_tradnl"/>
        </w:rPr>
        <w:t>9</w:t>
      </w:r>
      <w:r w:rsidRPr="00687F08">
        <w:rPr>
          <w:rFonts w:ascii="Book Antiqua" w:eastAsia="Times New Roman" w:hAnsi="Book Antiqua" w:cs="Times New Roman"/>
          <w:color w:val="000000" w:themeColor="text1"/>
          <w:lang w:eastAsia="es-ES_tradnl"/>
        </w:rPr>
        <w:t xml:space="preserve">, </w:t>
      </w:r>
      <w:r w:rsidRPr="00687F08">
        <w:rPr>
          <w:rFonts w:ascii="Book Antiqua" w:eastAsia="Times New Roman" w:hAnsi="Book Antiqua" w:cs="Times New Roman"/>
          <w:color w:val="000000" w:themeColor="text1"/>
          <w:lang w:eastAsia="es-ES_tradnl"/>
        </w:rPr>
        <w:t>Comisión</w:t>
      </w:r>
      <w:r w:rsidRPr="00687F08">
        <w:rPr>
          <w:rFonts w:ascii="Book Antiqua" w:eastAsia="Times New Roman" w:hAnsi="Book Antiqua" w:cs="Times New Roman"/>
          <w:color w:val="000000" w:themeColor="text1"/>
          <w:lang w:eastAsia="es-ES_tradnl"/>
        </w:rPr>
        <w:t>/Italia, C-531/06</w:t>
      </w:r>
      <w:r w:rsidRPr="00687F08">
        <w:rPr>
          <w:rFonts w:ascii="Book Antiqua" w:eastAsia="Times New Roman" w:hAnsi="Book Antiqua" w:cs="Times New Roman"/>
          <w:color w:val="000000" w:themeColor="text1"/>
          <w:lang w:eastAsia="es-ES_tradnl"/>
        </w:rPr>
        <w:t xml:space="preserve">. </w:t>
      </w:r>
    </w:p>
    <w:p w14:paraId="7CD6CE2D" w14:textId="57B07CB9" w:rsidR="00FF4591" w:rsidRPr="00687F08" w:rsidRDefault="00FF4591" w:rsidP="00FF4591">
      <w:pPr>
        <w:jc w:val="both"/>
        <w:rPr>
          <w:rFonts w:ascii="Book Antiqua" w:eastAsia="Times New Roman" w:hAnsi="Book Antiqua" w:cs="Times New Roman"/>
          <w:color w:val="000000" w:themeColor="text1"/>
          <w:lang w:eastAsia="es-ES_tradnl"/>
        </w:rPr>
      </w:pPr>
    </w:p>
    <w:p w14:paraId="28ADA019" w14:textId="3C8D7E77" w:rsidR="00FF4591" w:rsidRPr="00687F08" w:rsidRDefault="00FF4591" w:rsidP="00FF4591">
      <w:pPr>
        <w:jc w:val="both"/>
        <w:rPr>
          <w:rFonts w:ascii="Book Antiqua" w:eastAsia="Times New Roman" w:hAnsi="Book Antiqua" w:cs="Times New Roman"/>
          <w:lang w:eastAsia="es-ES_tradnl"/>
        </w:rPr>
      </w:pPr>
      <w:r w:rsidRPr="00687F08">
        <w:rPr>
          <w:rFonts w:ascii="Book Antiqua" w:eastAsia="Times New Roman" w:hAnsi="Book Antiqua" w:cs="Times New Roman"/>
          <w:color w:val="000000" w:themeColor="text1"/>
          <w:lang w:eastAsia="es-ES_tradnl"/>
        </w:rPr>
        <w:lastRenderedPageBreak/>
        <w:t>-</w:t>
      </w:r>
      <w:r w:rsidRPr="00687F08">
        <w:rPr>
          <w:rFonts w:ascii="Book Antiqua" w:eastAsia="Times New Roman" w:hAnsi="Book Antiqua" w:cs="Times New Roman"/>
          <w:lang w:eastAsia="es-ES_tradnl"/>
        </w:rPr>
        <w:t xml:space="preserve"> E</w:t>
      </w:r>
      <w:r w:rsidRPr="00687F08">
        <w:rPr>
          <w:rFonts w:ascii="Book Antiqua" w:eastAsia="Times New Roman" w:hAnsi="Book Antiqua" w:cs="Times New Roman"/>
          <w:lang w:eastAsia="es-ES_tradnl"/>
        </w:rPr>
        <w:t>l art. 12 del Reglamento 883/2004, según el cual debe procurarse que el principio de asimilación de hechos o acontecimientos no conduzca a resultados objetivamente injustificados.</w:t>
      </w:r>
    </w:p>
    <w:p w14:paraId="1B396CAE" w14:textId="050B13B3" w:rsidR="00687F08" w:rsidRPr="00687F08" w:rsidRDefault="00687F08" w:rsidP="00FF4591">
      <w:pPr>
        <w:jc w:val="both"/>
        <w:rPr>
          <w:rFonts w:ascii="Book Antiqua" w:eastAsia="Times New Roman" w:hAnsi="Book Antiqua" w:cs="Times New Roman"/>
          <w:lang w:eastAsia="es-ES_tradnl"/>
        </w:rPr>
      </w:pPr>
    </w:p>
    <w:p w14:paraId="14FF6E41" w14:textId="4590314E" w:rsidR="00687F08" w:rsidRPr="00687F08" w:rsidRDefault="00687F08" w:rsidP="00FF4591">
      <w:pPr>
        <w:jc w:val="both"/>
        <w:rPr>
          <w:rFonts w:ascii="Book Antiqua" w:hAnsi="Book Antiqua"/>
        </w:rPr>
      </w:pPr>
      <w:r w:rsidRPr="00687F08">
        <w:rPr>
          <w:rFonts w:ascii="Book Antiqua" w:eastAsia="Times New Roman" w:hAnsi="Book Antiqua" w:cs="Times New Roman"/>
          <w:lang w:eastAsia="es-ES_tradnl"/>
        </w:rPr>
        <w:t>-Re</w:t>
      </w:r>
      <w:r w:rsidRPr="00687F08">
        <w:rPr>
          <w:rFonts w:ascii="Book Antiqua" w:eastAsia="Times New Roman" w:hAnsi="Book Antiqua" w:cs="Times New Roman"/>
          <w:lang w:eastAsia="es-ES_tradnl"/>
        </w:rPr>
        <w:t>chaza Austria que deba existir una relación entre las obligaciones tributarias soportadas y el derecho a las prestaciones</w:t>
      </w:r>
    </w:p>
    <w:p w14:paraId="64E2D23B" w14:textId="77777777" w:rsidR="00134E9A" w:rsidRPr="00687F08" w:rsidRDefault="00134E9A" w:rsidP="00FF4591">
      <w:pPr>
        <w:jc w:val="both"/>
        <w:rPr>
          <w:rFonts w:ascii="Book Antiqua" w:eastAsia="Times New Roman" w:hAnsi="Book Antiqua" w:cs="Times New Roman"/>
          <w:b/>
          <w:bCs/>
          <w:color w:val="0D0D0D" w:themeColor="text1" w:themeTint="F2"/>
          <w:spacing w:val="-2"/>
          <w:shd w:val="clear" w:color="auto" w:fill="FFFFFF"/>
          <w:lang w:eastAsia="es-ES_tradnl"/>
        </w:rPr>
      </w:pPr>
    </w:p>
    <w:p w14:paraId="526B6C83" w14:textId="57EDFDA0" w:rsidR="00687F08" w:rsidRPr="00687F08" w:rsidRDefault="00687F08" w:rsidP="00687F08">
      <w:pPr>
        <w:jc w:val="both"/>
        <w:rPr>
          <w:rFonts w:ascii="Book Antiqua" w:eastAsia="Times New Roman" w:hAnsi="Book Antiqua" w:cs="Times New Roman"/>
          <w:b/>
          <w:bCs/>
          <w:u w:val="single"/>
          <w:lang w:eastAsia="es-ES_tradnl"/>
        </w:rPr>
      </w:pPr>
      <w:r w:rsidRPr="00687F08">
        <w:rPr>
          <w:rFonts w:ascii="Book Antiqua" w:eastAsia="Times New Roman" w:hAnsi="Book Antiqua" w:cs="Times New Roman"/>
          <w:b/>
          <w:bCs/>
          <w:u w:val="single"/>
          <w:lang w:eastAsia="es-ES_tradnl"/>
        </w:rPr>
        <w:t>POSICIÓN DEL TRIBUNAL Y RESOLUCIÓN DE LA CUESTIÓN PREJUDICIAL</w:t>
      </w:r>
    </w:p>
    <w:p w14:paraId="2717146D" w14:textId="3B776114" w:rsidR="00134E9A" w:rsidRPr="00687F08" w:rsidRDefault="00134E9A" w:rsidP="00FF4591">
      <w:pPr>
        <w:jc w:val="both"/>
        <w:rPr>
          <w:rFonts w:ascii="Book Antiqua" w:eastAsia="Times New Roman" w:hAnsi="Book Antiqua" w:cs="Times New Roman"/>
          <w:b/>
          <w:bCs/>
          <w:color w:val="0D0D0D" w:themeColor="text1" w:themeTint="F2"/>
          <w:spacing w:val="-2"/>
          <w:shd w:val="clear" w:color="auto" w:fill="FFFFFF"/>
          <w:lang w:eastAsia="es-ES_tradnl"/>
        </w:rPr>
      </w:pPr>
    </w:p>
    <w:p w14:paraId="11C82308" w14:textId="00253911" w:rsidR="00864059" w:rsidRPr="00687F08" w:rsidRDefault="00687F08" w:rsidP="00FF4591">
      <w:pPr>
        <w:jc w:val="both"/>
        <w:rPr>
          <w:rFonts w:ascii="Book Antiqua" w:eastAsia="Times New Roman" w:hAnsi="Book Antiqua" w:cs="Times New Roman"/>
          <w:color w:val="0D0D0D" w:themeColor="text1" w:themeTint="F2"/>
          <w:spacing w:val="-2"/>
          <w:shd w:val="clear" w:color="auto" w:fill="FFFFFF"/>
          <w:lang w:eastAsia="es-ES_tradnl"/>
        </w:rPr>
      </w:pPr>
      <w:r w:rsidRPr="00687F08">
        <w:rPr>
          <w:rFonts w:ascii="Book Antiqua" w:eastAsia="Times New Roman" w:hAnsi="Book Antiqua" w:cs="Times New Roman"/>
          <w:color w:val="0D0D0D" w:themeColor="text1" w:themeTint="F2"/>
          <w:spacing w:val="-2"/>
          <w:shd w:val="clear" w:color="auto" w:fill="FFFFFF"/>
          <w:lang w:eastAsia="es-ES_tradnl"/>
        </w:rPr>
        <w:t xml:space="preserve">Adhesión a la posición de la Comisión (defendida también por el abogado general). </w:t>
      </w:r>
    </w:p>
    <w:p w14:paraId="2F0AF374" w14:textId="522A7E69" w:rsidR="00687F08" w:rsidRPr="00687F08" w:rsidRDefault="00687F08" w:rsidP="00FF4591">
      <w:pPr>
        <w:jc w:val="both"/>
        <w:rPr>
          <w:rFonts w:ascii="Book Antiqua" w:eastAsia="Times New Roman" w:hAnsi="Book Antiqua" w:cs="Times New Roman"/>
          <w:color w:val="0D0D0D" w:themeColor="text1" w:themeTint="F2"/>
          <w:spacing w:val="-2"/>
          <w:shd w:val="clear" w:color="auto" w:fill="FFFFFF"/>
          <w:lang w:eastAsia="es-ES_tradnl"/>
        </w:rPr>
      </w:pPr>
    </w:p>
    <w:p w14:paraId="43405F21" w14:textId="05021E23" w:rsidR="00687F08" w:rsidRPr="00687F08" w:rsidRDefault="00687F08" w:rsidP="00FF4591">
      <w:pPr>
        <w:jc w:val="both"/>
        <w:rPr>
          <w:rFonts w:ascii="Book Antiqua" w:eastAsia="Times New Roman" w:hAnsi="Book Antiqua" w:cs="Times New Roman"/>
          <w:color w:val="0D0D0D" w:themeColor="text1" w:themeTint="F2"/>
          <w:spacing w:val="-2"/>
          <w:shd w:val="clear" w:color="auto" w:fill="FFFFFF"/>
          <w:lang w:eastAsia="es-ES_tradnl"/>
        </w:rPr>
      </w:pPr>
      <w:r w:rsidRPr="00687F08">
        <w:rPr>
          <w:rFonts w:ascii="Book Antiqua" w:eastAsia="Times New Roman" w:hAnsi="Book Antiqua" w:cs="Times New Roman"/>
          <w:lang w:eastAsia="es-ES_tradnl"/>
        </w:rPr>
        <w:t>Sentencia</w:t>
      </w:r>
      <w:r w:rsidRPr="00687F08">
        <w:rPr>
          <w:rFonts w:ascii="Book Antiqua" w:eastAsia="Times New Roman" w:hAnsi="Book Antiqua" w:cs="Times New Roman"/>
          <w:lang w:eastAsia="es-ES_tradnl"/>
        </w:rPr>
        <w:t xml:space="preserve"> de 2 de abril de 2020 (TJCE 2020, 52</w:t>
      </w:r>
      <w:proofErr w:type="gramStart"/>
      <w:r w:rsidRPr="00687F08">
        <w:rPr>
          <w:rFonts w:ascii="Book Antiqua" w:eastAsia="Times New Roman" w:hAnsi="Book Antiqua" w:cs="Times New Roman"/>
          <w:lang w:eastAsia="es-ES_tradnl"/>
        </w:rPr>
        <w:t>) ,</w:t>
      </w:r>
      <w:proofErr w:type="gramEnd"/>
      <w:r w:rsidRPr="00687F08">
        <w:rPr>
          <w:rFonts w:ascii="Book Antiqua" w:eastAsia="Times New Roman" w:hAnsi="Book Antiqua" w:cs="Times New Roman"/>
          <w:lang w:eastAsia="es-ES_tradnl"/>
        </w:rPr>
        <w:t xml:space="preserve"> </w:t>
      </w:r>
      <w:proofErr w:type="spellStart"/>
      <w:r w:rsidRPr="00687F08">
        <w:rPr>
          <w:rFonts w:ascii="Book Antiqua" w:eastAsia="Times New Roman" w:hAnsi="Book Antiqua" w:cs="Times New Roman"/>
          <w:i/>
          <w:iCs/>
          <w:lang w:eastAsia="es-ES_tradnl"/>
        </w:rPr>
        <w:t>Caisse</w:t>
      </w:r>
      <w:proofErr w:type="spellEnd"/>
      <w:r w:rsidRPr="00687F08">
        <w:rPr>
          <w:rFonts w:ascii="Book Antiqua" w:eastAsia="Times New Roman" w:hAnsi="Book Antiqua" w:cs="Times New Roman"/>
          <w:i/>
          <w:iCs/>
          <w:lang w:eastAsia="es-ES_tradnl"/>
        </w:rPr>
        <w:t xml:space="preserve"> </w:t>
      </w:r>
      <w:proofErr w:type="spellStart"/>
      <w:r w:rsidRPr="00687F08">
        <w:rPr>
          <w:rFonts w:ascii="Book Antiqua" w:eastAsia="Times New Roman" w:hAnsi="Book Antiqua" w:cs="Times New Roman"/>
          <w:i/>
          <w:iCs/>
          <w:lang w:eastAsia="es-ES_tradnl"/>
        </w:rPr>
        <w:t>pour</w:t>
      </w:r>
      <w:proofErr w:type="spellEnd"/>
      <w:r w:rsidRPr="00687F08">
        <w:rPr>
          <w:rFonts w:ascii="Book Antiqua" w:eastAsia="Times New Roman" w:hAnsi="Book Antiqua" w:cs="Times New Roman"/>
          <w:i/>
          <w:iCs/>
          <w:lang w:eastAsia="es-ES_tradnl"/>
        </w:rPr>
        <w:t xml:space="preserve"> </w:t>
      </w:r>
      <w:proofErr w:type="spellStart"/>
      <w:r w:rsidRPr="00687F08">
        <w:rPr>
          <w:rFonts w:ascii="Book Antiqua" w:eastAsia="Times New Roman" w:hAnsi="Book Antiqua" w:cs="Times New Roman"/>
          <w:i/>
          <w:iCs/>
          <w:lang w:eastAsia="es-ES_tradnl"/>
        </w:rPr>
        <w:t>l'avenir</w:t>
      </w:r>
      <w:proofErr w:type="spellEnd"/>
      <w:r w:rsidRPr="00687F08">
        <w:rPr>
          <w:rFonts w:ascii="Book Antiqua" w:eastAsia="Times New Roman" w:hAnsi="Book Antiqua" w:cs="Times New Roman"/>
          <w:i/>
          <w:iCs/>
          <w:lang w:eastAsia="es-ES_tradnl"/>
        </w:rPr>
        <w:t xml:space="preserve"> des </w:t>
      </w:r>
      <w:proofErr w:type="spellStart"/>
      <w:r w:rsidRPr="00687F08">
        <w:rPr>
          <w:rFonts w:ascii="Book Antiqua" w:eastAsia="Times New Roman" w:hAnsi="Book Antiqua" w:cs="Times New Roman"/>
          <w:i/>
          <w:iCs/>
          <w:lang w:eastAsia="es-ES_tradnl"/>
        </w:rPr>
        <w:t>enfants</w:t>
      </w:r>
      <w:proofErr w:type="spellEnd"/>
      <w:r w:rsidRPr="00687F08">
        <w:rPr>
          <w:rFonts w:ascii="Book Antiqua" w:eastAsia="Times New Roman" w:hAnsi="Book Antiqua" w:cs="Times New Roman"/>
          <w:lang w:eastAsia="es-ES_tradnl"/>
        </w:rPr>
        <w:t xml:space="preserve"> para recordar que “una distinción basada en la residencia, que puede redundar en perjuicio principalmente de los nacionales de otros Estados miembros, en la medida en que los no residentes son mayoritariamente no nacionales, constituye una discriminación indirecta basada en la nacionalidad que solo puede admitirse si está objetivamente justificada”.</w:t>
      </w:r>
    </w:p>
    <w:p w14:paraId="550FDDC8" w14:textId="5CBC25D5" w:rsidR="00687F08" w:rsidRPr="00687F08" w:rsidRDefault="00687F08" w:rsidP="00FF4591">
      <w:pPr>
        <w:jc w:val="both"/>
        <w:rPr>
          <w:rFonts w:ascii="Book Antiqua" w:eastAsia="Times New Roman" w:hAnsi="Book Antiqua" w:cs="Times New Roman"/>
          <w:color w:val="0D0D0D" w:themeColor="text1" w:themeTint="F2"/>
          <w:spacing w:val="-2"/>
          <w:shd w:val="clear" w:color="auto" w:fill="FFFFFF"/>
          <w:lang w:eastAsia="es-ES_tradnl"/>
        </w:rPr>
      </w:pPr>
    </w:p>
    <w:p w14:paraId="390456F6" w14:textId="4A551212" w:rsidR="00687F08" w:rsidRPr="00687F08" w:rsidRDefault="00687F08" w:rsidP="00FF4591">
      <w:pPr>
        <w:jc w:val="both"/>
        <w:rPr>
          <w:rFonts w:ascii="Book Antiqua" w:eastAsia="Times New Roman" w:hAnsi="Book Antiqua" w:cs="Times New Roman"/>
          <w:color w:val="0D0D0D" w:themeColor="text1" w:themeTint="F2"/>
          <w:spacing w:val="-2"/>
          <w:shd w:val="clear" w:color="auto" w:fill="FFFFFF"/>
          <w:lang w:eastAsia="es-ES_tradnl"/>
        </w:rPr>
      </w:pPr>
      <w:r w:rsidRPr="00687F08">
        <w:rPr>
          <w:rFonts w:ascii="Book Antiqua" w:eastAsia="Times New Roman" w:hAnsi="Book Antiqua" w:cs="Times New Roman"/>
          <w:color w:val="0D0D0D" w:themeColor="text1" w:themeTint="F2"/>
          <w:spacing w:val="-2"/>
          <w:shd w:val="clear" w:color="auto" w:fill="FFFFFF"/>
          <w:lang w:eastAsia="es-ES_tradnl"/>
        </w:rPr>
        <w:t xml:space="preserve">-Discriminación indirecta, importancia estadística. </w:t>
      </w:r>
    </w:p>
    <w:p w14:paraId="5654929B" w14:textId="77777777" w:rsidR="00864059" w:rsidRPr="00687F08" w:rsidRDefault="00864059" w:rsidP="00FF4591">
      <w:pPr>
        <w:jc w:val="both"/>
        <w:rPr>
          <w:rFonts w:ascii="Book Antiqua" w:hAnsi="Book Antiqua" w:cs="Times New Roman"/>
          <w:color w:val="0D0D0D" w:themeColor="text1" w:themeTint="F2"/>
        </w:rPr>
      </w:pPr>
    </w:p>
    <w:p w14:paraId="0B629BE6" w14:textId="46653CBC" w:rsidR="00687F08" w:rsidRPr="00687F08" w:rsidRDefault="00687F08" w:rsidP="00FF4591">
      <w:pPr>
        <w:jc w:val="both"/>
        <w:rPr>
          <w:rFonts w:ascii="Book Antiqua" w:hAnsi="Book Antiqua" w:cs="Times New Roman"/>
          <w:color w:val="0D0D0D" w:themeColor="text1" w:themeTint="F2"/>
        </w:rPr>
      </w:pPr>
      <w:r w:rsidRPr="00687F08">
        <w:rPr>
          <w:rFonts w:ascii="Book Antiqua" w:hAnsi="Book Antiqua" w:cs="Times New Roman"/>
          <w:color w:val="0D0D0D" w:themeColor="text1" w:themeTint="F2"/>
        </w:rPr>
        <w:t xml:space="preserve">-Falta de correlación entre el importe de las ayudas sociales y las </w:t>
      </w:r>
      <w:r w:rsidR="006961A8">
        <w:rPr>
          <w:rFonts w:ascii="Book Antiqua" w:hAnsi="Book Antiqua" w:cs="Times New Roman"/>
          <w:color w:val="0D0D0D" w:themeColor="text1" w:themeTint="F2"/>
        </w:rPr>
        <w:t>necesidades</w:t>
      </w:r>
      <w:r w:rsidRPr="00687F08">
        <w:rPr>
          <w:rFonts w:ascii="Book Antiqua" w:hAnsi="Book Antiqua" w:cs="Times New Roman"/>
          <w:color w:val="0D0D0D" w:themeColor="text1" w:themeTint="F2"/>
        </w:rPr>
        <w:t xml:space="preserve"> reales de los sujetos. </w:t>
      </w:r>
    </w:p>
    <w:p w14:paraId="7E17D682" w14:textId="738D4065" w:rsidR="00687F08" w:rsidRPr="00687F08" w:rsidRDefault="00687F08" w:rsidP="00FF4591">
      <w:pPr>
        <w:jc w:val="both"/>
        <w:rPr>
          <w:rFonts w:ascii="Book Antiqua" w:hAnsi="Book Antiqua" w:cs="Times New Roman"/>
          <w:color w:val="0D0D0D" w:themeColor="text1" w:themeTint="F2"/>
        </w:rPr>
      </w:pPr>
    </w:p>
    <w:p w14:paraId="0CEC569C" w14:textId="2CA72950" w:rsidR="00687F08" w:rsidRPr="00687F08" w:rsidRDefault="00687F08" w:rsidP="00FF4591">
      <w:pPr>
        <w:jc w:val="both"/>
        <w:rPr>
          <w:rFonts w:ascii="Book Antiqua" w:hAnsi="Book Antiqua" w:cs="Times New Roman"/>
          <w:color w:val="0D0D0D" w:themeColor="text1" w:themeTint="F2"/>
        </w:rPr>
      </w:pPr>
      <w:r w:rsidRPr="00687F08">
        <w:rPr>
          <w:rFonts w:ascii="Book Antiqua" w:hAnsi="Book Antiqua" w:cs="Times New Roman"/>
          <w:color w:val="0D0D0D" w:themeColor="text1" w:themeTint="F2"/>
        </w:rPr>
        <w:t xml:space="preserve">-No perjuicio grave para la sostenibilidad del sistema financiero. Solo un 6% de los </w:t>
      </w:r>
      <w:r w:rsidR="0004302E">
        <w:rPr>
          <w:rFonts w:ascii="Book Antiqua" w:hAnsi="Book Antiqua" w:cs="Times New Roman"/>
          <w:color w:val="0D0D0D" w:themeColor="text1" w:themeTint="F2"/>
        </w:rPr>
        <w:t>destinatarios</w:t>
      </w:r>
      <w:r w:rsidRPr="00687F08">
        <w:rPr>
          <w:rFonts w:ascii="Book Antiqua" w:hAnsi="Book Antiqua" w:cs="Times New Roman"/>
          <w:color w:val="0D0D0D" w:themeColor="text1" w:themeTint="F2"/>
        </w:rPr>
        <w:t xml:space="preserve"> de las ayudas se verían afectados por la reforma. </w:t>
      </w:r>
    </w:p>
    <w:p w14:paraId="333A3799" w14:textId="5B73AC64" w:rsidR="00687F08" w:rsidRPr="00687F08" w:rsidRDefault="00687F08" w:rsidP="00FF4591">
      <w:pPr>
        <w:jc w:val="both"/>
        <w:rPr>
          <w:rFonts w:ascii="Book Antiqua" w:hAnsi="Book Antiqua" w:cs="Times New Roman"/>
          <w:color w:val="0D0D0D" w:themeColor="text1" w:themeTint="F2"/>
        </w:rPr>
      </w:pPr>
    </w:p>
    <w:p w14:paraId="7FA960ED" w14:textId="7401E3B1" w:rsidR="00687F08" w:rsidRPr="00687F08" w:rsidRDefault="00687F08" w:rsidP="00FF4591">
      <w:pPr>
        <w:jc w:val="both"/>
        <w:rPr>
          <w:rFonts w:ascii="Book Antiqua" w:hAnsi="Book Antiqua" w:cs="Times New Roman"/>
          <w:color w:val="0D0D0D" w:themeColor="text1" w:themeTint="F2"/>
        </w:rPr>
      </w:pPr>
      <w:r w:rsidRPr="00687F08">
        <w:rPr>
          <w:rFonts w:ascii="Book Antiqua" w:hAnsi="Book Antiqua" w:cs="Times New Roman"/>
          <w:color w:val="0D0D0D" w:themeColor="text1" w:themeTint="F2"/>
        </w:rPr>
        <w:t xml:space="preserve">-Proporcionalidad contributiva. </w:t>
      </w:r>
    </w:p>
    <w:p w14:paraId="0788FFD4" w14:textId="2DCB2BAD" w:rsidR="00687F08" w:rsidRPr="00687F08" w:rsidRDefault="00687F08" w:rsidP="00FF4591">
      <w:pPr>
        <w:jc w:val="both"/>
        <w:rPr>
          <w:rFonts w:ascii="Book Antiqua" w:hAnsi="Book Antiqua" w:cs="Times New Roman"/>
          <w:color w:val="0D0D0D" w:themeColor="text1" w:themeTint="F2"/>
        </w:rPr>
      </w:pPr>
    </w:p>
    <w:p w14:paraId="2452BA9A" w14:textId="14CD6CAE" w:rsidR="00864059" w:rsidRPr="00687F08" w:rsidRDefault="00864059" w:rsidP="00FF4591">
      <w:pPr>
        <w:jc w:val="both"/>
        <w:rPr>
          <w:rFonts w:ascii="Book Antiqua" w:hAnsi="Book Antiqua" w:cs="Times New Roman"/>
          <w:color w:val="0D0D0D" w:themeColor="text1" w:themeTint="F2"/>
        </w:rPr>
      </w:pPr>
    </w:p>
    <w:p w14:paraId="51AB2A44" w14:textId="0AEF8E4F" w:rsidR="00687F08" w:rsidRDefault="00687F08" w:rsidP="00687F08">
      <w:pPr>
        <w:jc w:val="both"/>
        <w:rPr>
          <w:rFonts w:ascii="Book Antiqua" w:eastAsia="Times New Roman" w:hAnsi="Book Antiqua" w:cs="Times New Roman"/>
          <w:b/>
          <w:bCs/>
          <w:u w:val="single"/>
          <w:lang w:eastAsia="es-ES_tradnl"/>
        </w:rPr>
      </w:pPr>
      <w:r w:rsidRPr="00687F08">
        <w:rPr>
          <w:rFonts w:ascii="Book Antiqua" w:eastAsia="Times New Roman" w:hAnsi="Book Antiqua" w:cs="Times New Roman"/>
          <w:b/>
          <w:bCs/>
          <w:u w:val="single"/>
          <w:lang w:eastAsia="es-ES_tradnl"/>
        </w:rPr>
        <w:t xml:space="preserve">POSICIÓN </w:t>
      </w:r>
      <w:r w:rsidR="0004302E">
        <w:rPr>
          <w:rFonts w:ascii="Book Antiqua" w:eastAsia="Times New Roman" w:hAnsi="Book Antiqua" w:cs="Times New Roman"/>
          <w:b/>
          <w:bCs/>
          <w:u w:val="single"/>
          <w:lang w:eastAsia="es-ES_tradnl"/>
        </w:rPr>
        <w:t>CRÍTICA</w:t>
      </w:r>
    </w:p>
    <w:p w14:paraId="47238CA3" w14:textId="26E59E83" w:rsidR="0004302E" w:rsidRDefault="0004302E" w:rsidP="00687F08">
      <w:pPr>
        <w:jc w:val="both"/>
        <w:rPr>
          <w:rFonts w:ascii="Book Antiqua" w:eastAsia="Times New Roman" w:hAnsi="Book Antiqua" w:cs="Times New Roman"/>
          <w:b/>
          <w:bCs/>
          <w:u w:val="single"/>
          <w:lang w:eastAsia="es-ES_tradnl"/>
        </w:rPr>
      </w:pPr>
    </w:p>
    <w:p w14:paraId="51FECD92" w14:textId="46ADD772" w:rsidR="006961A8" w:rsidRDefault="006961A8" w:rsidP="00687F08">
      <w:pPr>
        <w:jc w:val="both"/>
        <w:rPr>
          <w:rFonts w:ascii="Book Antiqua" w:eastAsia="Times New Roman" w:hAnsi="Book Antiqua" w:cs="Times New Roman"/>
          <w:b/>
          <w:bCs/>
          <w:u w:val="single"/>
          <w:lang w:eastAsia="es-ES_tradnl"/>
        </w:rPr>
      </w:pPr>
      <w:r>
        <w:rPr>
          <w:rFonts w:ascii="Book Antiqua" w:eastAsia="Times New Roman" w:hAnsi="Book Antiqua" w:cs="Times New Roman"/>
          <w:b/>
          <w:bCs/>
          <w:u w:val="single"/>
          <w:lang w:eastAsia="es-ES_tradnl"/>
        </w:rPr>
        <w:t xml:space="preserve">Dos motivos de índole técnica jurídica. </w:t>
      </w:r>
    </w:p>
    <w:p w14:paraId="162EFA99" w14:textId="23506C51" w:rsidR="006961A8" w:rsidRDefault="006961A8" w:rsidP="00687F08">
      <w:pPr>
        <w:jc w:val="both"/>
        <w:rPr>
          <w:rFonts w:ascii="Book Antiqua" w:eastAsia="Times New Roman" w:hAnsi="Book Antiqua" w:cs="Times New Roman"/>
          <w:b/>
          <w:bCs/>
          <w:u w:val="single"/>
          <w:lang w:eastAsia="es-ES_tradnl"/>
        </w:rPr>
      </w:pPr>
    </w:p>
    <w:p w14:paraId="34854D08" w14:textId="166875EB" w:rsidR="006961A8" w:rsidRDefault="006961A8" w:rsidP="00687F08">
      <w:pPr>
        <w:jc w:val="both"/>
        <w:rPr>
          <w:rFonts w:ascii="Book Antiqua" w:eastAsia="Times New Roman" w:hAnsi="Book Antiqua" w:cs="Times New Roman"/>
          <w:lang w:eastAsia="es-ES_tradnl"/>
        </w:rPr>
      </w:pPr>
      <w:r>
        <w:rPr>
          <w:rFonts w:ascii="Book Antiqua" w:eastAsia="Times New Roman" w:hAnsi="Book Antiqua" w:cs="Times New Roman"/>
          <w:lang w:eastAsia="es-ES_tradnl"/>
        </w:rPr>
        <w:t>Se comprende mejor si acudimos por analogía a dos términos económicos: Valores reales-Valores nominales. El principio de igualdad de trato</w:t>
      </w:r>
      <w:r w:rsidR="007D31BB">
        <w:rPr>
          <w:rFonts w:ascii="Book Antiqua" w:eastAsia="Times New Roman" w:hAnsi="Book Antiqua" w:cs="Times New Roman"/>
          <w:lang w:eastAsia="es-ES_tradnl"/>
        </w:rPr>
        <w:t>, la exigencia de tratar a los beneficiarios de la prestación COMO SI,</w:t>
      </w:r>
      <w:r>
        <w:rPr>
          <w:rFonts w:ascii="Book Antiqua" w:eastAsia="Times New Roman" w:hAnsi="Book Antiqua" w:cs="Times New Roman"/>
          <w:lang w:eastAsia="es-ES_tradnl"/>
        </w:rPr>
        <w:t xml:space="preserve"> exige una igualdad en valores reales o nominales.</w:t>
      </w:r>
    </w:p>
    <w:p w14:paraId="40807477" w14:textId="1B00C6A2" w:rsidR="00C13ECE" w:rsidRDefault="00C13ECE" w:rsidP="00687F08">
      <w:pPr>
        <w:jc w:val="both"/>
        <w:rPr>
          <w:rFonts w:ascii="Book Antiqua" w:eastAsia="Times New Roman" w:hAnsi="Book Antiqua" w:cs="Times New Roman"/>
          <w:lang w:eastAsia="es-ES_tradnl"/>
        </w:rPr>
      </w:pPr>
    </w:p>
    <w:p w14:paraId="07D100AF" w14:textId="0B9594BC" w:rsidR="00C13ECE" w:rsidRDefault="00C13ECE" w:rsidP="00687F08">
      <w:pPr>
        <w:jc w:val="both"/>
        <w:rPr>
          <w:rFonts w:ascii="Book Antiqua" w:eastAsia="Times New Roman" w:hAnsi="Book Antiqua" w:cs="Times New Roman"/>
          <w:lang w:eastAsia="es-ES_tradnl"/>
        </w:rPr>
      </w:pPr>
      <w:r>
        <w:rPr>
          <w:rFonts w:ascii="Book Antiqua" w:eastAsia="Times New Roman" w:hAnsi="Book Antiqua" w:cs="Times New Roman"/>
          <w:lang w:eastAsia="es-ES_tradnl"/>
        </w:rPr>
        <w:t xml:space="preserve">-Principio de igualdad </w:t>
      </w:r>
      <w:proofErr w:type="spellStart"/>
      <w:r>
        <w:rPr>
          <w:rFonts w:ascii="Book Antiqua" w:eastAsia="Times New Roman" w:hAnsi="Book Antiqua" w:cs="Times New Roman"/>
          <w:lang w:eastAsia="es-ES_tradnl"/>
        </w:rPr>
        <w:t>cotributiva</w:t>
      </w:r>
      <w:proofErr w:type="spellEnd"/>
      <w:r>
        <w:rPr>
          <w:rFonts w:ascii="Book Antiqua" w:eastAsia="Times New Roman" w:hAnsi="Book Antiqua" w:cs="Times New Roman"/>
          <w:lang w:eastAsia="es-ES_tradnl"/>
        </w:rPr>
        <w:t xml:space="preserve"> no importante en ayudas no contributivas. Familia sin </w:t>
      </w:r>
      <w:proofErr w:type="spellStart"/>
      <w:r>
        <w:rPr>
          <w:rFonts w:ascii="Book Antiqua" w:eastAsia="Times New Roman" w:hAnsi="Book Antiqua" w:cs="Times New Roman"/>
          <w:lang w:eastAsia="es-ES_tradnl"/>
        </w:rPr>
        <w:t>hjos</w:t>
      </w:r>
      <w:proofErr w:type="spellEnd"/>
      <w:r>
        <w:rPr>
          <w:rFonts w:ascii="Book Antiqua" w:eastAsia="Times New Roman" w:hAnsi="Book Antiqua" w:cs="Times New Roman"/>
          <w:lang w:eastAsia="es-ES_tradnl"/>
        </w:rPr>
        <w:t xml:space="preserve">. </w:t>
      </w:r>
    </w:p>
    <w:p w14:paraId="37239686" w14:textId="6B5252E4" w:rsidR="006961A8" w:rsidRDefault="006961A8" w:rsidP="00687F08">
      <w:pPr>
        <w:jc w:val="both"/>
        <w:rPr>
          <w:rFonts w:ascii="Book Antiqua" w:eastAsia="Times New Roman" w:hAnsi="Book Antiqua" w:cs="Times New Roman"/>
          <w:lang w:eastAsia="es-ES_tradnl"/>
        </w:rPr>
      </w:pPr>
    </w:p>
    <w:p w14:paraId="1CC256C1" w14:textId="29F06EF2" w:rsidR="006961A8" w:rsidRDefault="006961A8" w:rsidP="00687F08">
      <w:pPr>
        <w:jc w:val="both"/>
        <w:rPr>
          <w:rFonts w:ascii="Book Antiqua" w:eastAsia="Times New Roman" w:hAnsi="Book Antiqua" w:cs="Times New Roman"/>
          <w:lang w:eastAsia="es-ES_tradnl"/>
        </w:rPr>
      </w:pPr>
      <w:r>
        <w:rPr>
          <w:rFonts w:ascii="Book Antiqua" w:eastAsia="Times New Roman" w:hAnsi="Book Antiqua" w:cs="Times New Roman"/>
          <w:lang w:eastAsia="es-ES_tradnl"/>
        </w:rPr>
        <w:t xml:space="preserve">Discriminación indirecta solo </w:t>
      </w:r>
      <w:r w:rsidR="007D31BB">
        <w:rPr>
          <w:rFonts w:ascii="Book Antiqua" w:eastAsia="Times New Roman" w:hAnsi="Book Antiqua" w:cs="Times New Roman"/>
          <w:lang w:eastAsia="es-ES_tradnl"/>
        </w:rPr>
        <w:t xml:space="preserve">contingente. Carlos García de Cortázar. Solo impide darle un trato peor. Podríamos convenir que Bulgaria sí podría aceptar una medida de indexación, tratando de garantizar valores reales. </w:t>
      </w:r>
    </w:p>
    <w:p w14:paraId="5F5823C2" w14:textId="78E8F9C1" w:rsidR="006961A8" w:rsidRPr="006961A8" w:rsidRDefault="006961A8" w:rsidP="00687F08">
      <w:pPr>
        <w:jc w:val="both"/>
        <w:rPr>
          <w:rFonts w:ascii="Book Antiqua" w:eastAsia="Times New Roman" w:hAnsi="Book Antiqua" w:cs="Times New Roman"/>
          <w:lang w:eastAsia="es-ES_tradnl"/>
        </w:rPr>
      </w:pPr>
      <w:r>
        <w:rPr>
          <w:rFonts w:ascii="Book Antiqua" w:eastAsia="Times New Roman" w:hAnsi="Book Antiqua" w:cs="Times New Roman"/>
          <w:lang w:eastAsia="es-ES_tradnl"/>
        </w:rPr>
        <w:t xml:space="preserve"> </w:t>
      </w:r>
    </w:p>
    <w:p w14:paraId="43FF8B44" w14:textId="3D8E9B4E" w:rsidR="006961A8" w:rsidRDefault="006961A8" w:rsidP="00687F08">
      <w:pPr>
        <w:jc w:val="both"/>
        <w:rPr>
          <w:rFonts w:ascii="Book Antiqua" w:eastAsia="Times New Roman" w:hAnsi="Book Antiqua" w:cs="Times New Roman"/>
          <w:b/>
          <w:bCs/>
          <w:u w:val="single"/>
          <w:lang w:eastAsia="es-ES_tradnl"/>
        </w:rPr>
      </w:pPr>
    </w:p>
    <w:p w14:paraId="22E8C386" w14:textId="34D7C5D9" w:rsidR="006961A8" w:rsidRPr="00687F08" w:rsidRDefault="006961A8" w:rsidP="00687F08">
      <w:pPr>
        <w:jc w:val="both"/>
        <w:rPr>
          <w:rFonts w:ascii="Book Antiqua" w:eastAsia="Times New Roman" w:hAnsi="Book Antiqua" w:cs="Times New Roman"/>
          <w:b/>
          <w:bCs/>
          <w:u w:val="single"/>
          <w:lang w:eastAsia="es-ES_tradnl"/>
        </w:rPr>
      </w:pPr>
      <w:r>
        <w:rPr>
          <w:rFonts w:ascii="Book Antiqua" w:eastAsia="Times New Roman" w:hAnsi="Book Antiqua" w:cs="Times New Roman"/>
          <w:b/>
          <w:bCs/>
          <w:u w:val="single"/>
          <w:lang w:eastAsia="es-ES_tradnl"/>
        </w:rPr>
        <w:lastRenderedPageBreak/>
        <w:t>Dos motivos de política-legislativa.</w:t>
      </w:r>
    </w:p>
    <w:p w14:paraId="27CF14AC" w14:textId="77777777" w:rsidR="00864059" w:rsidRPr="00687F08" w:rsidRDefault="00864059" w:rsidP="00FF4591">
      <w:pPr>
        <w:jc w:val="both"/>
        <w:rPr>
          <w:rFonts w:ascii="Book Antiqua" w:eastAsia="Times New Roman" w:hAnsi="Book Antiqua" w:cs="Times New Roman"/>
          <w:color w:val="0D0D0D" w:themeColor="text1" w:themeTint="F2"/>
          <w:shd w:val="clear" w:color="auto" w:fill="FFFFFF"/>
          <w:lang w:eastAsia="es-ES_tradnl"/>
        </w:rPr>
      </w:pPr>
    </w:p>
    <w:p w14:paraId="36B4EF91" w14:textId="74CFF356" w:rsidR="00864059" w:rsidRDefault="007D31BB" w:rsidP="00FF4591">
      <w:pPr>
        <w:jc w:val="both"/>
        <w:rPr>
          <w:rFonts w:ascii="Book Antiqua" w:eastAsia="Times New Roman" w:hAnsi="Book Antiqua" w:cs="Times New Roman"/>
          <w:color w:val="0D0D0D" w:themeColor="text1" w:themeTint="F2"/>
          <w:shd w:val="clear" w:color="auto" w:fill="FFFFFF"/>
          <w:lang w:eastAsia="es-ES_tradnl"/>
        </w:rPr>
      </w:pPr>
      <w:r>
        <w:rPr>
          <w:rFonts w:ascii="Book Antiqua" w:eastAsia="Times New Roman" w:hAnsi="Book Antiqua" w:cs="Times New Roman"/>
          <w:color w:val="0D0D0D" w:themeColor="text1" w:themeTint="F2"/>
          <w:shd w:val="clear" w:color="auto" w:fill="FFFFFF"/>
          <w:lang w:eastAsia="es-ES_tradnl"/>
        </w:rPr>
        <w:t xml:space="preserve">Imposibilidad de utilizar la política social con fines demográficos. V.gr. Art. 60 LGSS. En la sentencia no se discute esta cuestión porque Austria no lo plantea como entre sus alegatos. 1963. </w:t>
      </w:r>
    </w:p>
    <w:p w14:paraId="68B71636" w14:textId="52DC0C14" w:rsidR="007D31BB" w:rsidRDefault="007D31BB" w:rsidP="00FF4591">
      <w:pPr>
        <w:jc w:val="both"/>
        <w:rPr>
          <w:rFonts w:ascii="Book Antiqua" w:eastAsia="Times New Roman" w:hAnsi="Book Antiqua" w:cs="Times New Roman"/>
          <w:color w:val="0D0D0D" w:themeColor="text1" w:themeTint="F2"/>
          <w:shd w:val="clear" w:color="auto" w:fill="FFFFFF"/>
          <w:lang w:eastAsia="es-ES_tradnl"/>
        </w:rPr>
      </w:pPr>
    </w:p>
    <w:p w14:paraId="5EC83BC6" w14:textId="0E8D038B" w:rsidR="007D31BB" w:rsidRPr="00687F08" w:rsidRDefault="007D31BB" w:rsidP="00FF4591">
      <w:pPr>
        <w:jc w:val="both"/>
        <w:rPr>
          <w:rFonts w:ascii="Book Antiqua" w:eastAsia="Times New Roman" w:hAnsi="Book Antiqua" w:cs="Times New Roman"/>
          <w:color w:val="0D0D0D" w:themeColor="text1" w:themeTint="F2"/>
          <w:shd w:val="clear" w:color="auto" w:fill="FFFFFF"/>
          <w:lang w:eastAsia="es-ES_tradnl"/>
        </w:rPr>
      </w:pPr>
      <w:r>
        <w:rPr>
          <w:rFonts w:ascii="Book Antiqua" w:eastAsia="Times New Roman" w:hAnsi="Book Antiqua" w:cs="Times New Roman"/>
          <w:color w:val="0D0D0D" w:themeColor="text1" w:themeTint="F2"/>
          <w:shd w:val="clear" w:color="auto" w:fill="FFFFFF"/>
          <w:lang w:eastAsia="es-ES_tradnl"/>
        </w:rPr>
        <w:t xml:space="preserve">Motivaciones perversas para la segregación </w:t>
      </w:r>
      <w:r w:rsidR="00E87780">
        <w:rPr>
          <w:rFonts w:ascii="Book Antiqua" w:eastAsia="Times New Roman" w:hAnsi="Book Antiqua" w:cs="Times New Roman"/>
          <w:color w:val="0D0D0D" w:themeColor="text1" w:themeTint="F2"/>
          <w:shd w:val="clear" w:color="auto" w:fill="FFFFFF"/>
          <w:lang w:eastAsia="es-ES_tradnl"/>
        </w:rPr>
        <w:t>familiar</w:t>
      </w:r>
      <w:r>
        <w:rPr>
          <w:rFonts w:ascii="Book Antiqua" w:eastAsia="Times New Roman" w:hAnsi="Book Antiqua" w:cs="Times New Roman"/>
          <w:color w:val="0D0D0D" w:themeColor="text1" w:themeTint="F2"/>
          <w:shd w:val="clear" w:color="auto" w:fill="FFFFFF"/>
          <w:lang w:eastAsia="es-ES_tradnl"/>
        </w:rPr>
        <w:t xml:space="preserve">. </w:t>
      </w:r>
    </w:p>
    <w:p w14:paraId="6E11D3D4" w14:textId="77777777" w:rsidR="00864059" w:rsidRPr="00687F08" w:rsidRDefault="00864059" w:rsidP="00FF4591">
      <w:pPr>
        <w:jc w:val="both"/>
        <w:rPr>
          <w:rFonts w:ascii="Book Antiqua" w:eastAsia="Times New Roman" w:hAnsi="Book Antiqua" w:cs="Times New Roman"/>
          <w:color w:val="0D0D0D" w:themeColor="text1" w:themeTint="F2"/>
          <w:shd w:val="clear" w:color="auto" w:fill="FFFFFF"/>
          <w:lang w:eastAsia="es-ES_tradnl"/>
        </w:rPr>
      </w:pPr>
    </w:p>
    <w:p w14:paraId="138E1879" w14:textId="4D4D9AD8"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353A35D9" w14:textId="77777777"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69891E14" w14:textId="4C53CD91" w:rsidR="00810BA1" w:rsidRPr="00687F08" w:rsidRDefault="00810BA1" w:rsidP="00FF4591">
      <w:pPr>
        <w:jc w:val="both"/>
        <w:rPr>
          <w:rFonts w:ascii="Book Antiqua" w:eastAsia="Times New Roman" w:hAnsi="Book Antiqua" w:cs="Times New Roman"/>
          <w:color w:val="0D0D0D" w:themeColor="text1" w:themeTint="F2"/>
          <w:shd w:val="clear" w:color="auto" w:fill="FFFFFF"/>
          <w:lang w:eastAsia="es-ES_tradnl"/>
        </w:rPr>
      </w:pPr>
    </w:p>
    <w:p w14:paraId="46020785" w14:textId="77777777" w:rsidR="00810BA1" w:rsidRPr="00687F08" w:rsidRDefault="00810BA1" w:rsidP="00FF4591">
      <w:pPr>
        <w:jc w:val="both"/>
        <w:rPr>
          <w:rFonts w:ascii="Book Antiqua" w:hAnsi="Book Antiqua"/>
          <w:b/>
          <w:bCs/>
        </w:rPr>
      </w:pPr>
    </w:p>
    <w:p w14:paraId="77777FD3" w14:textId="49B3C765" w:rsidR="005119F4" w:rsidRPr="00687F08" w:rsidRDefault="005119F4" w:rsidP="00FF4591">
      <w:pPr>
        <w:ind w:left="708"/>
        <w:jc w:val="both"/>
        <w:rPr>
          <w:rFonts w:ascii="Book Antiqua" w:hAnsi="Book Antiqua"/>
        </w:rPr>
      </w:pPr>
      <w:r w:rsidRPr="00687F08">
        <w:rPr>
          <w:rFonts w:ascii="Book Antiqua" w:hAnsi="Book Antiqua"/>
        </w:rPr>
        <w:t xml:space="preserve"> </w:t>
      </w:r>
    </w:p>
    <w:p w14:paraId="764D2129" w14:textId="07FE2313" w:rsidR="005119F4" w:rsidRPr="00687F08" w:rsidRDefault="005119F4" w:rsidP="00FF4591">
      <w:pPr>
        <w:jc w:val="both"/>
        <w:rPr>
          <w:rFonts w:ascii="Book Antiqua" w:hAnsi="Book Antiqua"/>
        </w:rPr>
      </w:pPr>
    </w:p>
    <w:p w14:paraId="3B944913" w14:textId="77777777" w:rsidR="005119F4" w:rsidRPr="00687F08" w:rsidRDefault="005119F4" w:rsidP="00FF4591">
      <w:pPr>
        <w:jc w:val="both"/>
        <w:rPr>
          <w:rFonts w:ascii="Book Antiqua" w:hAnsi="Book Antiqua"/>
        </w:rPr>
      </w:pPr>
    </w:p>
    <w:p w14:paraId="026CB266" w14:textId="77777777" w:rsidR="005119F4" w:rsidRPr="00687F08" w:rsidRDefault="005119F4">
      <w:pPr>
        <w:rPr>
          <w:rFonts w:ascii="Book Antiqua" w:hAnsi="Book Antiqua"/>
        </w:rPr>
      </w:pPr>
    </w:p>
    <w:sectPr w:rsidR="005119F4" w:rsidRPr="00687F08" w:rsidSect="003A279A">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4AF2E3" w14:textId="77777777" w:rsidR="00A3446E" w:rsidRDefault="00A3446E" w:rsidP="00864059">
      <w:r>
        <w:separator/>
      </w:r>
    </w:p>
  </w:endnote>
  <w:endnote w:type="continuationSeparator" w:id="0">
    <w:p w14:paraId="6136A54B" w14:textId="77777777" w:rsidR="00A3446E" w:rsidRDefault="00A3446E" w:rsidP="00864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579031" w14:textId="77777777" w:rsidR="00A3446E" w:rsidRDefault="00A3446E" w:rsidP="00864059">
      <w:r>
        <w:separator/>
      </w:r>
    </w:p>
  </w:footnote>
  <w:footnote w:type="continuationSeparator" w:id="0">
    <w:p w14:paraId="0988098E" w14:textId="77777777" w:rsidR="00A3446E" w:rsidRDefault="00A3446E" w:rsidP="00864059">
      <w:r>
        <w:continuationSeparator/>
      </w:r>
    </w:p>
  </w:footnote>
  <w:footnote w:id="1">
    <w:p w14:paraId="34538EDA" w14:textId="77777777" w:rsidR="00837C11" w:rsidRPr="00B64F6E" w:rsidRDefault="00837C11" w:rsidP="00837C11">
      <w:pPr>
        <w:pStyle w:val="Textonotapie"/>
        <w:rPr>
          <w:rFonts w:ascii="Times New Roman" w:hAnsi="Times New Roman" w:cs="Times New Roman"/>
        </w:rPr>
      </w:pPr>
      <w:r w:rsidRPr="00B64F6E">
        <w:rPr>
          <w:rStyle w:val="Refdenotaalpie"/>
          <w:rFonts w:ascii="Times New Roman" w:hAnsi="Times New Roman" w:cs="Times New Roman"/>
        </w:rPr>
        <w:footnoteRef/>
      </w:r>
      <w:r w:rsidRPr="00B64F6E">
        <w:rPr>
          <w:rFonts w:ascii="Times New Roman" w:hAnsi="Times New Roman" w:cs="Times New Roman"/>
        </w:rPr>
        <w:t xml:space="preserve"> https://www.lavanguardia.com/vida/20180502/443190779510/austria-indexara-a-la-baja-ayudas-a-familias-con-hijos-que-viven-en-exterior.html</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3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9F4"/>
    <w:rsid w:val="0004302E"/>
    <w:rsid w:val="00134E9A"/>
    <w:rsid w:val="003A279A"/>
    <w:rsid w:val="00484620"/>
    <w:rsid w:val="005119F4"/>
    <w:rsid w:val="00687F08"/>
    <w:rsid w:val="006961A8"/>
    <w:rsid w:val="007D31BB"/>
    <w:rsid w:val="00810BA1"/>
    <w:rsid w:val="00837C11"/>
    <w:rsid w:val="00864059"/>
    <w:rsid w:val="00A3446E"/>
    <w:rsid w:val="00A8211D"/>
    <w:rsid w:val="00A91660"/>
    <w:rsid w:val="00C03BD5"/>
    <w:rsid w:val="00C13ECE"/>
    <w:rsid w:val="00C56D60"/>
    <w:rsid w:val="00E87780"/>
    <w:rsid w:val="00F01076"/>
    <w:rsid w:val="00FF459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4:docId w14:val="67261986"/>
  <w15:chartTrackingRefBased/>
  <w15:docId w15:val="{7AF989FD-5B4B-3F42-8984-DE0384B33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10BA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34E9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5119F4"/>
    <w:pPr>
      <w:spacing w:before="100" w:beforeAutospacing="1" w:after="100" w:afterAutospacing="1"/>
    </w:pPr>
    <w:rPr>
      <w:rFonts w:ascii="Times New Roman" w:eastAsia="Times New Roman" w:hAnsi="Times New Roman" w:cs="Times New Roman"/>
      <w:lang w:eastAsia="es-ES_tradnl"/>
    </w:rPr>
  </w:style>
  <w:style w:type="character" w:customStyle="1" w:styleId="Ttulo1Car">
    <w:name w:val="Título 1 Car"/>
    <w:basedOn w:val="Fuentedeprrafopredeter"/>
    <w:link w:val="Ttulo1"/>
    <w:uiPriority w:val="9"/>
    <w:rsid w:val="00810BA1"/>
    <w:rPr>
      <w:rFonts w:asciiTheme="majorHAnsi" w:eastAsiaTheme="majorEastAsia" w:hAnsiTheme="majorHAnsi" w:cstheme="majorBidi"/>
      <w:color w:val="2F5496" w:themeColor="accent1" w:themeShade="BF"/>
      <w:sz w:val="32"/>
      <w:szCs w:val="32"/>
    </w:rPr>
  </w:style>
  <w:style w:type="paragraph" w:styleId="Textonotapie">
    <w:name w:val="footnote text"/>
    <w:basedOn w:val="Normal"/>
    <w:link w:val="TextonotapieCar"/>
    <w:uiPriority w:val="99"/>
    <w:semiHidden/>
    <w:unhideWhenUsed/>
    <w:rsid w:val="00864059"/>
    <w:rPr>
      <w:sz w:val="20"/>
      <w:szCs w:val="20"/>
    </w:rPr>
  </w:style>
  <w:style w:type="character" w:customStyle="1" w:styleId="TextonotapieCar">
    <w:name w:val="Texto nota pie Car"/>
    <w:basedOn w:val="Fuentedeprrafopredeter"/>
    <w:link w:val="Textonotapie"/>
    <w:uiPriority w:val="99"/>
    <w:semiHidden/>
    <w:rsid w:val="00864059"/>
    <w:rPr>
      <w:sz w:val="20"/>
      <w:szCs w:val="20"/>
    </w:rPr>
  </w:style>
  <w:style w:type="character" w:styleId="Refdenotaalpie">
    <w:name w:val="footnote reference"/>
    <w:basedOn w:val="Fuentedeprrafopredeter"/>
    <w:uiPriority w:val="99"/>
    <w:semiHidden/>
    <w:unhideWhenUsed/>
    <w:rsid w:val="00864059"/>
    <w:rPr>
      <w:vertAlign w:val="superscript"/>
    </w:rPr>
  </w:style>
  <w:style w:type="character" w:customStyle="1" w:styleId="Ttulo2Car">
    <w:name w:val="Título 2 Car"/>
    <w:basedOn w:val="Fuentedeprrafopredeter"/>
    <w:link w:val="Ttulo2"/>
    <w:uiPriority w:val="9"/>
    <w:rsid w:val="00134E9A"/>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101</TotalTime>
  <Pages>5</Pages>
  <Words>1141</Words>
  <Characters>6276</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2022-09-19T06:59:00Z</dcterms:created>
  <dcterms:modified xsi:type="dcterms:W3CDTF">2022-09-19T14:59:00Z</dcterms:modified>
</cp:coreProperties>
</file>