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589F9" w14:textId="0BE3A4BF" w:rsidR="00302000" w:rsidRPr="001048F5" w:rsidRDefault="00302000" w:rsidP="00FB030D">
      <w:pPr>
        <w:jc w:val="center"/>
        <w:rPr>
          <w:rFonts w:ascii="Lucida Bright" w:hAnsi="Lucida Bright"/>
          <w:b/>
          <w:sz w:val="24"/>
          <w:szCs w:val="24"/>
        </w:rPr>
      </w:pPr>
      <w:r w:rsidRPr="001048F5">
        <w:rPr>
          <w:rFonts w:ascii="Lucida Bright" w:hAnsi="Lucida Bright"/>
          <w:b/>
          <w:sz w:val="24"/>
          <w:szCs w:val="24"/>
        </w:rPr>
        <w:t>I WORKSHOP</w:t>
      </w:r>
      <w:r w:rsidR="00EC0D6C" w:rsidRPr="001048F5">
        <w:rPr>
          <w:rFonts w:ascii="Lucida Bright" w:hAnsi="Lucida Bright"/>
          <w:b/>
          <w:sz w:val="24"/>
          <w:szCs w:val="24"/>
        </w:rPr>
        <w:t xml:space="preserve"> </w:t>
      </w:r>
      <w:r w:rsidRPr="001048F5">
        <w:rPr>
          <w:rFonts w:ascii="Lucida Bright" w:hAnsi="Lucida Bright"/>
          <w:b/>
          <w:sz w:val="24"/>
          <w:szCs w:val="24"/>
        </w:rPr>
        <w:t>de la RED de INVESTIGACIÓN “CONTRATOS CIVILES Y DESARROLLO SOCIAL”</w:t>
      </w:r>
    </w:p>
    <w:p w14:paraId="5D234011" w14:textId="049D2978" w:rsidR="00A91649" w:rsidRPr="001048F5" w:rsidRDefault="00141B59" w:rsidP="00600B2F">
      <w:pPr>
        <w:jc w:val="center"/>
        <w:rPr>
          <w:rFonts w:ascii="Lucida Bright" w:hAnsi="Lucida Bright"/>
          <w:b/>
          <w:i/>
          <w:sz w:val="24"/>
          <w:szCs w:val="24"/>
        </w:rPr>
      </w:pPr>
      <w:r w:rsidRPr="001048F5">
        <w:rPr>
          <w:rFonts w:ascii="Lucida Bright" w:hAnsi="Lucida Bright"/>
          <w:b/>
          <w:sz w:val="24"/>
          <w:szCs w:val="24"/>
        </w:rPr>
        <w:t>“</w:t>
      </w:r>
      <w:r w:rsidRPr="001048F5">
        <w:rPr>
          <w:rFonts w:ascii="Lucida Bright" w:hAnsi="Lucida Bright"/>
          <w:b/>
          <w:i/>
          <w:sz w:val="24"/>
          <w:szCs w:val="24"/>
        </w:rPr>
        <w:t>Deudas exonerables y deudas no exonerab</w:t>
      </w:r>
      <w:r w:rsidR="00EC0D6C" w:rsidRPr="001048F5">
        <w:rPr>
          <w:rFonts w:ascii="Lucida Bright" w:hAnsi="Lucida Bright"/>
          <w:b/>
          <w:i/>
          <w:sz w:val="24"/>
          <w:szCs w:val="24"/>
        </w:rPr>
        <w:t>les</w:t>
      </w:r>
      <w:r w:rsidR="00302000" w:rsidRPr="001048F5">
        <w:rPr>
          <w:rFonts w:ascii="Lucida Bright" w:hAnsi="Lucida Bright"/>
          <w:b/>
          <w:i/>
          <w:sz w:val="24"/>
          <w:szCs w:val="24"/>
        </w:rPr>
        <w:t xml:space="preserve">. </w:t>
      </w:r>
      <w:r w:rsidR="00600B2F" w:rsidRPr="001048F5">
        <w:rPr>
          <w:rFonts w:ascii="Lucida Bright" w:hAnsi="Lucida Bright"/>
          <w:b/>
          <w:i/>
          <w:sz w:val="24"/>
          <w:szCs w:val="24"/>
        </w:rPr>
        <w:t>En especial, las deudas de crédito público</w:t>
      </w:r>
      <w:r w:rsidR="00302000" w:rsidRPr="001048F5">
        <w:rPr>
          <w:rFonts w:ascii="Lucida Bright" w:hAnsi="Lucida Bright"/>
          <w:b/>
          <w:i/>
          <w:sz w:val="24"/>
          <w:szCs w:val="24"/>
        </w:rPr>
        <w:t xml:space="preserve"> </w:t>
      </w:r>
      <w:r w:rsidR="00600B2F" w:rsidRPr="001048F5">
        <w:rPr>
          <w:rFonts w:ascii="Lucida Bright" w:hAnsi="Lucida Bright"/>
          <w:b/>
          <w:i/>
          <w:sz w:val="24"/>
          <w:szCs w:val="24"/>
        </w:rPr>
        <w:t>y</w:t>
      </w:r>
      <w:r w:rsidR="00302000" w:rsidRPr="001048F5">
        <w:rPr>
          <w:rFonts w:ascii="Lucida Bright" w:hAnsi="Lucida Bright"/>
          <w:b/>
          <w:i/>
          <w:sz w:val="24"/>
          <w:szCs w:val="24"/>
        </w:rPr>
        <w:t xml:space="preserve"> las deudas con pacto de reserva de dominio</w:t>
      </w:r>
      <w:r w:rsidRPr="001048F5">
        <w:rPr>
          <w:rFonts w:ascii="Lucida Bright" w:hAnsi="Lucida Bright"/>
          <w:b/>
          <w:sz w:val="24"/>
          <w:szCs w:val="24"/>
        </w:rPr>
        <w:t>”</w:t>
      </w:r>
    </w:p>
    <w:p w14:paraId="0EEFA4D8" w14:textId="5CBC5234" w:rsidR="00302000" w:rsidRPr="001048F5" w:rsidRDefault="00302000" w:rsidP="00FB030D">
      <w:pPr>
        <w:jc w:val="center"/>
        <w:rPr>
          <w:rFonts w:ascii="Lucida Bright" w:hAnsi="Lucida Bright"/>
          <w:bCs/>
          <w:sz w:val="24"/>
          <w:szCs w:val="24"/>
        </w:rPr>
      </w:pPr>
      <w:r w:rsidRPr="001048F5">
        <w:rPr>
          <w:rFonts w:ascii="Lucida Bright" w:hAnsi="Lucida Bright"/>
          <w:bCs/>
          <w:sz w:val="24"/>
          <w:szCs w:val="24"/>
        </w:rPr>
        <w:t>Universidad de Málaga, 15 de mayo de 2025</w:t>
      </w:r>
    </w:p>
    <w:p w14:paraId="442C487E" w14:textId="71E5E64F" w:rsidR="00302000" w:rsidRPr="001048F5" w:rsidRDefault="00302000" w:rsidP="00FB030D">
      <w:pPr>
        <w:jc w:val="center"/>
        <w:rPr>
          <w:rFonts w:ascii="Lucida Bright" w:hAnsi="Lucida Bright"/>
          <w:bCs/>
          <w:sz w:val="24"/>
          <w:szCs w:val="24"/>
        </w:rPr>
      </w:pPr>
    </w:p>
    <w:p w14:paraId="1BC14B0E" w14:textId="4BAC8A8E" w:rsidR="00302000" w:rsidRPr="001048F5" w:rsidRDefault="00302000" w:rsidP="00FB030D">
      <w:pPr>
        <w:jc w:val="center"/>
        <w:rPr>
          <w:rFonts w:ascii="Lucida Bright" w:hAnsi="Lucida Bright"/>
          <w:bCs/>
          <w:sz w:val="24"/>
          <w:szCs w:val="24"/>
        </w:rPr>
      </w:pPr>
      <w:proofErr w:type="spellStart"/>
      <w:r w:rsidRPr="001048F5">
        <w:rPr>
          <w:rFonts w:ascii="Lucida Bright" w:hAnsi="Lucida Bright"/>
          <w:bCs/>
          <w:sz w:val="24"/>
          <w:szCs w:val="24"/>
        </w:rPr>
        <w:t>Mª</w:t>
      </w:r>
      <w:proofErr w:type="spellEnd"/>
      <w:r w:rsidRPr="001048F5">
        <w:rPr>
          <w:rFonts w:ascii="Lucida Bright" w:hAnsi="Lucida Bright"/>
          <w:bCs/>
          <w:sz w:val="24"/>
          <w:szCs w:val="24"/>
        </w:rPr>
        <w:t xml:space="preserve"> Isabel Domínguez Yamasaki</w:t>
      </w:r>
    </w:p>
    <w:p w14:paraId="354C5928" w14:textId="3C5B964E" w:rsidR="00302000" w:rsidRPr="001048F5" w:rsidRDefault="00302000" w:rsidP="00FB030D">
      <w:pPr>
        <w:jc w:val="center"/>
        <w:rPr>
          <w:rFonts w:ascii="Lucida Bright" w:hAnsi="Lucida Bright"/>
          <w:bCs/>
          <w:i/>
          <w:iCs/>
          <w:sz w:val="24"/>
          <w:szCs w:val="24"/>
        </w:rPr>
      </w:pPr>
      <w:r w:rsidRPr="001048F5">
        <w:rPr>
          <w:rFonts w:ascii="Lucida Bright" w:hAnsi="Lucida Bright"/>
          <w:bCs/>
          <w:i/>
          <w:iCs/>
          <w:sz w:val="24"/>
          <w:szCs w:val="24"/>
        </w:rPr>
        <w:t>Profesora Ayudante Doctora, Derecho Civil</w:t>
      </w:r>
    </w:p>
    <w:p w14:paraId="20A2057B" w14:textId="685FA1CE" w:rsidR="00302000" w:rsidRPr="001048F5" w:rsidRDefault="00302000" w:rsidP="00FB030D">
      <w:pPr>
        <w:jc w:val="center"/>
        <w:rPr>
          <w:rFonts w:ascii="Lucida Bright" w:hAnsi="Lucida Bright"/>
          <w:bCs/>
          <w:i/>
          <w:iCs/>
          <w:sz w:val="24"/>
          <w:szCs w:val="24"/>
        </w:rPr>
      </w:pPr>
      <w:r w:rsidRPr="001048F5">
        <w:rPr>
          <w:rFonts w:ascii="Lucida Bright" w:hAnsi="Lucida Bright"/>
          <w:bCs/>
          <w:i/>
          <w:iCs/>
          <w:sz w:val="24"/>
          <w:szCs w:val="24"/>
        </w:rPr>
        <w:t>Facultad de Derecho de la Universidad de Málaga</w:t>
      </w:r>
    </w:p>
    <w:p w14:paraId="2C5DC556" w14:textId="77777777" w:rsidR="00141B59" w:rsidRPr="001048F5" w:rsidRDefault="00141B59" w:rsidP="00FB030D">
      <w:pPr>
        <w:jc w:val="center"/>
        <w:rPr>
          <w:rFonts w:ascii="Lucida Bright" w:hAnsi="Lucida Bright"/>
          <w:b/>
        </w:rPr>
      </w:pPr>
    </w:p>
    <w:p w14:paraId="4EE1C050" w14:textId="77777777" w:rsidR="009612A4" w:rsidRPr="001048F5" w:rsidRDefault="009612A4" w:rsidP="00F46298">
      <w:pPr>
        <w:rPr>
          <w:rFonts w:ascii="Lucida Bright" w:hAnsi="Lucida Bright"/>
          <w:b/>
        </w:rPr>
      </w:pPr>
    </w:p>
    <w:p w14:paraId="5E19987C" w14:textId="605EBC0E" w:rsidR="001350A2" w:rsidRPr="001048F5" w:rsidRDefault="0089162F" w:rsidP="00F46298">
      <w:pPr>
        <w:rPr>
          <w:rFonts w:ascii="Lucida Bright" w:hAnsi="Lucida Bright"/>
          <w:b/>
          <w:sz w:val="24"/>
          <w:szCs w:val="24"/>
        </w:rPr>
      </w:pPr>
      <w:r w:rsidRPr="001048F5">
        <w:rPr>
          <w:rFonts w:ascii="Lucida Bright" w:hAnsi="Lucida Bright"/>
          <w:b/>
          <w:sz w:val="24"/>
          <w:szCs w:val="24"/>
        </w:rPr>
        <w:t xml:space="preserve">I. </w:t>
      </w:r>
      <w:r w:rsidR="008741D0" w:rsidRPr="001048F5">
        <w:rPr>
          <w:rFonts w:ascii="Lucida Bright" w:hAnsi="Lucida Bright"/>
          <w:b/>
          <w:sz w:val="24"/>
          <w:szCs w:val="24"/>
        </w:rPr>
        <w:t>Introducción</w:t>
      </w:r>
      <w:r w:rsidR="00F46298">
        <w:rPr>
          <w:rFonts w:ascii="Lucida Bright" w:hAnsi="Lucida Bright"/>
          <w:b/>
          <w:sz w:val="24"/>
          <w:szCs w:val="24"/>
        </w:rPr>
        <w:t xml:space="preserve"> al artículo 489 TRLC</w:t>
      </w:r>
      <w:r w:rsidR="0035410D" w:rsidRPr="001048F5">
        <w:rPr>
          <w:rFonts w:ascii="Lucida Bright" w:hAnsi="Lucida Bright"/>
          <w:b/>
          <w:sz w:val="24"/>
          <w:szCs w:val="24"/>
        </w:rPr>
        <w:t xml:space="preserve"> </w:t>
      </w:r>
    </w:p>
    <w:p w14:paraId="16FBB0B4" w14:textId="0132D541" w:rsidR="009B1D18" w:rsidRPr="001048F5" w:rsidRDefault="00F930D4" w:rsidP="00FB030D">
      <w:pPr>
        <w:ind w:firstLine="708"/>
        <w:rPr>
          <w:rFonts w:ascii="Lucida Bright" w:hAnsi="Lucida Bright"/>
          <w:sz w:val="24"/>
          <w:szCs w:val="24"/>
        </w:rPr>
      </w:pPr>
      <w:r w:rsidRPr="001048F5">
        <w:rPr>
          <w:rFonts w:ascii="Lucida Bright" w:hAnsi="Lucida Bright"/>
          <w:sz w:val="24"/>
          <w:szCs w:val="24"/>
        </w:rPr>
        <w:t xml:space="preserve">A pesar de que el art. 489 TRLC, </w:t>
      </w:r>
      <w:r w:rsidR="00F46298">
        <w:rPr>
          <w:rFonts w:ascii="Lucida Bright" w:hAnsi="Lucida Bright"/>
          <w:sz w:val="24"/>
          <w:szCs w:val="24"/>
        </w:rPr>
        <w:t>dedicado</w:t>
      </w:r>
      <w:r w:rsidRPr="001048F5">
        <w:rPr>
          <w:rFonts w:ascii="Lucida Bright" w:hAnsi="Lucida Bright"/>
          <w:sz w:val="24"/>
          <w:szCs w:val="24"/>
        </w:rPr>
        <w:t xml:space="preserve"> a la extensión de la exoneración</w:t>
      </w:r>
      <w:r w:rsidR="00EC0D6C" w:rsidRPr="001048F5">
        <w:rPr>
          <w:rFonts w:ascii="Lucida Bright" w:hAnsi="Lucida Bright"/>
          <w:sz w:val="24"/>
          <w:szCs w:val="24"/>
        </w:rPr>
        <w:t xml:space="preserve">, </w:t>
      </w:r>
      <w:r w:rsidRPr="001048F5">
        <w:rPr>
          <w:rFonts w:ascii="Lucida Bright" w:hAnsi="Lucida Bright"/>
          <w:sz w:val="24"/>
          <w:szCs w:val="24"/>
        </w:rPr>
        <w:t>comienza su primer apartado diciendo que la “exoneración del pasivo insatisfecho se extenderá a la totalidad de las deudas insatisfechas”, en el mismo artículo se incluye un listado de deudas que no son susceptibles de exoneración. Por tanto, e</w:t>
      </w:r>
      <w:r w:rsidR="009B1D18" w:rsidRPr="001048F5">
        <w:rPr>
          <w:rFonts w:ascii="Lucida Bright" w:hAnsi="Lucida Bright"/>
          <w:sz w:val="24"/>
          <w:szCs w:val="24"/>
        </w:rPr>
        <w:t xml:space="preserve">l derecho </w:t>
      </w:r>
      <w:r w:rsidRPr="001048F5">
        <w:rPr>
          <w:rFonts w:ascii="Lucida Bright" w:hAnsi="Lucida Bright"/>
          <w:sz w:val="24"/>
          <w:szCs w:val="24"/>
        </w:rPr>
        <w:t xml:space="preserve">a </w:t>
      </w:r>
      <w:r w:rsidR="009B1D18" w:rsidRPr="001048F5">
        <w:rPr>
          <w:rFonts w:ascii="Lucida Bright" w:hAnsi="Lucida Bright"/>
          <w:sz w:val="24"/>
          <w:szCs w:val="24"/>
        </w:rPr>
        <w:t>la exoneración de deudas no es un derecho absoluto ya que</w:t>
      </w:r>
      <w:r w:rsidRPr="001048F5">
        <w:rPr>
          <w:rFonts w:ascii="Lucida Bright" w:hAnsi="Lucida Bright"/>
          <w:sz w:val="24"/>
          <w:szCs w:val="24"/>
        </w:rPr>
        <w:t>, entre otras cosas,</w:t>
      </w:r>
      <w:r w:rsidR="009B1D18" w:rsidRPr="001048F5">
        <w:rPr>
          <w:rFonts w:ascii="Lucida Bright" w:hAnsi="Lucida Bright"/>
          <w:sz w:val="24"/>
          <w:szCs w:val="24"/>
        </w:rPr>
        <w:t xml:space="preserve"> no se extiende a todas las deudas del deudor. </w:t>
      </w:r>
    </w:p>
    <w:p w14:paraId="50B6B332" w14:textId="43FA4C4A" w:rsidR="00EC0D6C" w:rsidRPr="001048F5" w:rsidRDefault="00EC0D6C" w:rsidP="00FB030D">
      <w:pPr>
        <w:ind w:firstLine="708"/>
        <w:rPr>
          <w:rFonts w:ascii="Lucida Bright" w:hAnsi="Lucida Bright"/>
          <w:sz w:val="24"/>
          <w:szCs w:val="24"/>
        </w:rPr>
      </w:pPr>
      <w:r w:rsidRPr="001048F5">
        <w:rPr>
          <w:rFonts w:ascii="Lucida Bright" w:hAnsi="Lucida Bright"/>
          <w:sz w:val="24"/>
          <w:szCs w:val="24"/>
        </w:rPr>
        <w:t xml:space="preserve">Entre las distintas deudas no exonerables conforme al art. 489 TRLC, </w:t>
      </w:r>
      <w:r w:rsidR="00F46298">
        <w:rPr>
          <w:rFonts w:ascii="Lucida Bright" w:hAnsi="Lucida Bright"/>
          <w:sz w:val="24"/>
          <w:szCs w:val="24"/>
        </w:rPr>
        <w:t xml:space="preserve">especialmente controvertidas están siendo las deudas de crédito público y las deudas con garantía real. </w:t>
      </w:r>
    </w:p>
    <w:p w14:paraId="09DEA25E" w14:textId="77777777" w:rsidR="00FB030D" w:rsidRPr="001048F5" w:rsidRDefault="00FB030D" w:rsidP="00FB030D">
      <w:pPr>
        <w:rPr>
          <w:rFonts w:ascii="Lucida Bright" w:hAnsi="Lucida Bright"/>
          <w:sz w:val="24"/>
          <w:szCs w:val="24"/>
        </w:rPr>
      </w:pPr>
    </w:p>
    <w:p w14:paraId="3D07B90E" w14:textId="4F2E0901" w:rsidR="00A67C08" w:rsidRPr="001048F5" w:rsidRDefault="00944822" w:rsidP="00FB030D">
      <w:pPr>
        <w:rPr>
          <w:rFonts w:ascii="Lucida Bright" w:hAnsi="Lucida Bright"/>
          <w:sz w:val="24"/>
          <w:szCs w:val="24"/>
        </w:rPr>
      </w:pPr>
      <w:r w:rsidRPr="001048F5">
        <w:rPr>
          <w:rFonts w:ascii="Lucida Bright" w:hAnsi="Lucida Bright"/>
          <w:b/>
          <w:sz w:val="24"/>
          <w:szCs w:val="24"/>
        </w:rPr>
        <w:t>I</w:t>
      </w:r>
      <w:r w:rsidR="00F46298">
        <w:rPr>
          <w:rFonts w:ascii="Lucida Bright" w:hAnsi="Lucida Bright"/>
          <w:b/>
          <w:sz w:val="24"/>
          <w:szCs w:val="24"/>
        </w:rPr>
        <w:t>I</w:t>
      </w:r>
      <w:r w:rsidR="0089162F" w:rsidRPr="001048F5">
        <w:rPr>
          <w:rFonts w:ascii="Lucida Bright" w:hAnsi="Lucida Bright"/>
          <w:b/>
          <w:sz w:val="24"/>
          <w:szCs w:val="24"/>
        </w:rPr>
        <w:t xml:space="preserve">. </w:t>
      </w:r>
      <w:r w:rsidR="00F46298">
        <w:rPr>
          <w:rFonts w:ascii="Lucida Bright" w:hAnsi="Lucida Bright"/>
          <w:b/>
          <w:sz w:val="24"/>
          <w:szCs w:val="24"/>
        </w:rPr>
        <w:t>S</w:t>
      </w:r>
      <w:r w:rsidR="000C36BD" w:rsidRPr="001048F5">
        <w:rPr>
          <w:rFonts w:ascii="Lucida Bright" w:hAnsi="Lucida Bright"/>
          <w:b/>
          <w:sz w:val="24"/>
          <w:szCs w:val="24"/>
        </w:rPr>
        <w:t>obre la exonerabilidad o no de las deudas de crédito público</w:t>
      </w:r>
    </w:p>
    <w:p w14:paraId="6C531DCF" w14:textId="5D3B6B2F" w:rsidR="0089162F" w:rsidRPr="001048F5" w:rsidRDefault="00A67C08" w:rsidP="00FB030D">
      <w:pPr>
        <w:rPr>
          <w:rFonts w:ascii="Lucida Bright" w:hAnsi="Lucida Bright"/>
          <w:sz w:val="24"/>
          <w:szCs w:val="24"/>
        </w:rPr>
      </w:pPr>
      <w:r w:rsidRPr="001048F5">
        <w:rPr>
          <w:rFonts w:ascii="Lucida Bright" w:hAnsi="Lucida Bright"/>
          <w:b/>
          <w:sz w:val="24"/>
          <w:szCs w:val="24"/>
        </w:rPr>
        <w:t xml:space="preserve">1. </w:t>
      </w:r>
      <w:r w:rsidR="000C36BD" w:rsidRPr="001048F5">
        <w:rPr>
          <w:rFonts w:ascii="Lucida Bright" w:hAnsi="Lucida Bright"/>
          <w:b/>
          <w:sz w:val="24"/>
          <w:szCs w:val="24"/>
        </w:rPr>
        <w:t>Contenido del art. 489 TRLC:</w:t>
      </w:r>
      <w:r w:rsidR="000C36BD" w:rsidRPr="001048F5">
        <w:rPr>
          <w:rFonts w:ascii="Lucida Bright" w:hAnsi="Lucida Bright"/>
          <w:sz w:val="24"/>
          <w:szCs w:val="24"/>
        </w:rPr>
        <w:t xml:space="preserve"> “</w:t>
      </w:r>
      <w:r w:rsidR="0089162F" w:rsidRPr="001048F5">
        <w:rPr>
          <w:rFonts w:ascii="Lucida Bright" w:hAnsi="Lucida Bright"/>
          <w:bCs/>
          <w:sz w:val="24"/>
          <w:szCs w:val="24"/>
        </w:rPr>
        <w:t>Las deudas por créditos de Derecho Público. No obstante, las deudas para cuya gestión recaudatoria resulte competente la Agencia Estatal de Administración Tributaria podrán exonerarse hasta el importe máximo de diez mil euros por deudor; para los primeros cinco mil euros de deuda la exoneración será íntegra, y a partir de esa cifra la exoneración alcanzará el cincuenta por ciento de la deuda hasta el máximo indicado. Asimismo, las deudas por créditos en seguridad social podrán exonerarse por el mismo importe y en las mismas condiciones. El importe exonerado, hasta el citado límite, se aplicará en orden inverso al de prelación legalmente establecido en esta ley y, dentro de cada cla</w:t>
      </w:r>
      <w:r w:rsidR="000C36BD" w:rsidRPr="001048F5">
        <w:rPr>
          <w:rFonts w:ascii="Lucida Bright" w:hAnsi="Lucida Bright"/>
          <w:bCs/>
          <w:sz w:val="24"/>
          <w:szCs w:val="24"/>
        </w:rPr>
        <w:t>se, en función de su antigüedad”</w:t>
      </w:r>
      <w:r w:rsidR="00600B2F" w:rsidRPr="001048F5">
        <w:rPr>
          <w:rFonts w:ascii="Lucida Bright" w:hAnsi="Lucida Bright"/>
          <w:bCs/>
          <w:sz w:val="24"/>
          <w:szCs w:val="24"/>
        </w:rPr>
        <w:t>.</w:t>
      </w:r>
    </w:p>
    <w:p w14:paraId="4BAB723A" w14:textId="77777777" w:rsidR="000C36BD" w:rsidRPr="001048F5" w:rsidRDefault="000C36BD" w:rsidP="00FB030D">
      <w:pPr>
        <w:rPr>
          <w:rFonts w:ascii="Lucida Bright" w:hAnsi="Lucida Bright"/>
          <w:b/>
          <w:bCs/>
          <w:sz w:val="24"/>
          <w:szCs w:val="24"/>
        </w:rPr>
      </w:pPr>
    </w:p>
    <w:p w14:paraId="0B4A07CB" w14:textId="77777777" w:rsidR="000C36BD" w:rsidRPr="001048F5" w:rsidRDefault="000C36BD" w:rsidP="00FB030D">
      <w:pPr>
        <w:rPr>
          <w:rFonts w:ascii="Lucida Bright" w:hAnsi="Lucida Bright"/>
          <w:b/>
          <w:sz w:val="24"/>
          <w:szCs w:val="24"/>
        </w:rPr>
      </w:pPr>
      <w:r w:rsidRPr="001048F5">
        <w:rPr>
          <w:rFonts w:ascii="Lucida Bright" w:hAnsi="Lucida Bright"/>
          <w:b/>
          <w:bCs/>
          <w:sz w:val="24"/>
          <w:szCs w:val="24"/>
        </w:rPr>
        <w:lastRenderedPageBreak/>
        <w:t>2.</w:t>
      </w:r>
      <w:r w:rsidRPr="001048F5">
        <w:rPr>
          <w:rFonts w:ascii="Lucida Bright" w:hAnsi="Lucida Bright"/>
          <w:b/>
          <w:sz w:val="24"/>
          <w:szCs w:val="24"/>
        </w:rPr>
        <w:t xml:space="preserve"> Primer problema de interpretación: Las deudas de crédito público no son exonerables salvo aquellas para cuya gestión recaudatoria sea competente la AEAT</w:t>
      </w:r>
    </w:p>
    <w:p w14:paraId="3219BFBA" w14:textId="77777777" w:rsidR="005F4AA4" w:rsidRPr="001048F5" w:rsidRDefault="005F4AA4" w:rsidP="00FB030D">
      <w:pPr>
        <w:rPr>
          <w:rFonts w:ascii="Lucida Bright" w:hAnsi="Lucida Bright"/>
          <w:bCs/>
          <w:sz w:val="24"/>
          <w:szCs w:val="24"/>
        </w:rPr>
      </w:pPr>
      <w:r w:rsidRPr="001048F5">
        <w:rPr>
          <w:rFonts w:ascii="Lucida Bright" w:hAnsi="Lucida Bright"/>
          <w:bCs/>
          <w:sz w:val="24"/>
          <w:szCs w:val="24"/>
        </w:rPr>
        <w:tab/>
        <w:t>En la Disposición Adicional Primera de la Ley 16/2022 se especifica que “las referencias que en esta Ley se hacen a la AEAT se entenderán también referidas a las Haciendas Foral</w:t>
      </w:r>
      <w:r w:rsidR="000C36BD" w:rsidRPr="001048F5">
        <w:rPr>
          <w:rFonts w:ascii="Lucida Bright" w:hAnsi="Lucida Bright"/>
          <w:bCs/>
          <w:sz w:val="24"/>
          <w:szCs w:val="24"/>
        </w:rPr>
        <w:t>es de los territorios forales”, y a este respecto se ha planteado si son exonerables aquellas deudas cuya gestión recaudatoria corresponda a una Comunidad Autónoma.</w:t>
      </w:r>
    </w:p>
    <w:p w14:paraId="20DD1944" w14:textId="77777777" w:rsidR="00722C22" w:rsidRPr="001048F5" w:rsidRDefault="00722C22" w:rsidP="00FB030D">
      <w:pPr>
        <w:rPr>
          <w:rFonts w:ascii="Lucida Bright" w:hAnsi="Lucida Bright"/>
          <w:bCs/>
          <w:sz w:val="24"/>
          <w:szCs w:val="24"/>
        </w:rPr>
      </w:pPr>
      <w:r w:rsidRPr="001048F5">
        <w:rPr>
          <w:rFonts w:ascii="Lucida Bright" w:hAnsi="Lucida Bright"/>
          <w:bCs/>
          <w:sz w:val="24"/>
          <w:szCs w:val="24"/>
        </w:rPr>
        <w:tab/>
        <w:t>El motivo por el que la AEAT y las Haciendas Forales se equiparan es que las Haciendas Forales ostentan en su territorio las competencias que en el resto del Estado corresponden a la AEAT, vid. Disposición Adicional Primera de la Constitución Española (SAP de Madrid, sección 28ª, de 25 de octubre de 2024, núm. de recurso 115/2024)</w:t>
      </w:r>
      <w:r w:rsidR="00F930D4" w:rsidRPr="001048F5">
        <w:rPr>
          <w:rFonts w:ascii="Lucida Bright" w:hAnsi="Lucida Bright"/>
          <w:bCs/>
          <w:sz w:val="24"/>
          <w:szCs w:val="24"/>
        </w:rPr>
        <w:t>, conforme a la cual “La Constitución ampara y respeta los derechos históricos de los territorios forales”</w:t>
      </w:r>
      <w:r w:rsidRPr="001048F5">
        <w:rPr>
          <w:rFonts w:ascii="Lucida Bright" w:hAnsi="Lucida Bright"/>
          <w:bCs/>
          <w:sz w:val="24"/>
          <w:szCs w:val="24"/>
        </w:rPr>
        <w:t xml:space="preserve">. </w:t>
      </w:r>
    </w:p>
    <w:p w14:paraId="5D1EFF3F" w14:textId="77777777" w:rsidR="00722C22" w:rsidRPr="001048F5" w:rsidRDefault="000C36BD" w:rsidP="00FB030D">
      <w:pPr>
        <w:rPr>
          <w:rFonts w:ascii="Lucida Bright" w:hAnsi="Lucida Bright"/>
          <w:bCs/>
          <w:sz w:val="24"/>
          <w:szCs w:val="24"/>
        </w:rPr>
      </w:pPr>
      <w:r w:rsidRPr="001048F5">
        <w:rPr>
          <w:rFonts w:ascii="Lucida Bright" w:hAnsi="Lucida Bright"/>
          <w:bCs/>
          <w:sz w:val="24"/>
          <w:szCs w:val="24"/>
        </w:rPr>
        <w:tab/>
        <w:t>Dicho lo cual</w:t>
      </w:r>
      <w:r w:rsidR="00722C22" w:rsidRPr="001048F5">
        <w:rPr>
          <w:rFonts w:ascii="Lucida Bright" w:hAnsi="Lucida Bright"/>
          <w:bCs/>
          <w:sz w:val="24"/>
          <w:szCs w:val="24"/>
        </w:rPr>
        <w:t>, ante la duda de si la expresión “Haciendas Forales” se refiere a los créditos a favor de las comunidades autónomas o únicamente a las de Navarra y País Vasco (que son las únicas cuya situación es equiparable a la del Estado en materia tributaria), debe entenderse que la norma hace alusión a Navarra y País Vasco, ya que</w:t>
      </w:r>
      <w:r w:rsidR="00010F37" w:rsidRPr="001048F5">
        <w:rPr>
          <w:rFonts w:ascii="Lucida Bright" w:hAnsi="Lucida Bright"/>
          <w:bCs/>
          <w:sz w:val="24"/>
          <w:szCs w:val="24"/>
        </w:rPr>
        <w:t xml:space="preserve"> no</w:t>
      </w:r>
      <w:r w:rsidR="00722C22" w:rsidRPr="001048F5">
        <w:rPr>
          <w:rFonts w:ascii="Lucida Bright" w:hAnsi="Lucida Bright"/>
          <w:bCs/>
          <w:sz w:val="24"/>
          <w:szCs w:val="24"/>
        </w:rPr>
        <w:t xml:space="preserve"> tendría sentido que el legislador usase la expresión “Haciendas Forales” si se hubiese querido referir a las comunidades autónomas (SAP de Barcelona, sección 15ª, de 25 de noviembre de 2024, núm. de recurso 483/2024).</w:t>
      </w:r>
    </w:p>
    <w:p w14:paraId="093300E9" w14:textId="77777777" w:rsidR="000C36BD" w:rsidRPr="001048F5" w:rsidRDefault="000C36BD" w:rsidP="00FB030D">
      <w:pPr>
        <w:rPr>
          <w:rFonts w:ascii="Lucida Bright" w:hAnsi="Lucida Bright"/>
          <w:bCs/>
          <w:sz w:val="24"/>
          <w:szCs w:val="24"/>
        </w:rPr>
      </w:pPr>
      <w:r w:rsidRPr="001048F5">
        <w:rPr>
          <w:rFonts w:ascii="Lucida Bright" w:hAnsi="Lucida Bright"/>
          <w:bCs/>
          <w:sz w:val="24"/>
          <w:szCs w:val="24"/>
        </w:rPr>
        <w:tab/>
        <w:t xml:space="preserve">En consecuencia, no son exonerables las deudas de crédito público cuya gestión recaudatoria sean competencias de las Comunidades Autónomas. </w:t>
      </w:r>
    </w:p>
    <w:p w14:paraId="04B6A924" w14:textId="77777777" w:rsidR="005F4AA4" w:rsidRPr="001048F5" w:rsidRDefault="005F4AA4" w:rsidP="00FB030D">
      <w:pPr>
        <w:rPr>
          <w:rFonts w:ascii="Lucida Bright" w:hAnsi="Lucida Bright"/>
          <w:bCs/>
          <w:sz w:val="24"/>
          <w:szCs w:val="24"/>
        </w:rPr>
      </w:pPr>
    </w:p>
    <w:p w14:paraId="6E8369EC" w14:textId="77777777" w:rsidR="005F4AA4" w:rsidRPr="001048F5" w:rsidRDefault="00944822" w:rsidP="00FB030D">
      <w:pPr>
        <w:rPr>
          <w:rFonts w:ascii="Lucida Bright" w:hAnsi="Lucida Bright"/>
          <w:b/>
          <w:sz w:val="24"/>
          <w:szCs w:val="24"/>
        </w:rPr>
      </w:pPr>
      <w:r w:rsidRPr="001048F5">
        <w:rPr>
          <w:rFonts w:ascii="Lucida Bright" w:hAnsi="Lucida Bright"/>
          <w:b/>
          <w:bCs/>
          <w:sz w:val="24"/>
          <w:szCs w:val="24"/>
        </w:rPr>
        <w:t>3. Segundo problema de interpretación: ¿qué se entiende por</w:t>
      </w:r>
      <w:r w:rsidR="00B34A5B" w:rsidRPr="001048F5">
        <w:rPr>
          <w:rFonts w:ascii="Lucida Bright" w:hAnsi="Lucida Bright"/>
          <w:b/>
          <w:bCs/>
          <w:sz w:val="24"/>
          <w:szCs w:val="24"/>
        </w:rPr>
        <w:t xml:space="preserve"> </w:t>
      </w:r>
      <w:r w:rsidRPr="001048F5">
        <w:rPr>
          <w:rFonts w:ascii="Lucida Bright" w:hAnsi="Lucida Bright"/>
          <w:b/>
          <w:bCs/>
          <w:sz w:val="24"/>
          <w:szCs w:val="24"/>
        </w:rPr>
        <w:t>“c</w:t>
      </w:r>
      <w:r w:rsidR="005F4AA4" w:rsidRPr="001048F5">
        <w:rPr>
          <w:rFonts w:ascii="Lucida Bright" w:hAnsi="Lucida Bright"/>
          <w:b/>
          <w:bCs/>
          <w:sz w:val="24"/>
          <w:szCs w:val="24"/>
        </w:rPr>
        <w:t>ompetencia de la gestión recaudatoria</w:t>
      </w:r>
      <w:r w:rsidRPr="001048F5">
        <w:rPr>
          <w:rFonts w:ascii="Lucida Bright" w:hAnsi="Lucida Bright"/>
          <w:b/>
          <w:bCs/>
          <w:sz w:val="24"/>
          <w:szCs w:val="24"/>
        </w:rPr>
        <w:t>”?</w:t>
      </w:r>
    </w:p>
    <w:p w14:paraId="42836424" w14:textId="77777777" w:rsidR="00F930D4" w:rsidRPr="001048F5" w:rsidRDefault="005F4AA4" w:rsidP="00FB030D">
      <w:pPr>
        <w:rPr>
          <w:rFonts w:ascii="Lucida Bright" w:hAnsi="Lucida Bright"/>
          <w:sz w:val="24"/>
          <w:szCs w:val="24"/>
        </w:rPr>
      </w:pPr>
      <w:r w:rsidRPr="001048F5">
        <w:rPr>
          <w:rFonts w:ascii="Lucida Bright" w:hAnsi="Lucida Bright"/>
          <w:sz w:val="24"/>
          <w:szCs w:val="24"/>
        </w:rPr>
        <w:tab/>
      </w:r>
      <w:r w:rsidR="00931723" w:rsidRPr="001048F5">
        <w:rPr>
          <w:rFonts w:ascii="Lucida Bright" w:hAnsi="Lucida Bright"/>
          <w:sz w:val="24"/>
          <w:szCs w:val="24"/>
        </w:rPr>
        <w:t>Los créditos cuya gestión de cobro corresponda a la AEAT deberá interpretarse como referidos exclusivamente a aquellos de titularidad estatal, pero no a los de titularidad municipal, provincial o autonómica, entes públicos territoriales que gozan de autonomía para la gestión de sus respectivos intereses (art. 137 CE), y entre ellos los referidos a sus tributos propios o cedidos.</w:t>
      </w:r>
    </w:p>
    <w:p w14:paraId="45A59803" w14:textId="77777777" w:rsidR="00C108F5" w:rsidRPr="001048F5" w:rsidRDefault="00931723" w:rsidP="00FB030D">
      <w:pPr>
        <w:ind w:firstLine="708"/>
        <w:rPr>
          <w:rFonts w:ascii="Lucida Bright" w:hAnsi="Lucida Bright"/>
          <w:sz w:val="24"/>
          <w:szCs w:val="24"/>
        </w:rPr>
      </w:pPr>
      <w:r w:rsidRPr="001048F5">
        <w:rPr>
          <w:rFonts w:ascii="Lucida Bright" w:hAnsi="Lucida Bright"/>
          <w:sz w:val="24"/>
          <w:szCs w:val="24"/>
        </w:rPr>
        <w:t xml:space="preserve">La gestión recaudatoria de la AEAT convenida en relación a tributos de titularidad ajena no altera la naturaleza de los mismos, ni implica darles el mismo tratamiento que a los de titularidad estatal, estando justificada </w:t>
      </w:r>
      <w:r w:rsidR="00F930D4" w:rsidRPr="001048F5">
        <w:rPr>
          <w:rFonts w:ascii="Lucida Bright" w:hAnsi="Lucida Bright"/>
          <w:sz w:val="24"/>
          <w:szCs w:val="24"/>
        </w:rPr>
        <w:t>la</w:t>
      </w:r>
      <w:r w:rsidRPr="001048F5">
        <w:rPr>
          <w:rFonts w:ascii="Lucida Bright" w:hAnsi="Lucida Bright"/>
          <w:sz w:val="24"/>
          <w:szCs w:val="24"/>
        </w:rPr>
        <w:t xml:space="preserve"> exclusión de la exoneración parcial por la mayor debilidad </w:t>
      </w:r>
      <w:r w:rsidRPr="001048F5">
        <w:rPr>
          <w:rFonts w:ascii="Lucida Bright" w:hAnsi="Lucida Bright"/>
          <w:sz w:val="24"/>
          <w:szCs w:val="24"/>
        </w:rPr>
        <w:lastRenderedPageBreak/>
        <w:t>económica de tales entidades territoriales</w:t>
      </w:r>
      <w:r w:rsidR="00F930D4" w:rsidRPr="001048F5">
        <w:rPr>
          <w:rFonts w:ascii="Lucida Bright" w:hAnsi="Lucida Bright"/>
          <w:sz w:val="24"/>
          <w:szCs w:val="24"/>
        </w:rPr>
        <w:t xml:space="preserve"> (como los ayuntamientos)</w:t>
      </w:r>
      <w:r w:rsidRPr="001048F5">
        <w:rPr>
          <w:rFonts w:ascii="Lucida Bright" w:hAnsi="Lucida Bright"/>
          <w:sz w:val="24"/>
          <w:szCs w:val="24"/>
        </w:rPr>
        <w:t xml:space="preserve"> en comparación al Estado” (SAP Zaragoza, sección 5ª, de 17 de enero de 2024, núm. 55/2024; SJM Pamplona, sección 2ª, de 5 de noviembre de 2024, núm. de recurso 366/2024). </w:t>
      </w:r>
    </w:p>
    <w:p w14:paraId="7CC58A3F" w14:textId="77777777" w:rsidR="00B34A5B" w:rsidRPr="001048F5" w:rsidRDefault="00722C22" w:rsidP="00FB030D">
      <w:pPr>
        <w:rPr>
          <w:rFonts w:ascii="Lucida Bright" w:hAnsi="Lucida Bright"/>
          <w:sz w:val="24"/>
          <w:szCs w:val="24"/>
        </w:rPr>
      </w:pPr>
      <w:r w:rsidRPr="001048F5">
        <w:rPr>
          <w:rFonts w:ascii="Lucida Bright" w:hAnsi="Lucida Bright"/>
          <w:sz w:val="24"/>
          <w:szCs w:val="24"/>
        </w:rPr>
        <w:tab/>
      </w:r>
      <w:r w:rsidR="00944822" w:rsidRPr="001048F5">
        <w:rPr>
          <w:rFonts w:ascii="Lucida Bright" w:hAnsi="Lucida Bright"/>
          <w:sz w:val="24"/>
          <w:szCs w:val="24"/>
        </w:rPr>
        <w:t>El motivo por el cual se ha planteado esta cuestión ante nuestros tribunales es por la existencia de convenios entre administraciones locales y la AEAT, si bien hallamos sentencias en las que se señala que la delegación en cuanto a la gestión de un tributo no implica la delegación de la competencia para ello. Por lo que debe entenderse que la corporación local de que se trate sigue siendo la administración competente para la gestión recaudatoria (es decir, mantiene la titularidad) aunque la recaudación del tributo corresponda a la AEAT con motivo de un convenio entre una corporación local y la AEAT</w:t>
      </w:r>
      <w:r w:rsidR="00944822" w:rsidRPr="001048F5">
        <w:rPr>
          <w:rFonts w:ascii="Lucida Bright" w:hAnsi="Lucida Bright"/>
          <w:b/>
          <w:bCs/>
          <w:sz w:val="24"/>
          <w:szCs w:val="24"/>
        </w:rPr>
        <w:t xml:space="preserve"> </w:t>
      </w:r>
      <w:r w:rsidR="00944822" w:rsidRPr="001048F5">
        <w:rPr>
          <w:rFonts w:ascii="Lucida Bright" w:hAnsi="Lucida Bright"/>
          <w:bCs/>
          <w:sz w:val="24"/>
          <w:szCs w:val="24"/>
        </w:rPr>
        <w:t>(vid. SAP de Madrid, sección 28ª, de 25 de octubre de 2024, núm. de recurso 115/2024).</w:t>
      </w:r>
    </w:p>
    <w:p w14:paraId="415586F3" w14:textId="77777777" w:rsidR="00722C22" w:rsidRPr="001048F5" w:rsidRDefault="00722C22" w:rsidP="00FB030D">
      <w:pPr>
        <w:rPr>
          <w:rFonts w:ascii="Lucida Bright" w:hAnsi="Lucida Bright"/>
          <w:sz w:val="24"/>
          <w:szCs w:val="24"/>
        </w:rPr>
      </w:pPr>
    </w:p>
    <w:p w14:paraId="0927000F" w14:textId="77777777" w:rsidR="00220C9E" w:rsidRPr="001048F5" w:rsidRDefault="00944822" w:rsidP="00FB030D">
      <w:pPr>
        <w:rPr>
          <w:rFonts w:ascii="Lucida Bright" w:hAnsi="Lucida Bright"/>
          <w:b/>
          <w:sz w:val="24"/>
          <w:szCs w:val="24"/>
        </w:rPr>
      </w:pPr>
      <w:r w:rsidRPr="001048F5">
        <w:rPr>
          <w:rFonts w:ascii="Lucida Bright" w:hAnsi="Lucida Bright"/>
          <w:b/>
          <w:sz w:val="24"/>
          <w:szCs w:val="24"/>
        </w:rPr>
        <w:t>4</w:t>
      </w:r>
      <w:r w:rsidR="00220C9E" w:rsidRPr="001048F5">
        <w:rPr>
          <w:rFonts w:ascii="Lucida Bright" w:hAnsi="Lucida Bright"/>
          <w:b/>
          <w:sz w:val="24"/>
          <w:szCs w:val="24"/>
        </w:rPr>
        <w:t>. Dudas acerca de la proporcionalidad de la no exoneración de las deudas de crédito público</w:t>
      </w:r>
    </w:p>
    <w:p w14:paraId="3839E284" w14:textId="77777777" w:rsidR="00F930D4" w:rsidRPr="001048F5" w:rsidRDefault="00944822" w:rsidP="00FB030D">
      <w:pPr>
        <w:rPr>
          <w:rFonts w:ascii="Lucida Bright" w:hAnsi="Lucida Bright"/>
          <w:b/>
          <w:sz w:val="24"/>
          <w:szCs w:val="24"/>
        </w:rPr>
      </w:pPr>
      <w:r w:rsidRPr="001048F5">
        <w:rPr>
          <w:rFonts w:ascii="Lucida Bright" w:hAnsi="Lucida Bright"/>
          <w:b/>
          <w:sz w:val="24"/>
          <w:szCs w:val="24"/>
        </w:rPr>
        <w:t>4.1. S</w:t>
      </w:r>
      <w:r w:rsidR="00F930D4" w:rsidRPr="001048F5">
        <w:rPr>
          <w:rFonts w:ascii="Lucida Bright" w:hAnsi="Lucida Bright"/>
          <w:b/>
          <w:sz w:val="24"/>
          <w:szCs w:val="24"/>
        </w:rPr>
        <w:t>obre el posible trato diferenciado entre acreedores institucionales públicos y acreedores del sector privado</w:t>
      </w:r>
    </w:p>
    <w:p w14:paraId="1FB3BC18" w14:textId="77777777" w:rsidR="00220C9E" w:rsidRPr="001048F5" w:rsidRDefault="00220C9E" w:rsidP="00FB030D">
      <w:pPr>
        <w:rPr>
          <w:rFonts w:ascii="Lucida Bright" w:hAnsi="Lucida Bright"/>
          <w:sz w:val="24"/>
          <w:szCs w:val="24"/>
        </w:rPr>
      </w:pPr>
      <w:r w:rsidRPr="001048F5">
        <w:rPr>
          <w:rFonts w:ascii="Lucida Bright" w:hAnsi="Lucida Bright"/>
          <w:sz w:val="24"/>
          <w:szCs w:val="24"/>
        </w:rPr>
        <w:tab/>
        <w:t>Según la STJUE de 8 de mayo de 2024 (asunto C-20/23), “no todos los créditos son de la misma naturaleza ni todos los acreedores tienen la misma condición y el cobro de esos créditos puede tener fines específicos. De este modo, habida cuenta de la naturaleza de los créditos tributarios y de seguridad social y de la finalidad que persigue la recaudación de los impuestos y de las cotizaciones de seguridad social, los E</w:t>
      </w:r>
      <w:r w:rsidR="00967536" w:rsidRPr="001048F5">
        <w:rPr>
          <w:rFonts w:ascii="Lucida Bright" w:hAnsi="Lucida Bright"/>
          <w:sz w:val="24"/>
          <w:szCs w:val="24"/>
        </w:rPr>
        <w:t>stados miemb</w:t>
      </w:r>
      <w:r w:rsidRPr="001048F5">
        <w:rPr>
          <w:rFonts w:ascii="Lucida Bright" w:hAnsi="Lucida Bright"/>
          <w:sz w:val="24"/>
          <w:szCs w:val="24"/>
        </w:rPr>
        <w:t>ros pueden considerar</w:t>
      </w:r>
      <w:r w:rsidR="00967536" w:rsidRPr="001048F5">
        <w:rPr>
          <w:rFonts w:ascii="Lucida Bright" w:hAnsi="Lucida Bright"/>
          <w:sz w:val="24"/>
          <w:szCs w:val="24"/>
        </w:rPr>
        <w:t xml:space="preserve"> legítimamente que los acreedores institucionales públicos no se encuentran, desde el punto de vista del cobro de los créditos en cuestión, en una situación comparable a la de los acreedores del sector comercial o privado. En estas circunstancias, la posibilidad de excluir de la exoneración de deudas créditos tributarios y de seguridad social no equivale a favorecer indebidamente a los acreedores institucionales públicos frente a los demás acreedores que no se benefician de tal exclusión”.</w:t>
      </w:r>
    </w:p>
    <w:p w14:paraId="4D43ABE6" w14:textId="77777777" w:rsidR="00F930D4" w:rsidRPr="001048F5" w:rsidRDefault="00F930D4" w:rsidP="00FB030D">
      <w:pPr>
        <w:rPr>
          <w:rFonts w:ascii="Lucida Bright" w:hAnsi="Lucida Bright"/>
          <w:sz w:val="24"/>
          <w:szCs w:val="24"/>
        </w:rPr>
      </w:pPr>
    </w:p>
    <w:p w14:paraId="382685D3" w14:textId="77777777" w:rsidR="00F930D4" w:rsidRPr="001048F5" w:rsidRDefault="00944822" w:rsidP="00FB030D">
      <w:pPr>
        <w:rPr>
          <w:rFonts w:ascii="Lucida Bright" w:hAnsi="Lucida Bright"/>
          <w:b/>
          <w:bCs/>
          <w:sz w:val="24"/>
          <w:szCs w:val="24"/>
        </w:rPr>
      </w:pPr>
      <w:r w:rsidRPr="001048F5">
        <w:rPr>
          <w:rFonts w:ascii="Lucida Bright" w:hAnsi="Lucida Bright"/>
          <w:b/>
          <w:bCs/>
          <w:sz w:val="24"/>
          <w:szCs w:val="24"/>
        </w:rPr>
        <w:t>4.2.</w:t>
      </w:r>
      <w:r w:rsidR="00F930D4" w:rsidRPr="001048F5">
        <w:rPr>
          <w:rFonts w:ascii="Lucida Bright" w:hAnsi="Lucida Bright"/>
          <w:b/>
          <w:bCs/>
          <w:sz w:val="24"/>
          <w:szCs w:val="24"/>
        </w:rPr>
        <w:t xml:space="preserve"> Sobre el posible trato diferenciado entre deudores empresarios y deudores no empresario</w:t>
      </w:r>
      <w:r w:rsidRPr="001048F5">
        <w:rPr>
          <w:rFonts w:ascii="Lucida Bright" w:hAnsi="Lucida Bright"/>
          <w:b/>
          <w:bCs/>
          <w:sz w:val="24"/>
          <w:szCs w:val="24"/>
        </w:rPr>
        <w:t>s</w:t>
      </w:r>
    </w:p>
    <w:p w14:paraId="38E8BF60" w14:textId="77777777" w:rsidR="00967536" w:rsidRPr="001048F5" w:rsidRDefault="00967536" w:rsidP="00FB030D">
      <w:pPr>
        <w:rPr>
          <w:rFonts w:ascii="Lucida Bright" w:hAnsi="Lucida Bright"/>
          <w:sz w:val="24"/>
          <w:szCs w:val="24"/>
        </w:rPr>
      </w:pPr>
      <w:r w:rsidRPr="001048F5">
        <w:rPr>
          <w:rFonts w:ascii="Lucida Bright" w:hAnsi="Lucida Bright"/>
          <w:sz w:val="24"/>
          <w:szCs w:val="24"/>
        </w:rPr>
        <w:tab/>
        <w:t xml:space="preserve">Pues bien, en la SAP de Córdoba, sección 1ª, de 27 de noviembre de 2024 (núm. de recurso 225/2024), sobre la no exoneración de las deudas de crédito público se indica lo siguiente: partiendo de que el legislador nacional, al transponer la Directiva de reestructuración e insolvencia, no </w:t>
      </w:r>
      <w:r w:rsidRPr="001048F5">
        <w:rPr>
          <w:rFonts w:ascii="Lucida Bright" w:hAnsi="Lucida Bright"/>
          <w:sz w:val="24"/>
          <w:szCs w:val="24"/>
        </w:rPr>
        <w:lastRenderedPageBreak/>
        <w:t>puede ocasionar diferencia de trato entre deudor empresario y no empresario, al haber restringido el acceso a quienes hayan sido sancionados por infracciones tributarias o contra la Seguridad Social y al haber excluido de la exoneración de deudas las relativas al crédito público, se está perjudicando al deudor empresario.</w:t>
      </w:r>
    </w:p>
    <w:p w14:paraId="5402A9E7" w14:textId="77777777" w:rsidR="00967536" w:rsidRPr="001048F5" w:rsidRDefault="00967536" w:rsidP="00FB030D">
      <w:pPr>
        <w:rPr>
          <w:rFonts w:ascii="Lucida Bright" w:hAnsi="Lucida Bright"/>
          <w:sz w:val="24"/>
          <w:szCs w:val="24"/>
        </w:rPr>
      </w:pPr>
      <w:r w:rsidRPr="001048F5">
        <w:rPr>
          <w:rFonts w:ascii="Lucida Bright" w:hAnsi="Lucida Bright"/>
          <w:sz w:val="24"/>
          <w:szCs w:val="24"/>
        </w:rPr>
        <w:tab/>
        <w:t>Esta afirmación, es decir, que la normativa actual perjudica a los deudores empresarios se sustenta en que las limitaciones y excepciones previstas en materia de exoneración de deudas perjudican al deudor empresario que suele tener deudas de crédito público (sanciones por infracciones tributarias, impagos a la Seguridad Social, etc.).</w:t>
      </w:r>
    </w:p>
    <w:p w14:paraId="053CEF91" w14:textId="33888EE5" w:rsidR="00C8023F" w:rsidRPr="001048F5" w:rsidRDefault="00064D7C" w:rsidP="00FB030D">
      <w:pPr>
        <w:rPr>
          <w:rFonts w:ascii="Lucida Bright" w:hAnsi="Lucida Bright"/>
          <w:sz w:val="24"/>
          <w:szCs w:val="24"/>
        </w:rPr>
      </w:pPr>
      <w:r w:rsidRPr="001048F5">
        <w:rPr>
          <w:rFonts w:ascii="Lucida Bright" w:hAnsi="Lucida Bright"/>
          <w:sz w:val="24"/>
          <w:szCs w:val="24"/>
        </w:rPr>
        <w:tab/>
        <w:t xml:space="preserve">De hecho, desde que entró en vigor la Ley 16/2022, los deudores “sin actividad” han superado a los deudores “con actividad” en lo que respecta a la exoneración de deudas. Por ejemplo, </w:t>
      </w:r>
      <w:r w:rsidR="00F930D4" w:rsidRPr="001048F5">
        <w:rPr>
          <w:rFonts w:ascii="Lucida Bright" w:hAnsi="Lucida Bright"/>
          <w:sz w:val="24"/>
          <w:szCs w:val="24"/>
        </w:rPr>
        <w:t xml:space="preserve">de acuerdo con el Consejo General del Poder </w:t>
      </w:r>
      <w:r w:rsidR="00F46298">
        <w:rPr>
          <w:rFonts w:ascii="Lucida Bright" w:hAnsi="Lucida Bright"/>
          <w:sz w:val="24"/>
          <w:szCs w:val="24"/>
        </w:rPr>
        <w:t>Judicial</w:t>
      </w:r>
      <w:r w:rsidR="00F930D4" w:rsidRPr="001048F5">
        <w:rPr>
          <w:rFonts w:ascii="Lucida Bright" w:hAnsi="Lucida Bright"/>
          <w:sz w:val="24"/>
          <w:szCs w:val="24"/>
        </w:rPr>
        <w:t xml:space="preserve">, </w:t>
      </w:r>
      <w:r w:rsidRPr="001048F5">
        <w:rPr>
          <w:rFonts w:ascii="Lucida Bright" w:hAnsi="Lucida Bright"/>
          <w:sz w:val="24"/>
          <w:szCs w:val="24"/>
        </w:rPr>
        <w:t>en el segundo trimestre de 2024, los deudores “sin actividad” que se han beneficiado de la exoneración del pasivo insatisfecho han sido 7.228, mientras que los deudores “con actividad” han sido 996.</w:t>
      </w:r>
      <w:r w:rsidR="00C8023F" w:rsidRPr="001048F5">
        <w:rPr>
          <w:rFonts w:ascii="Lucida Bright" w:hAnsi="Lucida Bright"/>
          <w:sz w:val="24"/>
          <w:szCs w:val="24"/>
        </w:rPr>
        <w:t xml:space="preserve"> </w:t>
      </w:r>
    </w:p>
    <w:p w14:paraId="2298093D" w14:textId="798B45A0" w:rsidR="00FB030D" w:rsidRPr="00F46298" w:rsidRDefault="00C8023F" w:rsidP="00F46298">
      <w:pPr>
        <w:ind w:firstLine="708"/>
        <w:rPr>
          <w:rFonts w:ascii="Lucida Bright" w:hAnsi="Lucida Bright"/>
          <w:sz w:val="24"/>
          <w:szCs w:val="24"/>
        </w:rPr>
      </w:pPr>
      <w:r w:rsidRPr="001048F5">
        <w:rPr>
          <w:rFonts w:ascii="Lucida Bright" w:hAnsi="Lucida Bright"/>
          <w:sz w:val="24"/>
          <w:szCs w:val="24"/>
        </w:rPr>
        <w:t xml:space="preserve">Ciertamente, lo dicho hasta ahora sobre todo pone en tela de juicio la exclusión de la exoneración de deudas de aquellos deudores que hayan sido sancionados en los términos previstos por el art. 487 TRLC, pero igualmente plantea la duda acerca de si la no exoneración de las deudas de crédito público </w:t>
      </w:r>
      <w:r w:rsidR="00F930D4" w:rsidRPr="001048F5">
        <w:rPr>
          <w:rFonts w:ascii="Lucida Bright" w:hAnsi="Lucida Bright"/>
          <w:sz w:val="24"/>
          <w:szCs w:val="24"/>
        </w:rPr>
        <w:t>es</w:t>
      </w:r>
      <w:r w:rsidRPr="001048F5">
        <w:rPr>
          <w:rFonts w:ascii="Lucida Bright" w:hAnsi="Lucida Bright"/>
          <w:sz w:val="24"/>
          <w:szCs w:val="24"/>
        </w:rPr>
        <w:t xml:space="preserve"> conforme a la Directiva de reestructuración e insolvencia, en vista de las consecuencias que derivan de su aplicación.</w:t>
      </w:r>
    </w:p>
    <w:p w14:paraId="3DA71EE2" w14:textId="77777777" w:rsidR="00FB030D" w:rsidRPr="001048F5" w:rsidRDefault="00FB030D" w:rsidP="00FB030D">
      <w:pPr>
        <w:rPr>
          <w:rFonts w:ascii="Lucida Bright" w:hAnsi="Lucida Bright"/>
          <w:b/>
          <w:bCs/>
          <w:sz w:val="24"/>
          <w:szCs w:val="24"/>
        </w:rPr>
      </w:pPr>
    </w:p>
    <w:p w14:paraId="4F58A702" w14:textId="5A974DA9" w:rsidR="00944822" w:rsidRPr="001048F5" w:rsidRDefault="00F46298" w:rsidP="00FB030D">
      <w:pPr>
        <w:rPr>
          <w:rFonts w:ascii="Lucida Bright" w:hAnsi="Lucida Bright"/>
          <w:b/>
          <w:sz w:val="24"/>
          <w:szCs w:val="24"/>
        </w:rPr>
      </w:pPr>
      <w:r>
        <w:rPr>
          <w:rFonts w:ascii="Lucida Bright" w:hAnsi="Lucida Bright"/>
          <w:b/>
          <w:bCs/>
          <w:sz w:val="24"/>
          <w:szCs w:val="24"/>
        </w:rPr>
        <w:t>III</w:t>
      </w:r>
      <w:r w:rsidR="00944822" w:rsidRPr="001048F5">
        <w:rPr>
          <w:rFonts w:ascii="Lucida Bright" w:hAnsi="Lucida Bright"/>
          <w:b/>
          <w:bCs/>
          <w:sz w:val="24"/>
          <w:szCs w:val="24"/>
        </w:rPr>
        <w:t xml:space="preserve">. </w:t>
      </w:r>
      <w:r w:rsidR="0089162F" w:rsidRPr="001048F5">
        <w:rPr>
          <w:rFonts w:ascii="Lucida Bright" w:hAnsi="Lucida Bright"/>
          <w:b/>
          <w:bCs/>
          <w:sz w:val="24"/>
          <w:szCs w:val="24"/>
        </w:rPr>
        <w:t xml:space="preserve"> </w:t>
      </w:r>
      <w:r>
        <w:rPr>
          <w:rFonts w:ascii="Lucida Bright" w:hAnsi="Lucida Bright"/>
          <w:b/>
          <w:sz w:val="24"/>
          <w:szCs w:val="24"/>
        </w:rPr>
        <w:t>E</w:t>
      </w:r>
      <w:r w:rsidR="00944822" w:rsidRPr="001048F5">
        <w:rPr>
          <w:rFonts w:ascii="Lucida Bright" w:hAnsi="Lucida Bright"/>
          <w:b/>
          <w:sz w:val="24"/>
          <w:szCs w:val="24"/>
        </w:rPr>
        <w:t>xonerabilidad de las deudas que derivan de aquellos contratos que incluyan una reserva de dominio, bien a favor del vendedor o bien a favor del financiador</w:t>
      </w:r>
    </w:p>
    <w:p w14:paraId="170BC894" w14:textId="77777777" w:rsidR="0089162F" w:rsidRPr="001048F5" w:rsidRDefault="00944822" w:rsidP="00FB030D">
      <w:pPr>
        <w:rPr>
          <w:rFonts w:ascii="Lucida Bright" w:hAnsi="Lucida Bright"/>
          <w:b/>
          <w:bCs/>
          <w:sz w:val="24"/>
          <w:szCs w:val="24"/>
        </w:rPr>
      </w:pPr>
      <w:r w:rsidRPr="001048F5">
        <w:rPr>
          <w:rFonts w:ascii="Lucida Bright" w:hAnsi="Lucida Bright"/>
          <w:b/>
          <w:bCs/>
          <w:sz w:val="24"/>
          <w:szCs w:val="24"/>
        </w:rPr>
        <w:t>1. Según el art. 489.</w:t>
      </w:r>
      <w:proofErr w:type="gramStart"/>
      <w:r w:rsidRPr="001048F5">
        <w:rPr>
          <w:rFonts w:ascii="Lucida Bright" w:hAnsi="Lucida Bright"/>
          <w:b/>
          <w:bCs/>
          <w:sz w:val="24"/>
          <w:szCs w:val="24"/>
        </w:rPr>
        <w:t>1.8º</w:t>
      </w:r>
      <w:proofErr w:type="gramEnd"/>
      <w:r w:rsidRPr="001048F5">
        <w:rPr>
          <w:rFonts w:ascii="Lucida Bright" w:hAnsi="Lucida Bright"/>
          <w:b/>
          <w:bCs/>
          <w:sz w:val="24"/>
          <w:szCs w:val="24"/>
        </w:rPr>
        <w:t xml:space="preserve"> TRLC: </w:t>
      </w:r>
      <w:r w:rsidRPr="001048F5">
        <w:rPr>
          <w:rFonts w:ascii="Lucida Bright" w:hAnsi="Lucida Bright"/>
          <w:bCs/>
          <w:sz w:val="24"/>
          <w:szCs w:val="24"/>
        </w:rPr>
        <w:t>“</w:t>
      </w:r>
      <w:r w:rsidR="0089162F" w:rsidRPr="001048F5">
        <w:rPr>
          <w:rFonts w:ascii="Lucida Bright" w:hAnsi="Lucida Bright"/>
          <w:bCs/>
          <w:sz w:val="24"/>
          <w:szCs w:val="24"/>
        </w:rPr>
        <w:t>Las deudas con garantía real, sean por principal, intereses o cualquier otro concepto debido, dentro del límite del privilegio especial, calculado conforme a lo establecido en esta ley</w:t>
      </w:r>
      <w:r w:rsidRPr="001048F5">
        <w:rPr>
          <w:rFonts w:ascii="Lucida Bright" w:hAnsi="Lucida Bright"/>
          <w:bCs/>
          <w:sz w:val="24"/>
          <w:szCs w:val="24"/>
        </w:rPr>
        <w:t>”</w:t>
      </w:r>
    </w:p>
    <w:p w14:paraId="3A1A88DE" w14:textId="77777777" w:rsidR="00E649DD" w:rsidRPr="001048F5" w:rsidRDefault="00944822" w:rsidP="00FB030D">
      <w:pPr>
        <w:rPr>
          <w:rFonts w:ascii="Lucida Bright" w:hAnsi="Lucida Bright"/>
          <w:bCs/>
          <w:sz w:val="24"/>
          <w:szCs w:val="24"/>
        </w:rPr>
      </w:pPr>
      <w:r w:rsidRPr="001048F5">
        <w:rPr>
          <w:rFonts w:ascii="Lucida Bright" w:hAnsi="Lucida Bright"/>
          <w:bCs/>
          <w:sz w:val="24"/>
          <w:szCs w:val="24"/>
        </w:rPr>
        <w:tab/>
        <w:t>Así, c</w:t>
      </w:r>
      <w:r w:rsidR="007E3BF7" w:rsidRPr="001048F5">
        <w:rPr>
          <w:rFonts w:ascii="Lucida Bright" w:hAnsi="Lucida Bright"/>
          <w:bCs/>
          <w:sz w:val="24"/>
          <w:szCs w:val="24"/>
        </w:rPr>
        <w:t>uando el deudor mantiene la propiedad del bien que constituye una garantía real sobre una deuda, es decir, cuando nos hallamos ante un supuesto de exoneración del pasivo insatisfecho sin liquidación, las deudas con garantía real no son exonerables siempre que esté dentro del límite del privilegio especial.</w:t>
      </w:r>
    </w:p>
    <w:p w14:paraId="270181D8" w14:textId="77777777" w:rsidR="00944822" w:rsidRPr="001048F5" w:rsidRDefault="00944822" w:rsidP="00FB030D">
      <w:pPr>
        <w:rPr>
          <w:rFonts w:ascii="Lucida Bright" w:hAnsi="Lucida Bright"/>
          <w:bCs/>
          <w:sz w:val="24"/>
          <w:szCs w:val="24"/>
        </w:rPr>
      </w:pPr>
    </w:p>
    <w:p w14:paraId="7FDF0319" w14:textId="77777777" w:rsidR="00E649DD" w:rsidRPr="001048F5" w:rsidRDefault="00E649DD" w:rsidP="00FB030D">
      <w:pPr>
        <w:rPr>
          <w:rFonts w:ascii="Lucida Bright" w:hAnsi="Lucida Bright"/>
          <w:b/>
          <w:bCs/>
          <w:sz w:val="24"/>
          <w:szCs w:val="24"/>
        </w:rPr>
      </w:pPr>
      <w:r w:rsidRPr="001048F5">
        <w:rPr>
          <w:rFonts w:ascii="Lucida Bright" w:hAnsi="Lucida Bright"/>
          <w:b/>
          <w:bCs/>
          <w:sz w:val="24"/>
          <w:szCs w:val="24"/>
        </w:rPr>
        <w:t>2. El supuesto particular de los pactos de reserva de dominio</w:t>
      </w:r>
    </w:p>
    <w:p w14:paraId="2986C8CD" w14:textId="77777777" w:rsidR="00C108F5" w:rsidRPr="001048F5" w:rsidRDefault="0048227D" w:rsidP="00FB030D">
      <w:pPr>
        <w:rPr>
          <w:rFonts w:ascii="Lucida Bright" w:hAnsi="Lucida Bright"/>
          <w:sz w:val="24"/>
          <w:szCs w:val="24"/>
        </w:rPr>
      </w:pPr>
      <w:r w:rsidRPr="001048F5">
        <w:rPr>
          <w:rFonts w:ascii="Lucida Bright" w:hAnsi="Lucida Bright"/>
          <w:sz w:val="24"/>
          <w:szCs w:val="24"/>
        </w:rPr>
        <w:tab/>
        <w:t>En relación con esta excepción se ha planteado ante nuestros tribunales la duda acerca de si las deuda</w:t>
      </w:r>
      <w:r w:rsidR="00A66F8E" w:rsidRPr="001048F5">
        <w:rPr>
          <w:rFonts w:ascii="Lucida Bright" w:hAnsi="Lucida Bright"/>
          <w:sz w:val="24"/>
          <w:szCs w:val="24"/>
        </w:rPr>
        <w:t>s</w:t>
      </w:r>
      <w:r w:rsidRPr="001048F5">
        <w:rPr>
          <w:rFonts w:ascii="Lucida Bright" w:hAnsi="Lucida Bright"/>
          <w:sz w:val="24"/>
          <w:szCs w:val="24"/>
        </w:rPr>
        <w:t xml:space="preserve"> derivada</w:t>
      </w:r>
      <w:r w:rsidR="00A66F8E" w:rsidRPr="001048F5">
        <w:rPr>
          <w:rFonts w:ascii="Lucida Bright" w:hAnsi="Lucida Bright"/>
          <w:sz w:val="24"/>
          <w:szCs w:val="24"/>
        </w:rPr>
        <w:t>s</w:t>
      </w:r>
      <w:r w:rsidRPr="001048F5">
        <w:rPr>
          <w:rFonts w:ascii="Lucida Bright" w:hAnsi="Lucida Bright"/>
          <w:sz w:val="24"/>
          <w:szCs w:val="24"/>
        </w:rPr>
        <w:t xml:space="preserve"> de un contrato de </w:t>
      </w:r>
      <w:r w:rsidRPr="001048F5">
        <w:rPr>
          <w:rFonts w:ascii="Lucida Bright" w:hAnsi="Lucida Bright"/>
          <w:sz w:val="24"/>
          <w:szCs w:val="24"/>
        </w:rPr>
        <w:lastRenderedPageBreak/>
        <w:t xml:space="preserve">compraventa con pacto de reserva de dominio </w:t>
      </w:r>
      <w:r w:rsidR="00A66F8E" w:rsidRPr="001048F5">
        <w:rPr>
          <w:rFonts w:ascii="Lucida Bright" w:hAnsi="Lucida Bright"/>
          <w:sz w:val="24"/>
          <w:szCs w:val="24"/>
        </w:rPr>
        <w:t>se entienden como</w:t>
      </w:r>
      <w:r w:rsidRPr="001048F5">
        <w:rPr>
          <w:rFonts w:ascii="Lucida Bright" w:hAnsi="Lucida Bright"/>
          <w:sz w:val="24"/>
          <w:szCs w:val="24"/>
        </w:rPr>
        <w:t xml:space="preserve"> deuda</w:t>
      </w:r>
      <w:r w:rsidR="00A66F8E" w:rsidRPr="001048F5">
        <w:rPr>
          <w:rFonts w:ascii="Lucida Bright" w:hAnsi="Lucida Bright"/>
          <w:sz w:val="24"/>
          <w:szCs w:val="24"/>
        </w:rPr>
        <w:t>s</w:t>
      </w:r>
      <w:r w:rsidRPr="001048F5">
        <w:rPr>
          <w:rFonts w:ascii="Lucida Bright" w:hAnsi="Lucida Bright"/>
          <w:sz w:val="24"/>
          <w:szCs w:val="24"/>
        </w:rPr>
        <w:t xml:space="preserve"> no exonerable</w:t>
      </w:r>
      <w:r w:rsidR="00A66F8E" w:rsidRPr="001048F5">
        <w:rPr>
          <w:rFonts w:ascii="Lucida Bright" w:hAnsi="Lucida Bright"/>
          <w:sz w:val="24"/>
          <w:szCs w:val="24"/>
        </w:rPr>
        <w:t>s</w:t>
      </w:r>
      <w:r w:rsidRPr="001048F5">
        <w:rPr>
          <w:rFonts w:ascii="Lucida Bright" w:hAnsi="Lucida Bright"/>
          <w:sz w:val="24"/>
          <w:szCs w:val="24"/>
        </w:rPr>
        <w:t xml:space="preserve"> conforme al art. 489.</w:t>
      </w:r>
      <w:proofErr w:type="gramStart"/>
      <w:r w:rsidRPr="001048F5">
        <w:rPr>
          <w:rFonts w:ascii="Lucida Bright" w:hAnsi="Lucida Bright"/>
          <w:sz w:val="24"/>
          <w:szCs w:val="24"/>
        </w:rPr>
        <w:t>1.8º</w:t>
      </w:r>
      <w:proofErr w:type="gramEnd"/>
      <w:r w:rsidRPr="001048F5">
        <w:rPr>
          <w:rFonts w:ascii="Lucida Bright" w:hAnsi="Lucida Bright"/>
          <w:sz w:val="24"/>
          <w:szCs w:val="24"/>
        </w:rPr>
        <w:t xml:space="preserve"> TRLC.</w:t>
      </w:r>
    </w:p>
    <w:p w14:paraId="32D2178C" w14:textId="1A798024" w:rsidR="00944822" w:rsidRPr="001048F5" w:rsidRDefault="0048227D" w:rsidP="00FB030D">
      <w:pPr>
        <w:rPr>
          <w:rFonts w:ascii="Lucida Bright" w:hAnsi="Lucida Bright"/>
          <w:sz w:val="24"/>
          <w:szCs w:val="24"/>
        </w:rPr>
      </w:pPr>
      <w:r w:rsidRPr="001048F5">
        <w:rPr>
          <w:rFonts w:ascii="Lucida Bright" w:hAnsi="Lucida Bright"/>
          <w:sz w:val="24"/>
          <w:szCs w:val="24"/>
        </w:rPr>
        <w:tab/>
        <w:t>Esta duda se justifica en la determinación de la naturaleza jurídica del pacto de reserva de dominio</w:t>
      </w:r>
      <w:r w:rsidR="001048F5" w:rsidRPr="001048F5">
        <w:rPr>
          <w:rFonts w:ascii="Lucida Bright" w:hAnsi="Lucida Bright"/>
          <w:sz w:val="24"/>
          <w:szCs w:val="24"/>
        </w:rPr>
        <w:t xml:space="preserve">, ya que el mismo puede </w:t>
      </w:r>
      <w:r w:rsidRPr="001048F5">
        <w:rPr>
          <w:rFonts w:ascii="Lucida Bright" w:hAnsi="Lucida Bright"/>
          <w:sz w:val="24"/>
          <w:szCs w:val="24"/>
        </w:rPr>
        <w:t>tener la consideración de condición suspensiva, condición resolutoria o como derecho real de garantía</w:t>
      </w:r>
      <w:r w:rsidR="00944822" w:rsidRPr="001048F5">
        <w:rPr>
          <w:rFonts w:ascii="Lucida Bright" w:hAnsi="Lucida Bright"/>
          <w:sz w:val="24"/>
          <w:szCs w:val="24"/>
        </w:rPr>
        <w:t>.</w:t>
      </w:r>
      <w:r w:rsidRPr="001048F5">
        <w:rPr>
          <w:rFonts w:ascii="Lucida Bright" w:hAnsi="Lucida Bright"/>
          <w:sz w:val="24"/>
          <w:szCs w:val="24"/>
        </w:rPr>
        <w:tab/>
      </w:r>
    </w:p>
    <w:p w14:paraId="40DE1CBE" w14:textId="77777777" w:rsidR="00944822" w:rsidRPr="001048F5" w:rsidRDefault="00944822" w:rsidP="00FB030D">
      <w:pPr>
        <w:rPr>
          <w:rFonts w:ascii="Lucida Bright" w:hAnsi="Lucida Bright"/>
          <w:sz w:val="24"/>
          <w:szCs w:val="24"/>
        </w:rPr>
      </w:pPr>
    </w:p>
    <w:p w14:paraId="67758114" w14:textId="5BF6B4FB" w:rsidR="00944822" w:rsidRPr="001048F5" w:rsidRDefault="00944822" w:rsidP="00FB030D">
      <w:pPr>
        <w:rPr>
          <w:rFonts w:ascii="Lucida Bright" w:hAnsi="Lucida Bright"/>
          <w:b/>
          <w:sz w:val="24"/>
          <w:szCs w:val="24"/>
        </w:rPr>
      </w:pPr>
      <w:r w:rsidRPr="001048F5">
        <w:rPr>
          <w:rFonts w:ascii="Lucida Bright" w:hAnsi="Lucida Bright"/>
          <w:b/>
          <w:sz w:val="24"/>
          <w:szCs w:val="24"/>
        </w:rPr>
        <w:t>3. Consideración del pacto de reserva de dominio como condición suspensiva</w:t>
      </w:r>
    </w:p>
    <w:p w14:paraId="0FAAFE2D" w14:textId="16605732" w:rsidR="001048F5" w:rsidRPr="001048F5" w:rsidRDefault="001048F5" w:rsidP="001048F5">
      <w:pPr>
        <w:ind w:firstLine="708"/>
        <w:rPr>
          <w:rFonts w:ascii="Lucida Bright" w:hAnsi="Lucida Bright"/>
          <w:sz w:val="24"/>
          <w:szCs w:val="24"/>
        </w:rPr>
      </w:pPr>
      <w:r w:rsidRPr="001048F5">
        <w:rPr>
          <w:rFonts w:ascii="Lucida Bright" w:hAnsi="Lucida Bright"/>
          <w:sz w:val="24"/>
          <w:szCs w:val="24"/>
        </w:rPr>
        <w:t>Hasta el momento, la postura mayoritaria en nuestra jurisprudencia viene siendo que</w:t>
      </w:r>
      <w:r w:rsidRPr="001048F5">
        <w:rPr>
          <w:rFonts w:ascii="Lucida Bright" w:hAnsi="Lucida Bright"/>
          <w:sz w:val="24"/>
          <w:szCs w:val="24"/>
        </w:rPr>
        <w:t xml:space="preserve"> tales deudas son exonerables ya que la norma se refiere a las deudas con garantía real y no hay consenso en cuanto a la consideración del pacto de reserva de dominio como garantía real (vid., AJM Murcia, sección 2ª, de 3 de mayo de 2024, núm. recurso 79/2024). Es más, en cualquier caso, como dice el AJM de Coruña, sección 1ª, de 9 de octubre de 2023 (núm. de recurso 283/2023) y citando al Prof. Miquel, habría que considerar que la compraventa con pacto de reserva de dominio es una venta sujeta a condición suspensiva de manera que la transmisión del dominio a favor del comprador se producirá cuando éste pague el total del precio; nos hallamos, por tanto, ante un supuesto en el que el comprador es titular de un derecho expectante dotado de protección jurídica en virtud del art. 1211 CC, siendo una condición que depende de que pague el precio, algo que nadie le puede impedir.</w:t>
      </w:r>
    </w:p>
    <w:p w14:paraId="2DE5B6C7" w14:textId="77777777" w:rsidR="001048F5" w:rsidRPr="001048F5" w:rsidRDefault="001048F5" w:rsidP="001048F5">
      <w:pPr>
        <w:rPr>
          <w:rFonts w:ascii="Lucida Bright" w:hAnsi="Lucida Bright"/>
          <w:sz w:val="24"/>
          <w:szCs w:val="24"/>
        </w:rPr>
      </w:pPr>
      <w:r w:rsidRPr="001048F5">
        <w:rPr>
          <w:rFonts w:ascii="Lucida Bright" w:hAnsi="Lucida Bright"/>
          <w:sz w:val="24"/>
          <w:szCs w:val="24"/>
        </w:rPr>
        <w:tab/>
        <w:t xml:space="preserve">No obstante, este razonamiento necesita más concreción ya que queda por resolver qué sucede en relación con el bien sobre el que existe la reserva de dominio. Como se indica en la SAP de Murcia, sección 4ª, de 4 de julio de 2024 (núm. de recurso 809/2023), “[l]a forma de solventar la situación del titular del crédito con privilegio especial derivado de la existencia y registro de la reserva de dominio, es que la exoneración de la deuda no determina que la deudora exonerada adquiera de forma automática la titularidad del vehículo sobre el que pesa la reserva, porque no se ha atendido el pago de la totalidad del importe y porque se vaciaría de contenido la reserva de dominio existente. Pero ello no se articulará a través del art. 490 TRLC en el seno del concurso, como bien dice el recurrente, pues resulta imposible, sino fuera del concurso a través del procedimiento previsto en el art. 250.1.11º LEC, ya que en caso de incumplimiento de la obligación de pago del precio aplazado, el vendedor o el financiador, según proceda, podrían exigir la resolución del contrato a través de esta acción de tutela sumaria que les permitiría obtener la inmediata entrega del bien y recuperar su posesión”. </w:t>
      </w:r>
    </w:p>
    <w:p w14:paraId="60A1AD22" w14:textId="77777777" w:rsidR="001048F5" w:rsidRPr="001048F5" w:rsidRDefault="001048F5" w:rsidP="001048F5">
      <w:pPr>
        <w:rPr>
          <w:rFonts w:ascii="Lucida Bright" w:hAnsi="Lucida Bright"/>
          <w:sz w:val="24"/>
          <w:szCs w:val="24"/>
        </w:rPr>
      </w:pPr>
      <w:r w:rsidRPr="001048F5">
        <w:rPr>
          <w:rFonts w:ascii="Lucida Bright" w:hAnsi="Lucida Bright"/>
          <w:sz w:val="24"/>
          <w:szCs w:val="24"/>
        </w:rPr>
        <w:lastRenderedPageBreak/>
        <w:tab/>
        <w:t>En esta sentencia, al igual que en la SAP de Zaragoza, sección 5ª, de 7 de febrero de 2024 (núm. 123/2024) que se cita, se recurre a la tesis mantenida por la Prof.ª Algaba en cuanto a que, si el dominio se encuentra retenido en manos del vendedor y no se hubiera pagado la totalidad del precio, otra interpretación desanimaría al vendedor a celebrar este tipo de contrato, ya que si la propiedad es del comprador se pone en peligro la garantía frente a la acción de los acreedores del comprador (más o menos misma argumentación que se emplea en el antes citado AJM de Coruña, sección 1ª, de 9 de octubre de 2023).</w:t>
      </w:r>
    </w:p>
    <w:p w14:paraId="4637341E" w14:textId="08FDE85E" w:rsidR="00600B2F" w:rsidRPr="001048F5" w:rsidRDefault="00600B2F" w:rsidP="00FB030D">
      <w:pPr>
        <w:rPr>
          <w:rFonts w:ascii="Lucida Bright" w:hAnsi="Lucida Bright"/>
          <w:sz w:val="24"/>
          <w:szCs w:val="24"/>
        </w:rPr>
      </w:pPr>
    </w:p>
    <w:p w14:paraId="30E0603E" w14:textId="70E0EDFB" w:rsidR="00600B2F" w:rsidRPr="001048F5" w:rsidRDefault="00600B2F" w:rsidP="00600B2F">
      <w:pPr>
        <w:rPr>
          <w:rFonts w:ascii="Lucida Bright" w:hAnsi="Lucida Bright"/>
          <w:b/>
          <w:bCs/>
          <w:sz w:val="24"/>
          <w:szCs w:val="24"/>
        </w:rPr>
      </w:pPr>
      <w:r w:rsidRPr="001048F5">
        <w:rPr>
          <w:rFonts w:ascii="Lucida Bright" w:hAnsi="Lucida Bright"/>
          <w:b/>
          <w:bCs/>
          <w:sz w:val="24"/>
          <w:szCs w:val="24"/>
        </w:rPr>
        <w:t xml:space="preserve">4. Naturaleza jurídica del pacto de reserva de dominio </w:t>
      </w:r>
      <w:r w:rsidR="001048F5" w:rsidRPr="001048F5">
        <w:rPr>
          <w:rFonts w:ascii="Lucida Bright" w:hAnsi="Lucida Bright"/>
          <w:b/>
          <w:bCs/>
          <w:sz w:val="24"/>
          <w:szCs w:val="24"/>
        </w:rPr>
        <w:t>en el Derecho positivo</w:t>
      </w:r>
    </w:p>
    <w:p w14:paraId="21E5BECC" w14:textId="5CCE4E20" w:rsidR="00944822" w:rsidRPr="001048F5" w:rsidRDefault="001048F5" w:rsidP="00600B2F">
      <w:pPr>
        <w:ind w:firstLine="708"/>
        <w:rPr>
          <w:rFonts w:ascii="Lucida Bright" w:hAnsi="Lucida Bright" w:cs="Times New Roman"/>
          <w:sz w:val="24"/>
          <w:szCs w:val="24"/>
        </w:rPr>
      </w:pPr>
      <w:r w:rsidRPr="001048F5">
        <w:rPr>
          <w:rFonts w:ascii="Lucida Bright" w:hAnsi="Lucida Bright" w:cs="Times New Roman"/>
          <w:sz w:val="24"/>
          <w:szCs w:val="24"/>
        </w:rPr>
        <w:t>A pesar de las discusiones doctrinales en torno a la figura del pacto de reserva de dominio y que nuestra jurisprudencia se ha decantado por su consideración como condición suspensiva, merecen especial mención varias referencias a la naturaleza jurídica de dicho pacto en nuestro ordenamiento jurídico.</w:t>
      </w:r>
    </w:p>
    <w:p w14:paraId="05D56C7C" w14:textId="77777777" w:rsidR="00944822" w:rsidRPr="001048F5" w:rsidRDefault="00944822" w:rsidP="00FB030D">
      <w:pPr>
        <w:ind w:firstLine="708"/>
        <w:rPr>
          <w:rFonts w:ascii="Lucida Bright" w:hAnsi="Lucida Bright" w:cs="Times New Roman"/>
          <w:sz w:val="24"/>
          <w:szCs w:val="24"/>
        </w:rPr>
      </w:pPr>
      <w:r w:rsidRPr="001048F5">
        <w:rPr>
          <w:rFonts w:ascii="Lucida Bright" w:hAnsi="Lucida Bright" w:cs="Times New Roman"/>
          <w:sz w:val="24"/>
          <w:szCs w:val="24"/>
        </w:rPr>
        <w:t>Así, en primer lugar, debe estarse a lo previsto en el art. 10 del Reglamento (UE) 2015/848 del Parlamento Europeo y del Consejo, de 20 de mayo de 2015, sobre procedimientos de insolvencia</w:t>
      </w:r>
      <w:r w:rsidR="00FB030D" w:rsidRPr="001048F5">
        <w:rPr>
          <w:rFonts w:ascii="Lucida Bright" w:hAnsi="Lucida Bright" w:cs="Times New Roman"/>
          <w:sz w:val="24"/>
          <w:szCs w:val="24"/>
        </w:rPr>
        <w:t xml:space="preserve">, ya que dice así: “1. La apertura de un procedimiento de insolvencia contra el comprador de un bien no afectará a los derechos del vendedor basados en una reserva de dominio cuando dicho bien se encuentre, en el momento de apertura del procedimiento, en el territorio de un Estado miembro distinto del Estado de apertura del procedimiento. 2. La apertura de un procedimiento de insolvencia contra el vendedor de un bien después de que este haya sido entregado no constituirá una causa de resolución o de rescisión de la compraventa y no impedirá al comprador la adquisición de la propiedad del bien vendido cuando dicho bien se encuentre en el momento de apertura del procedimiento en el territorio de un Estado miembro distinto del Estado de apertura del procedimiento. 3. (…)”. </w:t>
      </w:r>
    </w:p>
    <w:p w14:paraId="67AF7263" w14:textId="77777777" w:rsidR="00FB030D" w:rsidRPr="001048F5" w:rsidRDefault="00944822" w:rsidP="00FB030D">
      <w:pPr>
        <w:rPr>
          <w:rFonts w:ascii="Lucida Bright" w:hAnsi="Lucida Bright" w:cs="Times New Roman"/>
          <w:sz w:val="24"/>
          <w:szCs w:val="24"/>
        </w:rPr>
      </w:pPr>
      <w:r w:rsidRPr="001048F5">
        <w:rPr>
          <w:rFonts w:ascii="Lucida Bright" w:hAnsi="Lucida Bright" w:cs="Times New Roman"/>
          <w:sz w:val="24"/>
          <w:szCs w:val="24"/>
        </w:rPr>
        <w:tab/>
        <w:t xml:space="preserve">En segundo lugar, la consideración del pacto de reserva de dominio como condición suspensiva se deduce a partir de lo establecido en el párrafo tercero del art. 24 de la Orden de 19 de julio de 1999 por la que se aprueba la Ordenanza para el Registro de Venta a Plazos de Bienes Muebles (“ORVPBM”), en tanto que “[s]e presumirá que (…) el favorecido con la reserva de dominio, sea el vendedor o el financiador, tiene la propiedad del bien”. </w:t>
      </w:r>
    </w:p>
    <w:p w14:paraId="50C439A6" w14:textId="77777777" w:rsidR="00FB030D" w:rsidRPr="001048F5" w:rsidRDefault="00944822" w:rsidP="00FB030D">
      <w:pPr>
        <w:ind w:firstLine="708"/>
        <w:rPr>
          <w:rFonts w:ascii="Lucida Bright" w:hAnsi="Lucida Bright" w:cs="Times New Roman"/>
          <w:sz w:val="24"/>
          <w:szCs w:val="24"/>
        </w:rPr>
      </w:pPr>
      <w:r w:rsidRPr="001048F5">
        <w:rPr>
          <w:rFonts w:ascii="Lucida Bright" w:hAnsi="Lucida Bright" w:cs="Times New Roman"/>
          <w:sz w:val="24"/>
          <w:szCs w:val="24"/>
        </w:rPr>
        <w:t xml:space="preserve">En virtud de la parte expositiva de la ORVPBM, el motivo por el cual dicha ordenanza regula cuestiones de naturaleza sustantiva respecto de </w:t>
      </w:r>
      <w:r w:rsidRPr="001048F5">
        <w:rPr>
          <w:rFonts w:ascii="Lucida Bright" w:hAnsi="Lucida Bright" w:cs="Times New Roman"/>
          <w:sz w:val="24"/>
          <w:szCs w:val="24"/>
        </w:rPr>
        <w:lastRenderedPageBreak/>
        <w:t xml:space="preserve">la reserva de dominio es el siguiente: “(…), la Ordenanza, además de recoger actualizada la normativa aplicable al Registro de Venta a Plazos de Bienes Muebles, aclara dudas que se habían suscitado en la práctica registral en determinados extremos”. </w:t>
      </w:r>
    </w:p>
    <w:p w14:paraId="12E46E8C" w14:textId="77777777" w:rsidR="00944822" w:rsidRPr="001048F5" w:rsidRDefault="00944822" w:rsidP="00FB030D">
      <w:pPr>
        <w:ind w:firstLine="708"/>
        <w:rPr>
          <w:rFonts w:ascii="Lucida Bright" w:hAnsi="Lucida Bright" w:cs="Times New Roman"/>
          <w:sz w:val="24"/>
          <w:szCs w:val="24"/>
        </w:rPr>
      </w:pPr>
      <w:r w:rsidRPr="001048F5">
        <w:rPr>
          <w:rFonts w:ascii="Lucida Bright" w:hAnsi="Lucida Bright" w:cs="Times New Roman"/>
          <w:sz w:val="24"/>
          <w:szCs w:val="24"/>
        </w:rPr>
        <w:t xml:space="preserve">Ahora bien, la validez de dicho artículo ha sido puesto en entredicho, ya que, conforme a la Disposición final segunda de la LVPBM, dicha norma habilita al Ministerio de Justicia para la elaboración de disposiciones que regulen la organización y funcionamiento del Registro de Venta a Plazos de Bienes Muebles y no para la regulación sustantiva de la reserva de dominio. De hecho, dicha circunstancia se puso de manifiesto en la Resolución de 23 de octubre de 2002, de la Dirección General de los Registros y del Notariado, en cuanto que “(…) el artículo 24 de la Ordenanza del Registro aprobada por Orden del Ministerio de Justicia de 19 de julio de 1999, pasa ésta, sin claro apoyo en norma de rango legal alguna, a hacer extensiva la presunción a la propiedad de los bienes en favor del vendedor o financiador con reserva de dominio o del arrendador con contrato inscrito (…)”. </w:t>
      </w:r>
    </w:p>
    <w:p w14:paraId="6071B125" w14:textId="77777777" w:rsidR="00944822" w:rsidRPr="001048F5" w:rsidRDefault="00944822" w:rsidP="00FB030D">
      <w:pPr>
        <w:ind w:firstLine="708"/>
        <w:rPr>
          <w:rFonts w:ascii="Lucida Bright" w:hAnsi="Lucida Bright" w:cs="Times New Roman"/>
          <w:sz w:val="24"/>
          <w:szCs w:val="24"/>
        </w:rPr>
      </w:pPr>
      <w:r w:rsidRPr="001048F5">
        <w:rPr>
          <w:rFonts w:ascii="Lucida Bright" w:hAnsi="Lucida Bright" w:cs="Times New Roman"/>
          <w:sz w:val="24"/>
          <w:szCs w:val="24"/>
        </w:rPr>
        <w:t xml:space="preserve">No obstante, tal consideración acerca de la ilegalidad del art. 24 de la Ordenanza para el Registro de Venta a Plazos de Bienes Muebles puede ser rebatida. De este modo, acerca de la posible vulneración del principio de jerarquía normativa del art. 9.3 CE en relación con el art. 128 de la Ley 39/2015, de 1 de octubre, del Procedimiento Administrativo Común de las Administraciones Públicas (en lo sucesivo, “Ley 39/2015”), debe comprobarse si efectivamente se produce tal contravención tanto en un sentido formal </w:t>
      </w:r>
      <w:r w:rsidRPr="001048F5">
        <w:rPr>
          <w:rFonts w:ascii="Lucida Bright" w:hAnsi="Lucida Bright" w:cs="Times New Roman"/>
          <w:sz w:val="24"/>
          <w:szCs w:val="24"/>
        </w:rPr>
        <w:sym w:font="Symbol" w:char="F0BE"/>
      </w:r>
      <w:r w:rsidRPr="001048F5">
        <w:rPr>
          <w:rFonts w:ascii="Lucida Bright" w:hAnsi="Lucida Bright" w:cs="Times New Roman"/>
          <w:sz w:val="24"/>
          <w:szCs w:val="24"/>
        </w:rPr>
        <w:t>por ejemplo, en cuanto los requisitos de competencia o de procedimiento</w:t>
      </w:r>
      <w:r w:rsidRPr="001048F5">
        <w:rPr>
          <w:rFonts w:ascii="Lucida Bright" w:hAnsi="Lucida Bright" w:cs="Times New Roman"/>
          <w:sz w:val="24"/>
          <w:szCs w:val="24"/>
        </w:rPr>
        <w:sym w:font="Symbol" w:char="F0BE"/>
      </w:r>
      <w:r w:rsidRPr="001048F5">
        <w:rPr>
          <w:rFonts w:ascii="Lucida Bright" w:hAnsi="Lucida Bright" w:cs="Times New Roman"/>
          <w:sz w:val="24"/>
          <w:szCs w:val="24"/>
        </w:rPr>
        <w:t xml:space="preserve"> como material </w:t>
      </w:r>
      <w:r w:rsidRPr="001048F5">
        <w:rPr>
          <w:rFonts w:ascii="Lucida Bright" w:hAnsi="Lucida Bright" w:cs="Times New Roman"/>
          <w:sz w:val="24"/>
          <w:szCs w:val="24"/>
        </w:rPr>
        <w:sym w:font="Symbol" w:char="F0BE"/>
      </w:r>
      <w:r w:rsidRPr="001048F5">
        <w:rPr>
          <w:rFonts w:ascii="Lucida Bright" w:hAnsi="Lucida Bright" w:cs="Times New Roman"/>
          <w:sz w:val="24"/>
          <w:szCs w:val="24"/>
        </w:rPr>
        <w:t>es decir, porque el contenido de la norma inferior sea contrario a lo previsto en una norma de rango superior</w:t>
      </w:r>
      <w:r w:rsidRPr="001048F5">
        <w:rPr>
          <w:rFonts w:ascii="Lucida Bright" w:hAnsi="Lucida Bright" w:cs="Times New Roman"/>
          <w:sz w:val="24"/>
          <w:szCs w:val="24"/>
        </w:rPr>
        <w:sym w:font="Symbol" w:char="F0BE"/>
      </w:r>
      <w:r w:rsidRPr="001048F5">
        <w:rPr>
          <w:rFonts w:ascii="Lucida Bright" w:hAnsi="Lucida Bright" w:cs="Times New Roman"/>
          <w:sz w:val="24"/>
          <w:szCs w:val="24"/>
        </w:rPr>
        <w:t>.</w:t>
      </w:r>
    </w:p>
    <w:p w14:paraId="04A5D2CE" w14:textId="77777777" w:rsidR="00944822" w:rsidRPr="001048F5" w:rsidRDefault="00944822" w:rsidP="00FB030D">
      <w:pPr>
        <w:ind w:firstLine="708"/>
        <w:rPr>
          <w:rFonts w:ascii="Lucida Bright" w:hAnsi="Lucida Bright" w:cs="Times New Roman"/>
          <w:sz w:val="24"/>
          <w:szCs w:val="24"/>
        </w:rPr>
      </w:pPr>
      <w:r w:rsidRPr="001048F5">
        <w:rPr>
          <w:rFonts w:ascii="Lucida Bright" w:hAnsi="Lucida Bright" w:cs="Times New Roman"/>
          <w:sz w:val="24"/>
          <w:szCs w:val="24"/>
        </w:rPr>
        <w:t>Pues bien, en relación con el cumplimiento del principio de jerarquía normativa desde una perspectiva material, parece claro que la ORVPBM no se opone a una norma de rango superior dado que en ninguna norma se expresa que la reserva dominio es una modalidad de prenda sin desplazamiento ni tampoco se dice, por ejemplo, que tras la celebración de contratos vinculados en el ámbito del consumo con pacto de reserva de dominio la propiedad se transmite al comprador a pesar de no haber completado el pago. A este respecto, más bien sucede lo contrario, ya que el art. 10 del Reglamento (UE) 2015/848 del Parlamento Europeo y del Consejo, de 20 de mayo de 2015, sobre procedimientos de insolvencia, considera que el vendedor o financiador, en su caso, mantiene la propiedad sobre el bien objeto de la compraventa hasta que no se produzca el pago total del precio por parte del comprador.</w:t>
      </w:r>
    </w:p>
    <w:p w14:paraId="6894CDB3" w14:textId="77777777" w:rsidR="00944822" w:rsidRPr="001048F5" w:rsidRDefault="00FB030D" w:rsidP="00FB030D">
      <w:pPr>
        <w:rPr>
          <w:rFonts w:ascii="Lucida Bright" w:hAnsi="Lucida Bright" w:cs="Times New Roman"/>
          <w:sz w:val="24"/>
          <w:szCs w:val="24"/>
        </w:rPr>
      </w:pPr>
      <w:r w:rsidRPr="001048F5">
        <w:rPr>
          <w:rFonts w:ascii="Lucida Bright" w:hAnsi="Lucida Bright" w:cs="Times New Roman"/>
          <w:sz w:val="24"/>
          <w:szCs w:val="24"/>
        </w:rPr>
        <w:lastRenderedPageBreak/>
        <w:tab/>
        <w:t>Debe tenerse en cuenta que, a</w:t>
      </w:r>
      <w:r w:rsidR="00944822" w:rsidRPr="001048F5">
        <w:rPr>
          <w:rFonts w:ascii="Lucida Bright" w:hAnsi="Lucida Bright" w:cs="Times New Roman"/>
          <w:sz w:val="24"/>
          <w:szCs w:val="24"/>
        </w:rPr>
        <w:t xml:space="preserve">unque las normas reglamentarias son de carácter secundario y de colaboración y, por tanto, no tienen por objeto la regulación de los aspectos de naturaleza sustantiva </w:t>
      </w:r>
      <w:r w:rsidR="00944822" w:rsidRPr="001048F5">
        <w:rPr>
          <w:rFonts w:ascii="Lucida Bright" w:hAnsi="Lucida Bright" w:cs="Times New Roman"/>
          <w:sz w:val="24"/>
          <w:szCs w:val="24"/>
        </w:rPr>
        <w:sym w:font="Symbol" w:char="F0BE"/>
      </w:r>
      <w:r w:rsidR="00944822" w:rsidRPr="001048F5">
        <w:rPr>
          <w:rFonts w:ascii="Lucida Bright" w:hAnsi="Lucida Bright" w:cs="Times New Roman"/>
          <w:sz w:val="24"/>
          <w:szCs w:val="24"/>
        </w:rPr>
        <w:t>pues tal regulación corresponde a la Ley</w:t>
      </w:r>
      <w:r w:rsidR="00944822" w:rsidRPr="001048F5">
        <w:rPr>
          <w:rFonts w:ascii="Lucida Bright" w:hAnsi="Lucida Bright" w:cs="Times New Roman"/>
          <w:sz w:val="24"/>
          <w:szCs w:val="24"/>
        </w:rPr>
        <w:sym w:font="Symbol" w:char="F0BE"/>
      </w:r>
      <w:r w:rsidR="00944822" w:rsidRPr="001048F5">
        <w:rPr>
          <w:rFonts w:ascii="Lucida Bright" w:hAnsi="Lucida Bright" w:cs="Times New Roman"/>
          <w:sz w:val="24"/>
          <w:szCs w:val="24"/>
        </w:rPr>
        <w:t xml:space="preserve">, es doctrina jurisprudencial que “el reglamento ejecutivo, como complemento indispensable de la ley, puede explicitar reglas que en la Ley estén simplemente enunciadas y puede aclarar preceptos de la misma que sean imprecisos, de suerte que el Reglamento puede ir más allá de ser puro ejecutor de la Ley, (…)” </w:t>
      </w:r>
      <w:r w:rsidR="00944822" w:rsidRPr="001048F5">
        <w:rPr>
          <w:rFonts w:ascii="Lucida Bright" w:hAnsi="Lucida Bright" w:cs="Times New Roman"/>
          <w:sz w:val="24"/>
          <w:szCs w:val="24"/>
        </w:rPr>
        <w:sym w:font="Symbol" w:char="F0BE"/>
      </w:r>
      <w:r w:rsidR="00944822" w:rsidRPr="001048F5">
        <w:rPr>
          <w:rFonts w:ascii="Lucida Bright" w:hAnsi="Lucida Bright" w:cs="Times New Roman"/>
          <w:sz w:val="24"/>
          <w:szCs w:val="24"/>
        </w:rPr>
        <w:t>Sentencia del Tribunal Supremo, Sala Tercera, de 9 de febrero (núm. recurso 69/2002)</w:t>
      </w:r>
      <w:r w:rsidR="00944822" w:rsidRPr="001048F5">
        <w:rPr>
          <w:rFonts w:ascii="Lucida Bright" w:hAnsi="Lucida Bright" w:cs="Times New Roman"/>
          <w:sz w:val="24"/>
          <w:szCs w:val="24"/>
        </w:rPr>
        <w:sym w:font="Symbol" w:char="F0BE"/>
      </w:r>
      <w:r w:rsidR="00944822" w:rsidRPr="001048F5">
        <w:rPr>
          <w:rFonts w:ascii="Lucida Bright" w:hAnsi="Lucida Bright" w:cs="Times New Roman"/>
          <w:sz w:val="24"/>
          <w:szCs w:val="24"/>
        </w:rPr>
        <w:t>. En conclusión, en ausencia de un pronunciamiento judicial producto de la aplicación del control de legalidad sobre la ORVPBM, el art. 24 de la ORVPBM no parece vulnerar el principio de jerarquía normativa, sobre todo considerando lo dispuesto en el art. 10 del Reglamento sobre procedimientos de insolvencia, y, por otro lado, el motivo por el cual en la ORVPBM se regulan cuestiones de derecho sustantivo como la naturaleza jurídica de la reserva de domino es el de su necesaria aclaración habida cuenta el silencio de la LVPBM sobre dicha cuestión y los problemas de tipo interpretativo que venían provocando dicho silencio en el ámbito registral.</w:t>
      </w:r>
    </w:p>
    <w:p w14:paraId="2FA433F4" w14:textId="77777777" w:rsidR="00722C22" w:rsidRPr="001048F5" w:rsidRDefault="00FB030D" w:rsidP="00FB030D">
      <w:pPr>
        <w:rPr>
          <w:rFonts w:ascii="Lucida Bright" w:hAnsi="Lucida Bright"/>
          <w:sz w:val="24"/>
          <w:szCs w:val="24"/>
        </w:rPr>
      </w:pPr>
      <w:r w:rsidRPr="001048F5">
        <w:rPr>
          <w:rFonts w:ascii="Lucida Bright" w:hAnsi="Lucida Bright"/>
          <w:sz w:val="24"/>
          <w:szCs w:val="24"/>
        </w:rPr>
        <w:tab/>
        <w:t>En definitiva, las deudas que nos ocupan (aquellas que derivan de un contrato con pacto de reserva de dominio), son deudas exonerables. Esta circunstancia requiere la determinación de las consecuencias de dicha exoneración si el deudor se mantuviese en posesión del bien. La jurisprudencia insta a que se tramite fuera del procedimiento concursal, si bien hay que tener presente las normas relativas a las acciones de recuperación de estos bienes, ya que a estos contratos les son de aplicación las reglas especiales para los procedimientos de ejecución de garantías reales de los arts. 145 y ss. TRLC (así lo dice el art. 150.2º TRLC).</w:t>
      </w:r>
    </w:p>
    <w:sectPr w:rsidR="00722C22" w:rsidRPr="001048F5" w:rsidSect="00F46298">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D6EE4" w14:textId="77777777" w:rsidR="008F421C" w:rsidRDefault="008F421C" w:rsidP="007A130F">
      <w:pPr>
        <w:spacing w:after="0" w:line="240" w:lineRule="auto"/>
      </w:pPr>
      <w:r>
        <w:separator/>
      </w:r>
    </w:p>
  </w:endnote>
  <w:endnote w:type="continuationSeparator" w:id="0">
    <w:p w14:paraId="46C96C33" w14:textId="77777777" w:rsidR="008F421C" w:rsidRDefault="008F421C" w:rsidP="007A13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unga">
    <w:panose1 w:val="020B0502040204020203"/>
    <w:charset w:val="00"/>
    <w:family w:val="swiss"/>
    <w:pitch w:val="variable"/>
    <w:sig w:usb0="004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ucida Bright">
    <w:panose1 w:val="02040602050505020304"/>
    <w:charset w:val="00"/>
    <w:family w:val="roman"/>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168700"/>
      <w:docPartObj>
        <w:docPartGallery w:val="Page Numbers (Bottom of Page)"/>
        <w:docPartUnique/>
      </w:docPartObj>
    </w:sdtPr>
    <w:sdtEndPr>
      <w:rPr>
        <w:rFonts w:ascii="Lucida Bright" w:hAnsi="Lucida Bright"/>
      </w:rPr>
    </w:sdtEndPr>
    <w:sdtContent>
      <w:p w14:paraId="098A93EE" w14:textId="77777777" w:rsidR="007A130F" w:rsidRPr="00F46298" w:rsidRDefault="007A130F">
        <w:pPr>
          <w:pStyle w:val="Piedepgina"/>
          <w:jc w:val="center"/>
          <w:rPr>
            <w:rFonts w:ascii="Lucida Bright" w:hAnsi="Lucida Bright"/>
          </w:rPr>
        </w:pPr>
        <w:r w:rsidRPr="00F46298">
          <w:rPr>
            <w:rFonts w:ascii="Lucida Bright" w:hAnsi="Lucida Bright"/>
          </w:rPr>
          <w:fldChar w:fldCharType="begin"/>
        </w:r>
        <w:r w:rsidRPr="00F46298">
          <w:rPr>
            <w:rFonts w:ascii="Lucida Bright" w:hAnsi="Lucida Bright"/>
          </w:rPr>
          <w:instrText>PAGE   \* MERGEFORMAT</w:instrText>
        </w:r>
        <w:r w:rsidRPr="00F46298">
          <w:rPr>
            <w:rFonts w:ascii="Lucida Bright" w:hAnsi="Lucida Bright"/>
          </w:rPr>
          <w:fldChar w:fldCharType="separate"/>
        </w:r>
        <w:r w:rsidR="00FB030D" w:rsidRPr="00F46298">
          <w:rPr>
            <w:rFonts w:ascii="Lucida Bright" w:hAnsi="Lucida Bright"/>
            <w:noProof/>
          </w:rPr>
          <w:t>9</w:t>
        </w:r>
        <w:r w:rsidRPr="00F46298">
          <w:rPr>
            <w:rFonts w:ascii="Lucida Bright" w:hAnsi="Lucida Bright"/>
          </w:rPr>
          <w:fldChar w:fldCharType="end"/>
        </w:r>
      </w:p>
    </w:sdtContent>
  </w:sdt>
  <w:p w14:paraId="2459CFBA" w14:textId="77777777" w:rsidR="007A130F" w:rsidRDefault="007A130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48079" w14:textId="77777777" w:rsidR="008F421C" w:rsidRDefault="008F421C" w:rsidP="007A130F">
      <w:pPr>
        <w:spacing w:after="0" w:line="240" w:lineRule="auto"/>
      </w:pPr>
      <w:r>
        <w:separator/>
      </w:r>
    </w:p>
  </w:footnote>
  <w:footnote w:type="continuationSeparator" w:id="0">
    <w:p w14:paraId="50963F75" w14:textId="77777777" w:rsidR="008F421C" w:rsidRDefault="008F421C" w:rsidP="007A13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927D6"/>
    <w:multiLevelType w:val="hybridMultilevel"/>
    <w:tmpl w:val="A59495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19B1F85"/>
    <w:multiLevelType w:val="hybridMultilevel"/>
    <w:tmpl w:val="5A0277E6"/>
    <w:lvl w:ilvl="0" w:tplc="21368360">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1C8310F8"/>
    <w:multiLevelType w:val="hybridMultilevel"/>
    <w:tmpl w:val="657E01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2F70C1A"/>
    <w:multiLevelType w:val="hybridMultilevel"/>
    <w:tmpl w:val="54BC05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5B37E53"/>
    <w:multiLevelType w:val="hybridMultilevel"/>
    <w:tmpl w:val="CF629A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5A83764"/>
    <w:multiLevelType w:val="hybridMultilevel"/>
    <w:tmpl w:val="9A3C82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E684FD8"/>
    <w:multiLevelType w:val="hybridMultilevel"/>
    <w:tmpl w:val="6268AC5C"/>
    <w:lvl w:ilvl="0" w:tplc="4020635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 w15:restartNumberingAfterBreak="0">
    <w:nsid w:val="406B199D"/>
    <w:multiLevelType w:val="hybridMultilevel"/>
    <w:tmpl w:val="48AC61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465095A"/>
    <w:multiLevelType w:val="multilevel"/>
    <w:tmpl w:val="277290E6"/>
    <w:lvl w:ilvl="0">
      <w:start w:val="1"/>
      <w:numFmt w:val="upperRoman"/>
      <w:lvlText w:val="%1."/>
      <w:lvlJc w:val="left"/>
      <w:pPr>
        <w:ind w:left="108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9" w15:restartNumberingAfterBreak="0">
    <w:nsid w:val="532213A1"/>
    <w:multiLevelType w:val="hybridMultilevel"/>
    <w:tmpl w:val="2334E3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A583DB7"/>
    <w:multiLevelType w:val="hybridMultilevel"/>
    <w:tmpl w:val="988490A6"/>
    <w:lvl w:ilvl="0" w:tplc="452ADF6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BD35338"/>
    <w:multiLevelType w:val="multilevel"/>
    <w:tmpl w:val="2FB4785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76445B7B"/>
    <w:multiLevelType w:val="hybridMultilevel"/>
    <w:tmpl w:val="0896DA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7233B87"/>
    <w:multiLevelType w:val="multilevel"/>
    <w:tmpl w:val="1F26730E"/>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num w:numId="1" w16cid:durableId="1907764887">
    <w:abstractNumId w:val="8"/>
  </w:num>
  <w:num w:numId="2" w16cid:durableId="305664209">
    <w:abstractNumId w:val="6"/>
  </w:num>
  <w:num w:numId="3" w16cid:durableId="1528329291">
    <w:abstractNumId w:val="9"/>
  </w:num>
  <w:num w:numId="4" w16cid:durableId="1787851262">
    <w:abstractNumId w:val="1"/>
  </w:num>
  <w:num w:numId="5" w16cid:durableId="766773562">
    <w:abstractNumId w:val="11"/>
  </w:num>
  <w:num w:numId="6" w16cid:durableId="462504703">
    <w:abstractNumId w:val="4"/>
  </w:num>
  <w:num w:numId="7" w16cid:durableId="2097826556">
    <w:abstractNumId w:val="5"/>
  </w:num>
  <w:num w:numId="8" w16cid:durableId="2111504546">
    <w:abstractNumId w:val="12"/>
  </w:num>
  <w:num w:numId="9" w16cid:durableId="815076092">
    <w:abstractNumId w:val="13"/>
  </w:num>
  <w:num w:numId="10" w16cid:durableId="1172986579">
    <w:abstractNumId w:val="0"/>
  </w:num>
  <w:num w:numId="11" w16cid:durableId="1464808312">
    <w:abstractNumId w:val="7"/>
  </w:num>
  <w:num w:numId="12" w16cid:durableId="1087767574">
    <w:abstractNumId w:val="2"/>
  </w:num>
  <w:num w:numId="13" w16cid:durableId="1536892028">
    <w:abstractNumId w:val="10"/>
  </w:num>
  <w:num w:numId="14" w16cid:durableId="12462998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B59"/>
    <w:rsid w:val="00010F37"/>
    <w:rsid w:val="00024A79"/>
    <w:rsid w:val="00064D7C"/>
    <w:rsid w:val="00082197"/>
    <w:rsid w:val="00092E98"/>
    <w:rsid w:val="000C36BD"/>
    <w:rsid w:val="000D4152"/>
    <w:rsid w:val="000E6E24"/>
    <w:rsid w:val="00104826"/>
    <w:rsid w:val="001048F5"/>
    <w:rsid w:val="00115F04"/>
    <w:rsid w:val="001350A2"/>
    <w:rsid w:val="00141B59"/>
    <w:rsid w:val="00163028"/>
    <w:rsid w:val="00183722"/>
    <w:rsid w:val="001B6D49"/>
    <w:rsid w:val="00220C9E"/>
    <w:rsid w:val="002A30F8"/>
    <w:rsid w:val="002F51E1"/>
    <w:rsid w:val="00302000"/>
    <w:rsid w:val="0035410D"/>
    <w:rsid w:val="00470193"/>
    <w:rsid w:val="0048227D"/>
    <w:rsid w:val="0053646F"/>
    <w:rsid w:val="005D3E0F"/>
    <w:rsid w:val="005F44C5"/>
    <w:rsid w:val="005F4AA4"/>
    <w:rsid w:val="00600B2F"/>
    <w:rsid w:val="00642056"/>
    <w:rsid w:val="00722C22"/>
    <w:rsid w:val="007470BB"/>
    <w:rsid w:val="007A130F"/>
    <w:rsid w:val="007E3BF7"/>
    <w:rsid w:val="007F4BA9"/>
    <w:rsid w:val="007F54BC"/>
    <w:rsid w:val="007F7E1E"/>
    <w:rsid w:val="008741D0"/>
    <w:rsid w:val="0089162F"/>
    <w:rsid w:val="008F29C2"/>
    <w:rsid w:val="008F421C"/>
    <w:rsid w:val="008F4CBC"/>
    <w:rsid w:val="009154EE"/>
    <w:rsid w:val="00931723"/>
    <w:rsid w:val="00944822"/>
    <w:rsid w:val="009612A4"/>
    <w:rsid w:val="00967536"/>
    <w:rsid w:val="009B1D18"/>
    <w:rsid w:val="009B7F6C"/>
    <w:rsid w:val="00A444F4"/>
    <w:rsid w:val="00A52D23"/>
    <w:rsid w:val="00A66F8E"/>
    <w:rsid w:val="00A67C08"/>
    <w:rsid w:val="00B34A5B"/>
    <w:rsid w:val="00B66DB2"/>
    <w:rsid w:val="00B67D9A"/>
    <w:rsid w:val="00C108F5"/>
    <w:rsid w:val="00C8023F"/>
    <w:rsid w:val="00C87B81"/>
    <w:rsid w:val="00CF2EC3"/>
    <w:rsid w:val="00D71800"/>
    <w:rsid w:val="00D75555"/>
    <w:rsid w:val="00E649DD"/>
    <w:rsid w:val="00E962E8"/>
    <w:rsid w:val="00EC0D6C"/>
    <w:rsid w:val="00EE0FEA"/>
    <w:rsid w:val="00F1145D"/>
    <w:rsid w:val="00F46298"/>
    <w:rsid w:val="00F64B1A"/>
    <w:rsid w:val="00F930D4"/>
    <w:rsid w:val="00FB030D"/>
    <w:rsid w:val="00FF5DE0"/>
  </w:rsids>
  <m:mathPr>
    <m:mathFont m:val="Cambria Math"/>
    <m:brkBin m:val="before"/>
    <m:brkBinSub m:val="--"/>
    <m:smallFrac m:val="0"/>
    <m:dispDef/>
    <m:lMargin m:val="0"/>
    <m:rMargin m:val="0"/>
    <m:defJc m:val="centerGroup"/>
    <m:wrapIndent m:val="1440"/>
    <m:intLim m:val="subSup"/>
    <m:naryLim m:val="undOvr"/>
  </m:mathPr>
  <w:themeFontLang w:val="es-ES" w:eastAsia="ja-JP" w:bidi="k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3CBC5"/>
  <w15:chartTrackingRefBased/>
  <w15:docId w15:val="{09CFD28B-2012-410E-871B-14F16491B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1B59"/>
    <w:pPr>
      <w:spacing w:after="120" w:line="276" w:lineRule="auto"/>
      <w:jc w:val="both"/>
    </w:pPr>
    <w:rPr>
      <w:rFonts w:ascii="Times New Roman" w:hAnsi="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1B59"/>
    <w:pPr>
      <w:ind w:left="720"/>
      <w:contextualSpacing/>
    </w:pPr>
  </w:style>
  <w:style w:type="paragraph" w:styleId="Encabezado">
    <w:name w:val="header"/>
    <w:basedOn w:val="Normal"/>
    <w:link w:val="EncabezadoCar"/>
    <w:uiPriority w:val="99"/>
    <w:unhideWhenUsed/>
    <w:rsid w:val="007A130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A130F"/>
    <w:rPr>
      <w:rFonts w:ascii="Times New Roman" w:hAnsi="Times New Roman"/>
    </w:rPr>
  </w:style>
  <w:style w:type="paragraph" w:styleId="Piedepgina">
    <w:name w:val="footer"/>
    <w:basedOn w:val="Normal"/>
    <w:link w:val="PiedepginaCar"/>
    <w:uiPriority w:val="99"/>
    <w:unhideWhenUsed/>
    <w:rsid w:val="007A130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A130F"/>
    <w:rPr>
      <w:rFonts w:ascii="Times New Roman" w:hAnsi="Times New Roman"/>
    </w:rPr>
  </w:style>
  <w:style w:type="paragraph" w:styleId="Textonotapie">
    <w:name w:val="footnote text"/>
    <w:basedOn w:val="Normal"/>
    <w:link w:val="TextonotapieCar"/>
    <w:uiPriority w:val="99"/>
    <w:semiHidden/>
    <w:unhideWhenUsed/>
    <w:rsid w:val="009B7F6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B7F6C"/>
    <w:rPr>
      <w:rFonts w:ascii="Times New Roman" w:hAnsi="Times New Roman"/>
      <w:sz w:val="20"/>
      <w:szCs w:val="20"/>
    </w:rPr>
  </w:style>
  <w:style w:type="character" w:styleId="Refdenotaalpie">
    <w:name w:val="footnote reference"/>
    <w:basedOn w:val="Fuentedeprrafopredeter"/>
    <w:uiPriority w:val="99"/>
    <w:semiHidden/>
    <w:unhideWhenUsed/>
    <w:rsid w:val="009B7F6C"/>
    <w:rPr>
      <w:vertAlign w:val="superscript"/>
    </w:rPr>
  </w:style>
  <w:style w:type="paragraph" w:customStyle="1" w:styleId="parrafo">
    <w:name w:val="parrafo"/>
    <w:basedOn w:val="Normal"/>
    <w:rsid w:val="008F29C2"/>
    <w:pPr>
      <w:spacing w:before="100" w:beforeAutospacing="1" w:after="100" w:afterAutospacing="1" w:line="240" w:lineRule="auto"/>
      <w:jc w:val="left"/>
    </w:pPr>
    <w:rPr>
      <w:rFonts w:cs="Times New Roman"/>
      <w:sz w:val="24"/>
      <w:szCs w:val="24"/>
      <w:lang w:val="es-ES_tradnl" w:eastAsia="ko-KR"/>
    </w:rPr>
  </w:style>
  <w:style w:type="paragraph" w:styleId="Textodeglobo">
    <w:name w:val="Balloon Text"/>
    <w:basedOn w:val="Normal"/>
    <w:link w:val="TextodegloboCar"/>
    <w:uiPriority w:val="99"/>
    <w:semiHidden/>
    <w:unhideWhenUsed/>
    <w:rsid w:val="005F44C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F44C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DBCB93-4BD4-4290-81A7-0BE2D2625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699</TotalTime>
  <Pages>8</Pages>
  <Words>2919</Words>
  <Characters>16060</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18942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UMA</dc:creator>
  <cp:keywords/>
  <dc:description/>
  <cp:lastModifiedBy>Maria Isabel Dominguez Yamasaki</cp:lastModifiedBy>
  <cp:revision>27</cp:revision>
  <cp:lastPrinted>2025-05-15T12:10:00Z</cp:lastPrinted>
  <dcterms:created xsi:type="dcterms:W3CDTF">2024-09-11T08:20:00Z</dcterms:created>
  <dcterms:modified xsi:type="dcterms:W3CDTF">2025-10-09T15:34:00Z</dcterms:modified>
</cp:coreProperties>
</file>