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CD" w:rsidRDefault="007413CD" w:rsidP="006B36E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Papel del HPR como molécula señal </w:t>
      </w:r>
      <w:r w:rsidR="00F7758E">
        <w:rPr>
          <w:b/>
          <w:bCs/>
        </w:rPr>
        <w:t>en</w:t>
      </w:r>
      <w:r>
        <w:rPr>
          <w:b/>
          <w:bCs/>
        </w:rPr>
        <w:t xml:space="preserve"> las interacciones multitrófica</w:t>
      </w:r>
      <w:r w:rsidR="008B0BFB">
        <w:rPr>
          <w:b/>
          <w:bCs/>
        </w:rPr>
        <w:t>s</w:t>
      </w:r>
    </w:p>
    <w:p w:rsidR="00C53DE0" w:rsidRDefault="00C53DE0" w:rsidP="00C53DE0">
      <w:pPr>
        <w:pStyle w:val="p2"/>
        <w:jc w:val="center"/>
        <w:rPr>
          <w:bCs/>
          <w:sz w:val="20"/>
          <w:szCs w:val="20"/>
        </w:rPr>
      </w:pPr>
      <w:r w:rsidRPr="007F1AF8">
        <w:rPr>
          <w:bCs/>
          <w:sz w:val="20"/>
          <w:szCs w:val="20"/>
          <w:u w:val="single"/>
        </w:rPr>
        <w:t xml:space="preserve">S. </w:t>
      </w:r>
      <w:proofErr w:type="gramStart"/>
      <w:r w:rsidRPr="007F1AF8">
        <w:rPr>
          <w:bCs/>
          <w:sz w:val="20"/>
          <w:szCs w:val="20"/>
          <w:u w:val="single"/>
        </w:rPr>
        <w:t>Tienda</w:t>
      </w:r>
      <w:r>
        <w:rPr>
          <w:bCs/>
          <w:sz w:val="20"/>
          <w:szCs w:val="20"/>
        </w:rPr>
        <w:t xml:space="preserve"> ,</w:t>
      </w:r>
      <w:proofErr w:type="gramEnd"/>
      <w:r>
        <w:rPr>
          <w:bCs/>
          <w:sz w:val="20"/>
          <w:szCs w:val="20"/>
        </w:rPr>
        <w:t xml:space="preserve"> C. Vida, E. Arrebola, A. de. Vicente y  F.M</w:t>
      </w:r>
      <w:r w:rsidRPr="00BD6F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Cazorla</w:t>
      </w:r>
    </w:p>
    <w:p w:rsidR="00C53DE0" w:rsidRPr="00BD6F0F" w:rsidRDefault="00C53DE0" w:rsidP="00C53DE0">
      <w:pPr>
        <w:pStyle w:val="p2"/>
        <w:jc w:val="center"/>
        <w:rPr>
          <w:sz w:val="20"/>
          <w:szCs w:val="20"/>
          <w:vertAlign w:val="superscript"/>
        </w:rPr>
      </w:pPr>
    </w:p>
    <w:p w:rsidR="00C53DE0" w:rsidRDefault="00C53DE0" w:rsidP="00C53DE0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</w:pPr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Instituto de Horticultura Subtropical y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Mediterránea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 "La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Mayora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",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Consejo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 Superior de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Investigaciones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 Científicas (IHSM-UMA-CSIC), Departamento de Microbiología, Facultad de Ciencias,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Universidad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 de Málaga. Campus de </w:t>
      </w:r>
      <w:proofErr w:type="spellStart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>Teatinos</w:t>
      </w:r>
      <w:proofErr w:type="spellEnd"/>
      <w:r w:rsidRPr="003F419F"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  <w:t xml:space="preserve"> s/n, 29071 Málaga, España.</w:t>
      </w:r>
    </w:p>
    <w:p w:rsidR="00C53DE0" w:rsidRDefault="00C53DE0" w:rsidP="00C53DE0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</w:pPr>
    </w:p>
    <w:p w:rsidR="006B36E4" w:rsidRDefault="00C53DE0" w:rsidP="00C53DE0">
      <w:pPr>
        <w:jc w:val="center"/>
        <w:rPr>
          <w:rFonts w:ascii="Times New Roman" w:hAnsi="Times New Roman" w:cs="Times New Roman"/>
          <w:i/>
          <w:iCs/>
          <w:sz w:val="20"/>
          <w:szCs w:val="20"/>
          <w:lang w:eastAsia="es-ES_tradnl"/>
        </w:rPr>
      </w:pPr>
      <w:r w:rsidRPr="003F419F">
        <w:rPr>
          <w:rFonts w:ascii="Times New Roman" w:hAnsi="Times New Roman" w:cs="Times New Roman"/>
          <w:i/>
          <w:iCs/>
          <w:sz w:val="20"/>
          <w:szCs w:val="20"/>
          <w:lang w:eastAsia="es-ES_tradnl"/>
        </w:rPr>
        <w:t>E-mail: sandratienda@uma.es</w:t>
      </w:r>
    </w:p>
    <w:p w:rsidR="00C53DE0" w:rsidRPr="00C53DE0" w:rsidRDefault="00C53DE0" w:rsidP="00C53DE0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t-BR" w:eastAsia="es-ES_tradnl"/>
        </w:rPr>
      </w:pPr>
    </w:p>
    <w:p w:rsidR="002C170B" w:rsidRDefault="006B36E4" w:rsidP="006B36E4">
      <w:pPr>
        <w:pStyle w:val="p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C05C8">
        <w:rPr>
          <w:rFonts w:asciiTheme="minorHAnsi" w:hAnsiTheme="minorHAnsi" w:cstheme="minorHAnsi"/>
          <w:i/>
          <w:sz w:val="24"/>
          <w:szCs w:val="24"/>
        </w:rPr>
        <w:t>Pseudomonas</w:t>
      </w:r>
      <w:r w:rsidR="008B0BF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C05C8">
        <w:rPr>
          <w:rFonts w:asciiTheme="minorHAnsi" w:hAnsiTheme="minorHAnsi" w:cstheme="minorHAnsi"/>
          <w:i/>
          <w:sz w:val="24"/>
          <w:szCs w:val="24"/>
        </w:rPr>
        <w:t>chlororaphi</w:t>
      </w:r>
      <w:r w:rsidR="00837656">
        <w:rPr>
          <w:rFonts w:asciiTheme="minorHAnsi" w:hAnsiTheme="minorHAnsi" w:cstheme="minorHAnsi"/>
          <w:i/>
          <w:sz w:val="24"/>
          <w:szCs w:val="24"/>
        </w:rPr>
        <w:t>s</w:t>
      </w:r>
      <w:r w:rsidR="00837656">
        <w:rPr>
          <w:rFonts w:asciiTheme="minorHAnsi" w:hAnsiTheme="minorHAnsi" w:cstheme="minorHAnsi"/>
          <w:sz w:val="24"/>
          <w:szCs w:val="24"/>
        </w:rPr>
        <w:t xml:space="preserve"> </w:t>
      </w:r>
      <w:r w:rsidRPr="00BC05C8">
        <w:rPr>
          <w:rFonts w:asciiTheme="minorHAnsi" w:hAnsiTheme="minorHAnsi" w:cstheme="minorHAnsi"/>
          <w:sz w:val="24"/>
          <w:szCs w:val="24"/>
        </w:rPr>
        <w:t xml:space="preserve">PCL1606 es una </w:t>
      </w:r>
      <w:proofErr w:type="spellStart"/>
      <w:r w:rsidRPr="00BC05C8">
        <w:rPr>
          <w:rFonts w:asciiTheme="minorHAnsi" w:hAnsiTheme="minorHAnsi" w:cstheme="minorHAnsi"/>
          <w:sz w:val="24"/>
          <w:szCs w:val="24"/>
        </w:rPr>
        <w:t>rizobacteria</w:t>
      </w:r>
      <w:proofErr w:type="spellEnd"/>
      <w:r w:rsidR="007413CD">
        <w:rPr>
          <w:rFonts w:asciiTheme="minorHAnsi" w:hAnsiTheme="minorHAnsi" w:cstheme="minorHAnsi"/>
          <w:sz w:val="24"/>
          <w:szCs w:val="24"/>
        </w:rPr>
        <w:t xml:space="preserve"> aislada de </w:t>
      </w:r>
      <w:r w:rsidR="00C53DE0">
        <w:rPr>
          <w:rFonts w:asciiTheme="minorHAnsi" w:hAnsiTheme="minorHAnsi" w:cstheme="minorHAnsi"/>
          <w:sz w:val="24"/>
          <w:szCs w:val="24"/>
        </w:rPr>
        <w:t>arboles</w:t>
      </w:r>
      <w:r w:rsidR="002C170B">
        <w:rPr>
          <w:rFonts w:asciiTheme="minorHAnsi" w:hAnsiTheme="minorHAnsi" w:cstheme="minorHAnsi"/>
          <w:sz w:val="24"/>
          <w:szCs w:val="24"/>
        </w:rPr>
        <w:t xml:space="preserve"> sanos</w:t>
      </w:r>
      <w:r w:rsidR="00C53DE0">
        <w:rPr>
          <w:rFonts w:asciiTheme="minorHAnsi" w:hAnsiTheme="minorHAnsi" w:cstheme="minorHAnsi"/>
          <w:sz w:val="24"/>
          <w:szCs w:val="24"/>
        </w:rPr>
        <w:t xml:space="preserve"> de </w:t>
      </w:r>
      <w:r w:rsidR="007413CD">
        <w:rPr>
          <w:rFonts w:asciiTheme="minorHAnsi" w:hAnsiTheme="minorHAnsi" w:cstheme="minorHAnsi"/>
          <w:sz w:val="24"/>
          <w:szCs w:val="24"/>
        </w:rPr>
        <w:t>aguacate</w:t>
      </w:r>
      <w:r w:rsidR="00C53DE0">
        <w:rPr>
          <w:rFonts w:asciiTheme="minorHAnsi" w:hAnsiTheme="minorHAnsi" w:cstheme="minorHAnsi"/>
          <w:sz w:val="24"/>
          <w:szCs w:val="24"/>
        </w:rPr>
        <w:t xml:space="preserve"> localizados en fincas afectada</w:t>
      </w:r>
      <w:r w:rsidR="007413CD">
        <w:rPr>
          <w:rFonts w:asciiTheme="minorHAnsi" w:hAnsiTheme="minorHAnsi" w:cstheme="minorHAnsi"/>
          <w:sz w:val="24"/>
          <w:szCs w:val="24"/>
        </w:rPr>
        <w:t xml:space="preserve">s de </w:t>
      </w:r>
      <w:r w:rsidR="00C53DE0">
        <w:rPr>
          <w:rFonts w:asciiTheme="minorHAnsi" w:hAnsiTheme="minorHAnsi" w:cstheme="minorHAnsi"/>
          <w:sz w:val="24"/>
          <w:szCs w:val="24"/>
        </w:rPr>
        <w:t xml:space="preserve">podredumbre blanca radicular, </w:t>
      </w:r>
      <w:r w:rsidR="00837656">
        <w:rPr>
          <w:rFonts w:asciiTheme="minorHAnsi" w:hAnsiTheme="minorHAnsi" w:cstheme="minorHAnsi"/>
          <w:sz w:val="24"/>
          <w:szCs w:val="24"/>
        </w:rPr>
        <w:t xml:space="preserve">enfermedad </w:t>
      </w:r>
      <w:r w:rsidR="00C53DE0">
        <w:rPr>
          <w:rFonts w:asciiTheme="minorHAnsi" w:hAnsiTheme="minorHAnsi" w:cstheme="minorHAnsi"/>
          <w:sz w:val="24"/>
          <w:szCs w:val="24"/>
        </w:rPr>
        <w:t xml:space="preserve">causada por </w:t>
      </w:r>
      <w:r w:rsidR="00C53DE0" w:rsidRPr="00C53DE0">
        <w:rPr>
          <w:rFonts w:asciiTheme="minorHAnsi" w:hAnsiTheme="minorHAnsi" w:cstheme="minorHAnsi"/>
          <w:i/>
          <w:sz w:val="24"/>
          <w:szCs w:val="24"/>
        </w:rPr>
        <w:t>Rosellinia ne</w:t>
      </w:r>
      <w:r w:rsidR="002C170B">
        <w:rPr>
          <w:rFonts w:asciiTheme="minorHAnsi" w:hAnsiTheme="minorHAnsi" w:cstheme="minorHAnsi"/>
          <w:i/>
          <w:sz w:val="24"/>
          <w:szCs w:val="24"/>
        </w:rPr>
        <w:t>c</w:t>
      </w:r>
      <w:r w:rsidR="00C53DE0" w:rsidRPr="00C53DE0">
        <w:rPr>
          <w:rFonts w:asciiTheme="minorHAnsi" w:hAnsiTheme="minorHAnsi" w:cstheme="minorHAnsi"/>
          <w:i/>
          <w:sz w:val="24"/>
          <w:szCs w:val="24"/>
        </w:rPr>
        <w:t>atrix</w:t>
      </w:r>
      <w:r w:rsidR="00C53DE0">
        <w:rPr>
          <w:rFonts w:asciiTheme="minorHAnsi" w:hAnsiTheme="minorHAnsi" w:cstheme="minorHAnsi"/>
          <w:sz w:val="24"/>
          <w:szCs w:val="24"/>
        </w:rPr>
        <w:t>.</w:t>
      </w:r>
      <w:r w:rsidR="00837656">
        <w:rPr>
          <w:rFonts w:asciiTheme="minorHAnsi" w:hAnsiTheme="minorHAnsi" w:cstheme="minorHAnsi"/>
          <w:sz w:val="24"/>
          <w:szCs w:val="24"/>
        </w:rPr>
        <w:t xml:space="preserve"> PCL1606</w:t>
      </w:r>
      <w:r w:rsidR="008B0BFB">
        <w:rPr>
          <w:rFonts w:asciiTheme="minorHAnsi" w:hAnsiTheme="minorHAnsi" w:cstheme="minorHAnsi"/>
          <w:sz w:val="24"/>
          <w:szCs w:val="24"/>
        </w:rPr>
        <w:t xml:space="preserve"> </w:t>
      </w:r>
      <w:r w:rsidRPr="00BC05C8">
        <w:rPr>
          <w:rFonts w:asciiTheme="minorHAnsi" w:hAnsiTheme="minorHAnsi" w:cstheme="minorHAnsi"/>
          <w:sz w:val="24"/>
          <w:szCs w:val="24"/>
        </w:rPr>
        <w:t xml:space="preserve">muestra capacidad antagonista y de biocontrol frente a diferentes hongos fitopatógenos de suelo, </w:t>
      </w:r>
      <w:r w:rsidR="00510DAC">
        <w:rPr>
          <w:rFonts w:asciiTheme="minorHAnsi" w:hAnsiTheme="minorHAnsi" w:cstheme="minorHAnsi"/>
          <w:sz w:val="24"/>
          <w:szCs w:val="24"/>
        </w:rPr>
        <w:t xml:space="preserve">mediada por la producción de un compuesto </w:t>
      </w:r>
      <w:r w:rsidRPr="00BC05C8">
        <w:rPr>
          <w:rFonts w:asciiTheme="minorHAnsi" w:hAnsiTheme="minorHAnsi" w:cstheme="minorHAnsi"/>
          <w:bCs/>
          <w:iCs/>
          <w:sz w:val="24"/>
          <w:szCs w:val="24"/>
        </w:rPr>
        <w:t>antifúngico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 denominado</w:t>
      </w:r>
      <w:r w:rsidRPr="00BC05C8">
        <w:rPr>
          <w:rFonts w:asciiTheme="minorHAnsi" w:hAnsiTheme="minorHAnsi" w:cstheme="minorHAnsi"/>
          <w:bCs/>
          <w:iCs/>
          <w:sz w:val="24"/>
          <w:szCs w:val="24"/>
        </w:rPr>
        <w:t xml:space="preserve"> 2 </w:t>
      </w:r>
      <w:proofErr w:type="spellStart"/>
      <w:r w:rsidRPr="00BC05C8">
        <w:rPr>
          <w:rFonts w:asciiTheme="minorHAnsi" w:hAnsiTheme="minorHAnsi" w:cstheme="minorHAnsi"/>
          <w:bCs/>
          <w:iCs/>
          <w:sz w:val="24"/>
          <w:szCs w:val="24"/>
        </w:rPr>
        <w:t>hexil</w:t>
      </w:r>
      <w:proofErr w:type="spellEnd"/>
      <w:r w:rsidRPr="00BC05C8">
        <w:rPr>
          <w:rFonts w:asciiTheme="minorHAnsi" w:hAnsiTheme="minorHAnsi" w:cstheme="minorHAnsi"/>
          <w:bCs/>
          <w:iCs/>
          <w:sz w:val="24"/>
          <w:szCs w:val="24"/>
        </w:rPr>
        <w:t xml:space="preserve">, 5 </w:t>
      </w:r>
      <w:proofErr w:type="spellStart"/>
      <w:r w:rsidRPr="00BC05C8">
        <w:rPr>
          <w:rFonts w:asciiTheme="minorHAnsi" w:hAnsiTheme="minorHAnsi" w:cstheme="minorHAnsi"/>
          <w:bCs/>
          <w:iCs/>
          <w:sz w:val="24"/>
          <w:szCs w:val="24"/>
        </w:rPr>
        <w:t>propil</w:t>
      </w:r>
      <w:proofErr w:type="spellEnd"/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C05C8">
        <w:rPr>
          <w:rFonts w:asciiTheme="minorHAnsi" w:hAnsiTheme="minorHAnsi" w:cstheme="minorHAnsi"/>
          <w:bCs/>
          <w:iCs/>
          <w:sz w:val="24"/>
          <w:szCs w:val="24"/>
        </w:rPr>
        <w:t>resorcinol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r w:rsidRPr="00BC05C8">
        <w:rPr>
          <w:rFonts w:asciiTheme="minorHAnsi" w:hAnsiTheme="minorHAnsi" w:cstheme="minorHAnsi"/>
          <w:bCs/>
          <w:iCs/>
          <w:sz w:val="24"/>
          <w:szCs w:val="24"/>
        </w:rPr>
        <w:t>HPR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>el cual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resulta crucial</w:t>
      </w:r>
      <w:r w:rsidR="00DF126C">
        <w:rPr>
          <w:rFonts w:asciiTheme="minorHAnsi" w:hAnsiTheme="minorHAnsi" w:cstheme="minorHAnsi"/>
          <w:bCs/>
          <w:iCs/>
          <w:sz w:val="24"/>
          <w:szCs w:val="24"/>
        </w:rPr>
        <w:t xml:space="preserve"> para 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>la actividad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>antagonista y de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C05C8">
        <w:rPr>
          <w:rFonts w:asciiTheme="minorHAnsi" w:hAnsiTheme="minorHAnsi" w:cstheme="minorHAnsi"/>
          <w:bCs/>
          <w:iCs/>
          <w:sz w:val="24"/>
          <w:szCs w:val="24"/>
        </w:rPr>
        <w:t>biocontrol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característica de esta cepa. Además se ha </w:t>
      </w:r>
      <w:r w:rsidR="002C170B">
        <w:rPr>
          <w:rFonts w:asciiTheme="minorHAnsi" w:hAnsiTheme="minorHAnsi" w:cstheme="minorHAnsi"/>
          <w:bCs/>
          <w:iCs/>
          <w:sz w:val="24"/>
          <w:szCs w:val="24"/>
        </w:rPr>
        <w:t>comprobado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 que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 xml:space="preserve"> el HPR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 también 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influye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 en los procesos de </w:t>
      </w:r>
      <w:r w:rsidR="00DC266A">
        <w:rPr>
          <w:rFonts w:asciiTheme="minorHAnsi" w:hAnsiTheme="minorHAnsi" w:cstheme="minorHAnsi"/>
          <w:bCs/>
          <w:iCs/>
          <w:sz w:val="24"/>
          <w:szCs w:val="24"/>
        </w:rPr>
        <w:t xml:space="preserve">colonización de </w:t>
      </w:r>
      <w:r w:rsidR="00837628">
        <w:rPr>
          <w:rFonts w:asciiTheme="minorHAnsi" w:hAnsiTheme="minorHAnsi" w:cstheme="minorHAnsi"/>
          <w:bCs/>
          <w:iCs/>
          <w:sz w:val="24"/>
          <w:szCs w:val="24"/>
        </w:rPr>
        <w:t>PCL1606</w:t>
      </w:r>
      <w:r w:rsidR="00E87A85">
        <w:rPr>
          <w:rFonts w:asciiTheme="minorHAnsi" w:hAnsiTheme="minorHAnsi" w:cstheme="minorHAnsi"/>
          <w:bCs/>
          <w:iCs/>
          <w:sz w:val="24"/>
          <w:szCs w:val="24"/>
        </w:rPr>
        <w:t xml:space="preserve"> en la raíz de aguacate</w:t>
      </w:r>
      <w:r w:rsidR="002C170B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BA618D" w:rsidRDefault="00510DAC" w:rsidP="006B36E4">
      <w:pPr>
        <w:pStyle w:val="p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BA4921">
        <w:rPr>
          <w:rFonts w:asciiTheme="minorHAnsi" w:hAnsiTheme="minorHAnsi" w:cstheme="minorHAnsi"/>
          <w:bCs/>
          <w:iCs/>
          <w:sz w:val="24"/>
          <w:szCs w:val="24"/>
        </w:rPr>
        <w:t>studios</w:t>
      </w:r>
      <w:r w:rsidR="002C170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recientes </w:t>
      </w:r>
      <w:r w:rsidR="008B0BFB">
        <w:rPr>
          <w:rFonts w:asciiTheme="minorHAnsi" w:hAnsiTheme="minorHAnsi" w:cstheme="minorHAnsi"/>
          <w:bCs/>
          <w:iCs/>
          <w:sz w:val="24"/>
          <w:szCs w:val="24"/>
        </w:rPr>
        <w:t xml:space="preserve">han demostrado que los </w:t>
      </w:r>
      <w:proofErr w:type="spellStart"/>
      <w:r w:rsidR="008B0BFB">
        <w:rPr>
          <w:rFonts w:asciiTheme="minorHAnsi" w:hAnsiTheme="minorHAnsi" w:cstheme="minorHAnsi"/>
          <w:bCs/>
          <w:iCs/>
          <w:sz w:val="24"/>
          <w:szCs w:val="24"/>
        </w:rPr>
        <w:t>resor</w:t>
      </w:r>
      <w:r w:rsidR="00BA618D">
        <w:rPr>
          <w:rFonts w:asciiTheme="minorHAnsi" w:hAnsiTheme="minorHAnsi" w:cstheme="minorHAnsi"/>
          <w:bCs/>
          <w:iCs/>
          <w:sz w:val="24"/>
          <w:szCs w:val="24"/>
        </w:rPr>
        <w:t>cinoles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7404B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>a los que pertenece el HPR,</w:t>
      </w:r>
      <w:r w:rsidR="00BA618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C170B">
        <w:rPr>
          <w:rFonts w:asciiTheme="minorHAnsi" w:hAnsiTheme="minorHAnsi" w:cstheme="minorHAnsi"/>
          <w:bCs/>
          <w:iCs/>
          <w:sz w:val="24"/>
          <w:szCs w:val="24"/>
        </w:rPr>
        <w:t>pueden actuar</w:t>
      </w:r>
      <w:r w:rsidR="00BA618D">
        <w:rPr>
          <w:rFonts w:asciiTheme="minorHAnsi" w:hAnsiTheme="minorHAnsi" w:cstheme="minorHAnsi"/>
          <w:bCs/>
          <w:iCs/>
          <w:sz w:val="24"/>
          <w:szCs w:val="24"/>
        </w:rPr>
        <w:t xml:space="preserve"> como molécula señal uniéndose a receptores </w:t>
      </w:r>
      <w:proofErr w:type="spellStart"/>
      <w:r w:rsidR="00BA618D">
        <w:rPr>
          <w:rFonts w:asciiTheme="minorHAnsi" w:hAnsiTheme="minorHAnsi" w:cstheme="minorHAnsi"/>
          <w:bCs/>
          <w:iCs/>
          <w:sz w:val="24"/>
          <w:szCs w:val="24"/>
        </w:rPr>
        <w:t>LuxR</w:t>
      </w:r>
      <w:proofErr w:type="spellEnd"/>
      <w:r w:rsidR="00BA618D">
        <w:rPr>
          <w:rFonts w:asciiTheme="minorHAnsi" w:hAnsiTheme="minorHAnsi" w:cstheme="minorHAnsi"/>
          <w:bCs/>
          <w:iCs/>
          <w:sz w:val="24"/>
          <w:szCs w:val="24"/>
        </w:rPr>
        <w:t xml:space="preserve"> y regulando distintos aspectos de la virulencia del patógeno.</w:t>
      </w:r>
    </w:p>
    <w:p w:rsidR="00F2005A" w:rsidRDefault="00BA618D" w:rsidP="006B36E4">
      <w:pPr>
        <w:pStyle w:val="p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Con estos antecedentes y teniendo en cuenta que el com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puesto HPR</w:t>
      </w:r>
      <w:r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7404B4">
        <w:rPr>
          <w:rFonts w:asciiTheme="minorHAnsi" w:hAnsiTheme="minorHAnsi" w:cstheme="minorHAnsi"/>
          <w:bCs/>
          <w:iCs/>
          <w:sz w:val="24"/>
          <w:szCs w:val="24"/>
        </w:rPr>
        <w:t xml:space="preserve"> participa activamente en procesos claves de la biología de PCL1606, </w:t>
      </w:r>
      <w:r w:rsidR="002C170B">
        <w:rPr>
          <w:rFonts w:asciiTheme="minorHAnsi" w:hAnsiTheme="minorHAnsi" w:cstheme="minorHAnsi"/>
          <w:bCs/>
          <w:iCs/>
          <w:sz w:val="24"/>
          <w:szCs w:val="24"/>
        </w:rPr>
        <w:t xml:space="preserve">se analizarán los fenotipos dependientes de la producción </w:t>
      </w:r>
      <w:r w:rsidR="00526F99">
        <w:rPr>
          <w:rFonts w:asciiTheme="minorHAnsi" w:hAnsiTheme="minorHAnsi" w:cstheme="minorHAnsi"/>
          <w:bCs/>
          <w:iCs/>
          <w:sz w:val="24"/>
          <w:szCs w:val="24"/>
        </w:rPr>
        <w:t>de HPR durante el proceso de interacción multitrófica, que se produce durante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 xml:space="preserve"> el control biológico. Para abordar este objetivo, se llevará a cabo un análisis </w:t>
      </w:r>
      <w:proofErr w:type="spellStart"/>
      <w:r w:rsidR="00510DAC">
        <w:rPr>
          <w:rFonts w:asciiTheme="minorHAnsi" w:hAnsiTheme="minorHAnsi" w:cstheme="minorHAnsi"/>
          <w:bCs/>
          <w:iCs/>
          <w:sz w:val="24"/>
          <w:szCs w:val="24"/>
        </w:rPr>
        <w:t>tanscriptómico</w:t>
      </w:r>
      <w:proofErr w:type="spellEnd"/>
      <w:r w:rsidR="00510DAC">
        <w:rPr>
          <w:rFonts w:asciiTheme="minorHAnsi" w:hAnsiTheme="minorHAnsi" w:cstheme="minorHAnsi"/>
          <w:bCs/>
          <w:iCs/>
          <w:sz w:val="24"/>
          <w:szCs w:val="24"/>
        </w:rPr>
        <w:t xml:space="preserve"> que</w:t>
      </w:r>
      <w:r w:rsidR="00526F99">
        <w:rPr>
          <w:rFonts w:asciiTheme="minorHAnsi" w:hAnsiTheme="minorHAnsi" w:cstheme="minorHAnsi"/>
          <w:bCs/>
          <w:iCs/>
          <w:sz w:val="24"/>
          <w:szCs w:val="24"/>
        </w:rPr>
        <w:t xml:space="preserve"> determinará el nivel de expresión/represión de los genes 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cuando se compara</w:t>
      </w:r>
      <w:r w:rsidR="00F7758E">
        <w:rPr>
          <w:rFonts w:asciiTheme="minorHAnsi" w:hAnsiTheme="minorHAnsi" w:cstheme="minorHAnsi"/>
          <w:bCs/>
          <w:iCs/>
          <w:sz w:val="24"/>
          <w:szCs w:val="24"/>
        </w:rPr>
        <w:t xml:space="preserve"> un mutante def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ectivo en la producción de HPR (</w:t>
      </w:r>
      <w:r w:rsidR="00F7758E">
        <w:rPr>
          <w:rFonts w:asciiTheme="minorHAnsi" w:hAnsiTheme="minorHAnsi" w:cstheme="minorHAnsi"/>
          <w:bCs/>
          <w:iCs/>
          <w:sz w:val="24"/>
          <w:szCs w:val="24"/>
        </w:rPr>
        <w:t xml:space="preserve">debido a la interrupción por inserción </w:t>
      </w:r>
      <w:proofErr w:type="spellStart"/>
      <w:r w:rsidR="00F7758E">
        <w:rPr>
          <w:rFonts w:asciiTheme="minorHAnsi" w:hAnsiTheme="minorHAnsi" w:cstheme="minorHAnsi"/>
          <w:bCs/>
          <w:iCs/>
          <w:sz w:val="24"/>
          <w:szCs w:val="24"/>
        </w:rPr>
        <w:t>plasmídica</w:t>
      </w:r>
      <w:proofErr w:type="spellEnd"/>
      <w:r w:rsidR="00F7758E">
        <w:rPr>
          <w:rFonts w:asciiTheme="minorHAnsi" w:hAnsiTheme="minorHAnsi" w:cstheme="minorHAnsi"/>
          <w:bCs/>
          <w:iCs/>
          <w:sz w:val="24"/>
          <w:szCs w:val="24"/>
        </w:rPr>
        <w:t xml:space="preserve"> del gen </w:t>
      </w:r>
      <w:proofErr w:type="spellStart"/>
      <w:r w:rsidR="009D1A6A" w:rsidRPr="009D1A6A">
        <w:rPr>
          <w:rFonts w:asciiTheme="minorHAnsi" w:hAnsiTheme="minorHAnsi" w:cstheme="minorHAnsi"/>
          <w:bCs/>
          <w:i/>
          <w:iCs/>
          <w:sz w:val="24"/>
          <w:szCs w:val="24"/>
        </w:rPr>
        <w:t>darB</w:t>
      </w:r>
      <w:proofErr w:type="spellEnd"/>
      <w:r w:rsidR="00510DAC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526F99">
        <w:rPr>
          <w:rFonts w:asciiTheme="minorHAnsi" w:hAnsiTheme="minorHAnsi" w:cstheme="minorHAnsi"/>
          <w:bCs/>
          <w:iCs/>
          <w:sz w:val="24"/>
          <w:szCs w:val="24"/>
        </w:rPr>
        <w:t xml:space="preserve"> frente a la cepa silvestr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e, durante el cont</w:t>
      </w:r>
      <w:r w:rsidR="00A841DD">
        <w:rPr>
          <w:rFonts w:asciiTheme="minorHAnsi" w:hAnsiTheme="minorHAnsi" w:cstheme="minorHAnsi"/>
          <w:bCs/>
          <w:iCs/>
          <w:sz w:val="24"/>
          <w:szCs w:val="24"/>
        </w:rPr>
        <w:t xml:space="preserve">rol biológico de la podredumbre </w:t>
      </w:r>
      <w:r w:rsidR="00510DAC">
        <w:rPr>
          <w:rFonts w:asciiTheme="minorHAnsi" w:hAnsiTheme="minorHAnsi" w:cstheme="minorHAnsi"/>
          <w:bCs/>
          <w:iCs/>
          <w:sz w:val="24"/>
          <w:szCs w:val="24"/>
        </w:rPr>
        <w:t>blanca radicular.</w:t>
      </w:r>
    </w:p>
    <w:p w:rsidR="00F2005A" w:rsidRDefault="00F2005A" w:rsidP="006B36E4">
      <w:pPr>
        <w:pStyle w:val="p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472C57" w:rsidRDefault="00472C57">
      <w:pPr>
        <w:rPr>
          <w:lang w:val="es-ES_tradnl"/>
        </w:rPr>
      </w:pPr>
    </w:p>
    <w:p w:rsidR="007404B4" w:rsidRDefault="007404B4">
      <w:pPr>
        <w:rPr>
          <w:lang w:val="es-ES_tradnl"/>
        </w:rPr>
      </w:pPr>
    </w:p>
    <w:p w:rsidR="007404B4" w:rsidRDefault="007404B4">
      <w:pPr>
        <w:rPr>
          <w:lang w:val="es-ES_tradnl"/>
        </w:rPr>
      </w:pPr>
    </w:p>
    <w:p w:rsidR="007404B4" w:rsidRDefault="007404B4">
      <w:pPr>
        <w:rPr>
          <w:lang w:val="es-ES_tradnl"/>
        </w:rPr>
      </w:pPr>
    </w:p>
    <w:p w:rsidR="007404B4" w:rsidRPr="00A841DD" w:rsidRDefault="007404B4" w:rsidP="00A841DD">
      <w:pPr>
        <w:jc w:val="both"/>
        <w:rPr>
          <w:rFonts w:ascii="Times New Roman" w:hAnsi="Times New Roman"/>
          <w:i/>
          <w:sz w:val="20"/>
        </w:rPr>
      </w:pPr>
      <w:r w:rsidRPr="00402109">
        <w:rPr>
          <w:rFonts w:ascii="Times New Roman" w:hAnsi="Times New Roman"/>
          <w:sz w:val="20"/>
        </w:rPr>
        <w:t xml:space="preserve">*Este trabajo está siendo financiado por el Plan Nacional de I+D+I del Ministerio de Economía (AGL2014-52518-C2-1-R; MINECO, España) y cofinanciado con fondos FEDER (EU). S. Tienda está siendo financiada con una ayuda del programa FPI del MINECO. </w:t>
      </w:r>
    </w:p>
    <w:sectPr w:rsidR="007404B4" w:rsidRPr="00A841DD" w:rsidSect="009D1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6E4"/>
    <w:rsid w:val="00003C38"/>
    <w:rsid w:val="0018376F"/>
    <w:rsid w:val="002C170B"/>
    <w:rsid w:val="003A2FC0"/>
    <w:rsid w:val="00472C57"/>
    <w:rsid w:val="00510DAC"/>
    <w:rsid w:val="00515822"/>
    <w:rsid w:val="00526F99"/>
    <w:rsid w:val="005E24D4"/>
    <w:rsid w:val="006B36E4"/>
    <w:rsid w:val="006C2780"/>
    <w:rsid w:val="007404B4"/>
    <w:rsid w:val="007413CD"/>
    <w:rsid w:val="007F1AF8"/>
    <w:rsid w:val="00837628"/>
    <w:rsid w:val="00837656"/>
    <w:rsid w:val="00837A83"/>
    <w:rsid w:val="008B0BFB"/>
    <w:rsid w:val="008E7014"/>
    <w:rsid w:val="0099124F"/>
    <w:rsid w:val="009D1A6A"/>
    <w:rsid w:val="00A841DD"/>
    <w:rsid w:val="00B17B90"/>
    <w:rsid w:val="00B67498"/>
    <w:rsid w:val="00BA4921"/>
    <w:rsid w:val="00BA618D"/>
    <w:rsid w:val="00C53DE0"/>
    <w:rsid w:val="00C72A12"/>
    <w:rsid w:val="00DC266A"/>
    <w:rsid w:val="00DF126C"/>
    <w:rsid w:val="00E76B0C"/>
    <w:rsid w:val="00E87A85"/>
    <w:rsid w:val="00F2005A"/>
    <w:rsid w:val="00F7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BCE3-660B-4E5F-BECE-46C401A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6B36E4"/>
    <w:pPr>
      <w:spacing w:after="120"/>
    </w:pPr>
    <w:rPr>
      <w:rFonts w:ascii="Times New Roman" w:eastAsiaTheme="minorHAnsi" w:hAnsi="Times New Roman" w:cs="Times New Roman"/>
      <w:sz w:val="20"/>
      <w:szCs w:val="20"/>
      <w:lang w:val="es-ES_tradnl" w:eastAsia="es-ES_tradnl"/>
    </w:rPr>
  </w:style>
  <w:style w:type="paragraph" w:customStyle="1" w:styleId="p2">
    <w:name w:val="p2"/>
    <w:basedOn w:val="Normal"/>
    <w:rsid w:val="006B36E4"/>
    <w:pPr>
      <w:spacing w:after="120"/>
    </w:pPr>
    <w:rPr>
      <w:rFonts w:ascii="Times New Roman" w:eastAsiaTheme="minorHAnsi" w:hAnsi="Times New Roman" w:cs="Times New Roman"/>
      <w:sz w:val="17"/>
      <w:szCs w:val="17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tienda serrano</dc:creator>
  <cp:keywords/>
  <dc:description/>
  <cp:lastModifiedBy>Usuario UMA</cp:lastModifiedBy>
  <cp:revision>18</cp:revision>
  <dcterms:created xsi:type="dcterms:W3CDTF">2018-04-13T08:01:00Z</dcterms:created>
  <dcterms:modified xsi:type="dcterms:W3CDTF">2018-10-15T16:27:00Z</dcterms:modified>
</cp:coreProperties>
</file>