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6C" w:rsidRPr="00D027C2" w:rsidRDefault="006A67AE" w:rsidP="006A086C">
      <w:pPr>
        <w:pStyle w:val="lisbonparagraph"/>
        <w:spacing w:after="0"/>
        <w:jc w:val="left"/>
        <w:rPr>
          <w:lang w:val="es-ES"/>
        </w:rPr>
      </w:pPr>
      <w:bookmarkStart w:id="0" w:name="_Toc435774346"/>
      <w:bookmarkStart w:id="1" w:name="_Toc436088059"/>
      <w:r>
        <w:rPr>
          <w:lang w:val="es-ES"/>
        </w:rPr>
        <w:t>CONTABILIDAD</w:t>
      </w:r>
    </w:p>
    <w:p w:rsidR="006A086C" w:rsidRPr="00D027C2" w:rsidRDefault="006A086C" w:rsidP="006A086C">
      <w:pPr>
        <w:pStyle w:val="lisbonparagraph"/>
        <w:spacing w:after="0"/>
        <w:jc w:val="left"/>
        <w:rPr>
          <w:lang w:val="es-ES"/>
        </w:rPr>
      </w:pPr>
    </w:p>
    <w:p w:rsidR="006A67AE" w:rsidRDefault="006A67AE" w:rsidP="006A67AE">
      <w:pPr>
        <w:spacing w:before="0" w:after="0" w:line="240" w:lineRule="auto"/>
        <w:rPr>
          <w:rFonts w:ascii="Times New Roman" w:eastAsia="Times New Roman" w:hAnsi="Times New Roman"/>
          <w:b/>
          <w:bCs/>
          <w:caps/>
          <w:sz w:val="24"/>
          <w:szCs w:val="24"/>
          <w:lang w:val="es-ES"/>
        </w:rPr>
      </w:pPr>
      <w:r w:rsidRPr="006A67AE">
        <w:rPr>
          <w:rFonts w:ascii="Times New Roman" w:eastAsia="Times New Roman" w:hAnsi="Times New Roman"/>
          <w:b/>
          <w:bCs/>
          <w:caps/>
          <w:sz w:val="24"/>
          <w:szCs w:val="24"/>
          <w:lang w:val="es-ES"/>
        </w:rPr>
        <w:t>EL CONTROL DE LA ACTIVIDAD ECONÓMICA EN UN CENTRO SOCIOSANITARIO EN ESPAÑA: ESTUDIO DE UN CASO</w:t>
      </w:r>
    </w:p>
    <w:p w:rsidR="0005296C" w:rsidRDefault="0005296C" w:rsidP="006A67AE">
      <w:pPr>
        <w:spacing w:before="0" w:after="0" w:line="240" w:lineRule="auto"/>
        <w:rPr>
          <w:rFonts w:ascii="Times New Roman" w:eastAsia="Times New Roman" w:hAnsi="Times New Roman"/>
          <w:b/>
          <w:bCs/>
          <w:caps/>
          <w:sz w:val="24"/>
          <w:szCs w:val="24"/>
          <w:lang w:val="es-ES"/>
        </w:rPr>
      </w:pPr>
    </w:p>
    <w:p w:rsidR="0005296C" w:rsidRPr="00D027C2" w:rsidRDefault="0005296C" w:rsidP="0005296C">
      <w:pPr>
        <w:spacing w:before="0" w:after="0" w:line="240" w:lineRule="auto"/>
        <w:jc w:val="right"/>
        <w:textAlignment w:val="baseline"/>
        <w:rPr>
          <w:rFonts w:ascii="Times New Roman" w:hAnsi="Times New Roman"/>
          <w:szCs w:val="20"/>
          <w:lang w:val="es-ES"/>
        </w:rPr>
      </w:pPr>
      <w:bookmarkStart w:id="2" w:name="_Hlk11960954"/>
      <w:r>
        <w:rPr>
          <w:rFonts w:ascii="Times New Roman" w:hAnsi="Times New Roman"/>
          <w:szCs w:val="20"/>
          <w:lang w:val="es-ES"/>
        </w:rPr>
        <w:t>Daniel Sánchez Toledano, dstoledano@uma.es</w:t>
      </w:r>
      <w:bookmarkEnd w:id="2"/>
      <w:r w:rsidRPr="00D027C2">
        <w:rPr>
          <w:rFonts w:ascii="Times New Roman" w:hAnsi="Times New Roman"/>
          <w:szCs w:val="20"/>
          <w:lang w:val="es-ES"/>
        </w:rPr>
        <w:t xml:space="preserve">, </w:t>
      </w:r>
      <w:r>
        <w:rPr>
          <w:rFonts w:ascii="Times New Roman" w:hAnsi="Times New Roman"/>
          <w:szCs w:val="20"/>
          <w:lang w:val="es-ES"/>
        </w:rPr>
        <w:t>Universidad de Málaga</w:t>
      </w:r>
    </w:p>
    <w:p w:rsidR="0005296C" w:rsidRDefault="0005296C" w:rsidP="0005296C">
      <w:pPr>
        <w:spacing w:before="0" w:after="0" w:line="240" w:lineRule="auto"/>
        <w:jc w:val="right"/>
        <w:textAlignment w:val="baseline"/>
        <w:rPr>
          <w:rFonts w:ascii="Times New Roman" w:hAnsi="Times New Roman"/>
          <w:szCs w:val="20"/>
          <w:lang w:val="es-ES"/>
        </w:rPr>
      </w:pPr>
      <w:r w:rsidRPr="009E5175">
        <w:rPr>
          <w:rFonts w:ascii="Times New Roman" w:hAnsi="Times New Roman"/>
          <w:szCs w:val="20"/>
          <w:lang w:val="es-ES"/>
        </w:rPr>
        <w:t xml:space="preserve">Daniel Carrasco Díaz, </w:t>
      </w:r>
      <w:hyperlink r:id="rId8" w:history="1">
        <w:r w:rsidRPr="009E5175">
          <w:rPr>
            <w:rFonts w:ascii="Times New Roman" w:hAnsi="Times New Roman"/>
          </w:rPr>
          <w:t>daniel.carrasco@uma.es</w:t>
        </w:r>
      </w:hyperlink>
      <w:r w:rsidRPr="009E5175">
        <w:rPr>
          <w:rFonts w:ascii="Times New Roman" w:hAnsi="Times New Roman"/>
          <w:szCs w:val="20"/>
          <w:lang w:val="es-ES"/>
        </w:rPr>
        <w:t>, Universidad de Málaga</w:t>
      </w:r>
    </w:p>
    <w:p w:rsidR="0005296C" w:rsidRPr="00D027C2" w:rsidRDefault="0005296C" w:rsidP="0005296C">
      <w:pPr>
        <w:spacing w:before="0" w:after="0" w:line="240" w:lineRule="auto"/>
        <w:jc w:val="right"/>
        <w:textAlignment w:val="baseline"/>
        <w:rPr>
          <w:rFonts w:ascii="Times New Roman" w:hAnsi="Times New Roman"/>
          <w:szCs w:val="20"/>
          <w:lang w:val="es-ES"/>
        </w:rPr>
      </w:pPr>
      <w:r>
        <w:rPr>
          <w:rFonts w:ascii="Times New Roman" w:hAnsi="Times New Roman"/>
          <w:szCs w:val="20"/>
          <w:lang w:val="es-ES"/>
        </w:rPr>
        <w:t>Concepción Ortega Jiménez, cortega@uma.es, Universidad de Málaga</w:t>
      </w:r>
    </w:p>
    <w:p w:rsidR="006A086C" w:rsidRPr="00D027C2" w:rsidRDefault="006A086C" w:rsidP="006A086C">
      <w:pPr>
        <w:spacing w:before="0" w:after="0" w:line="240" w:lineRule="auto"/>
        <w:jc w:val="right"/>
        <w:textAlignment w:val="baseline"/>
        <w:rPr>
          <w:rFonts w:ascii="Times New Roman" w:hAnsi="Times New Roman"/>
          <w:szCs w:val="20"/>
          <w:lang w:val="es-ES"/>
        </w:rPr>
      </w:pPr>
    </w:p>
    <w:p w:rsidR="007F1D8B" w:rsidRPr="007F1D8B" w:rsidRDefault="0002077E" w:rsidP="007F1D8B">
      <w:pPr>
        <w:spacing w:before="0" w:after="0" w:line="240" w:lineRule="auto"/>
        <w:rPr>
          <w:rStyle w:val="hps"/>
          <w:rFonts w:ascii="Times New Roman" w:hAnsi="Times New Roman"/>
        </w:rPr>
      </w:pPr>
      <w:r w:rsidRPr="00D027C2">
        <w:rPr>
          <w:rFonts w:ascii="Times New Roman" w:hAnsi="Times New Roman"/>
          <w:b/>
          <w:szCs w:val="20"/>
          <w:lang w:val="es-ES"/>
        </w:rPr>
        <w:t>RESUMEN</w:t>
      </w:r>
      <w:r w:rsidR="006A086C" w:rsidRPr="00D027C2">
        <w:rPr>
          <w:rFonts w:ascii="Times New Roman" w:hAnsi="Times New Roman"/>
          <w:szCs w:val="20"/>
          <w:lang w:val="es-ES"/>
        </w:rPr>
        <w:t xml:space="preserve">: </w:t>
      </w:r>
      <w:r w:rsidR="007F1D8B" w:rsidRPr="007F1D8B">
        <w:rPr>
          <w:rStyle w:val="hps"/>
          <w:rFonts w:ascii="Times New Roman" w:hAnsi="Times New Roman"/>
          <w:lang w:val="es-ES"/>
        </w:rPr>
        <w:t>El control de</w:t>
      </w:r>
      <w:r w:rsidR="007F1D8B">
        <w:rPr>
          <w:rStyle w:val="hps"/>
          <w:rFonts w:ascii="Times New Roman" w:hAnsi="Times New Roman"/>
          <w:lang w:val="es-ES"/>
        </w:rPr>
        <w:t xml:space="preserve"> la actividad económica obliga a</w:t>
      </w:r>
      <w:r w:rsidR="007F1D8B" w:rsidRPr="007F1D8B">
        <w:rPr>
          <w:rStyle w:val="hps"/>
          <w:rFonts w:ascii="Times New Roman" w:hAnsi="Times New Roman"/>
          <w:lang w:val="es-ES"/>
        </w:rPr>
        <w:t xml:space="preserve"> la implantación de un modelo de cálculo de costes </w:t>
      </w:r>
      <w:r w:rsidR="007F1D8B">
        <w:rPr>
          <w:rStyle w:val="hps"/>
          <w:rFonts w:ascii="Times New Roman" w:hAnsi="Times New Roman"/>
          <w:lang w:val="es-ES"/>
        </w:rPr>
        <w:t>que incluya</w:t>
      </w:r>
      <w:r w:rsidR="007F1D8B" w:rsidRPr="007F1D8B">
        <w:rPr>
          <w:rStyle w:val="hps"/>
          <w:rFonts w:ascii="Times New Roman" w:hAnsi="Times New Roman"/>
          <w:lang w:val="es-ES"/>
        </w:rPr>
        <w:t xml:space="preserve"> las estructuras básicas –elementos de coste, centros, actividades, criterios de distribución, etc.-, en </w:t>
      </w:r>
      <w:r w:rsidR="007F1D8B">
        <w:rPr>
          <w:rStyle w:val="hps"/>
          <w:rFonts w:ascii="Times New Roman" w:hAnsi="Times New Roman"/>
          <w:lang w:val="es-ES"/>
        </w:rPr>
        <w:t>la</w:t>
      </w:r>
      <w:r w:rsidR="007F1D8B" w:rsidRPr="007F1D8B">
        <w:rPr>
          <w:rStyle w:val="hps"/>
          <w:rFonts w:ascii="Times New Roman" w:hAnsi="Times New Roman"/>
          <w:lang w:val="es-ES"/>
        </w:rPr>
        <w:t xml:space="preserve"> organización de carácter socio-sanitaria </w:t>
      </w:r>
      <w:r w:rsidR="007F1D8B">
        <w:rPr>
          <w:rStyle w:val="hps"/>
          <w:rFonts w:ascii="Times New Roman" w:hAnsi="Times New Roman"/>
          <w:lang w:val="es-ES"/>
        </w:rPr>
        <w:t xml:space="preserve">analizada, </w:t>
      </w:r>
      <w:r w:rsidR="007F1D8B" w:rsidRPr="007F1D8B">
        <w:rPr>
          <w:rStyle w:val="hps"/>
          <w:rFonts w:ascii="Times New Roman" w:hAnsi="Times New Roman"/>
          <w:lang w:val="es-ES"/>
        </w:rPr>
        <w:t>cuyos o</w:t>
      </w:r>
      <w:r w:rsidR="007F1D8B">
        <w:rPr>
          <w:rStyle w:val="hps"/>
          <w:rFonts w:ascii="Times New Roman" w:hAnsi="Times New Roman"/>
          <w:lang w:val="es-ES"/>
        </w:rPr>
        <w:t>u</w:t>
      </w:r>
      <w:r w:rsidR="007F1D8B" w:rsidRPr="007F1D8B">
        <w:rPr>
          <w:rStyle w:val="hps"/>
          <w:rFonts w:ascii="Times New Roman" w:hAnsi="Times New Roman"/>
          <w:lang w:val="es-ES"/>
        </w:rPr>
        <w:t>tputs de informa</w:t>
      </w:r>
      <w:r w:rsidR="007F1D8B">
        <w:rPr>
          <w:rStyle w:val="hps"/>
          <w:rFonts w:ascii="Times New Roman" w:hAnsi="Times New Roman"/>
          <w:lang w:val="es-ES"/>
        </w:rPr>
        <w:t>ción</w:t>
      </w:r>
      <w:r w:rsidR="007F1D8B" w:rsidRPr="007F1D8B">
        <w:rPr>
          <w:rStyle w:val="hps"/>
          <w:rFonts w:ascii="Times New Roman" w:hAnsi="Times New Roman"/>
          <w:lang w:val="es-ES"/>
        </w:rPr>
        <w:t xml:space="preserve"> -informes e indicadores- permitan orientar una gestión para el control de la aplicación de recursos con transparencia, eficiencia y eficacia. </w:t>
      </w:r>
    </w:p>
    <w:p w:rsidR="007F1D8B" w:rsidRPr="007F1D8B" w:rsidRDefault="007F1D8B" w:rsidP="007F1D8B">
      <w:pPr>
        <w:spacing w:before="0" w:after="0" w:line="240" w:lineRule="auto"/>
        <w:rPr>
          <w:rStyle w:val="hps"/>
          <w:rFonts w:ascii="Times New Roman" w:hAnsi="Times New Roman"/>
          <w:lang w:val="es-ES"/>
        </w:rPr>
      </w:pPr>
      <w:r w:rsidRPr="007F1D8B">
        <w:rPr>
          <w:rStyle w:val="hps"/>
          <w:rFonts w:ascii="Times New Roman" w:hAnsi="Times New Roman"/>
          <w:lang w:val="es-ES"/>
        </w:rPr>
        <w:t>La información obtenida a través de indicadores nos permite un control de la actividad económica de la organización y el seguimiento de los principios de eficiencia, eficacia y economía, que deben presidir su gestión económica.</w:t>
      </w:r>
    </w:p>
    <w:p w:rsidR="009C459A" w:rsidRPr="007F1D8B" w:rsidRDefault="007F1D8B" w:rsidP="007F1D8B">
      <w:pPr>
        <w:spacing w:before="0" w:after="0" w:line="240" w:lineRule="auto"/>
        <w:rPr>
          <w:rStyle w:val="hps"/>
        </w:rPr>
      </w:pPr>
      <w:r w:rsidRPr="007F1D8B">
        <w:rPr>
          <w:rStyle w:val="hps"/>
          <w:rFonts w:ascii="Times New Roman" w:hAnsi="Times New Roman"/>
          <w:lang w:val="es-ES"/>
        </w:rPr>
        <w:t>Nuestro objetivo es plantear un modelo de contabilidad analítica que dé respuesta informativa al cálculo de coste de las actividades e indicadores de gestión que permitan medir el grado de consecución de los citados principios, con los modelos y la tecnología de cálculo que tenemos en la actualidad a nuestro alcance</w:t>
      </w:r>
      <w:r w:rsidR="009C459A" w:rsidRPr="007F1D8B">
        <w:rPr>
          <w:rStyle w:val="hps"/>
        </w:rPr>
        <w:t>.</w:t>
      </w:r>
    </w:p>
    <w:p w:rsidR="000B7CA7" w:rsidRDefault="000B7CA7" w:rsidP="006A086C">
      <w:pPr>
        <w:spacing w:before="0" w:after="0" w:line="240" w:lineRule="auto"/>
        <w:rPr>
          <w:rFonts w:ascii="Times New Roman" w:hAnsi="Times New Roman"/>
          <w:szCs w:val="24"/>
          <w:lang w:val="es-ES"/>
        </w:rPr>
      </w:pPr>
    </w:p>
    <w:p w:rsidR="006A086C" w:rsidRPr="00D027C2" w:rsidRDefault="009C459A" w:rsidP="007F1D8B">
      <w:pPr>
        <w:pStyle w:val="NormalWeb"/>
        <w:spacing w:before="0" w:beforeAutospacing="0" w:after="0" w:afterAutospacing="0"/>
        <w:rPr>
          <w:rFonts w:ascii="Times New Roman" w:hAnsi="Times New Roman"/>
          <w:b/>
          <w:sz w:val="22"/>
          <w:szCs w:val="22"/>
          <w:lang w:val="es-ES"/>
        </w:rPr>
      </w:pPr>
      <w:r w:rsidRPr="00D027C2">
        <w:rPr>
          <w:rFonts w:ascii="Times New Roman" w:hAnsi="Times New Roman"/>
          <w:b/>
          <w:color w:val="000000"/>
          <w:sz w:val="22"/>
          <w:szCs w:val="22"/>
          <w:lang w:val="es-ES"/>
        </w:rPr>
        <w:t>PALABRAS CLAVE</w:t>
      </w:r>
      <w:r w:rsidR="006A086C" w:rsidRPr="00D027C2">
        <w:rPr>
          <w:rFonts w:ascii="Times New Roman" w:hAnsi="Times New Roman"/>
          <w:color w:val="000000"/>
          <w:sz w:val="22"/>
          <w:szCs w:val="22"/>
          <w:lang w:val="es-ES"/>
        </w:rPr>
        <w:t xml:space="preserve">: </w:t>
      </w:r>
      <w:r w:rsidR="00C06104">
        <w:rPr>
          <w:rStyle w:val="hps"/>
          <w:rFonts w:ascii="Times New Roman" w:eastAsia="Calibri" w:hAnsi="Times New Roman"/>
          <w:sz w:val="22"/>
          <w:szCs w:val="22"/>
          <w:lang w:val="es-ES"/>
        </w:rPr>
        <w:t>Costes, I</w:t>
      </w:r>
      <w:r w:rsidR="007F1D8B" w:rsidRPr="00EA6B3E">
        <w:rPr>
          <w:rStyle w:val="hps"/>
          <w:rFonts w:ascii="Times New Roman" w:eastAsia="Calibri" w:hAnsi="Times New Roman"/>
          <w:sz w:val="22"/>
          <w:szCs w:val="22"/>
          <w:lang w:val="es-ES"/>
        </w:rPr>
        <w:t>ndicadores</w:t>
      </w:r>
      <w:r w:rsidR="00C06104">
        <w:rPr>
          <w:rStyle w:val="hps"/>
          <w:rFonts w:ascii="Times New Roman" w:eastAsia="Calibri" w:hAnsi="Times New Roman"/>
          <w:sz w:val="22"/>
          <w:szCs w:val="22"/>
          <w:lang w:val="es-ES"/>
        </w:rPr>
        <w:t xml:space="preserve"> de gestión, Sistema sanitario, Eficiencia, T</w:t>
      </w:r>
      <w:r w:rsidR="007F1D8B" w:rsidRPr="00EA6B3E">
        <w:rPr>
          <w:rStyle w:val="hps"/>
          <w:rFonts w:ascii="Times New Roman" w:eastAsia="Calibri" w:hAnsi="Times New Roman"/>
          <w:sz w:val="22"/>
          <w:szCs w:val="22"/>
          <w:lang w:val="es-ES"/>
        </w:rPr>
        <w:t>ransparencia</w:t>
      </w:r>
      <w:r w:rsidR="006A086C" w:rsidRPr="00EA6B3E">
        <w:rPr>
          <w:rStyle w:val="hps"/>
          <w:rFonts w:eastAsia="Calibri"/>
          <w:lang w:val="es-ES"/>
        </w:rPr>
        <w:t>.</w:t>
      </w:r>
      <w:r w:rsidR="006A086C" w:rsidRPr="00EA6B3E" w:rsidDel="00E05BA2">
        <w:rPr>
          <w:rStyle w:val="hps"/>
          <w:rFonts w:eastAsia="Calibri"/>
          <w:lang w:val="es-ES"/>
        </w:rPr>
        <w:t xml:space="preserve"> </w:t>
      </w:r>
    </w:p>
    <w:p w:rsidR="006A086C" w:rsidRPr="00D027C2" w:rsidRDefault="006A086C" w:rsidP="006A086C">
      <w:pPr>
        <w:pStyle w:val="NormalWeb"/>
        <w:spacing w:before="0" w:beforeAutospacing="0" w:after="0" w:afterAutospacing="0"/>
        <w:rPr>
          <w:rFonts w:ascii="Times New Roman" w:hAnsi="Times New Roman"/>
          <w:sz w:val="22"/>
          <w:szCs w:val="22"/>
          <w:lang w:val="es-ES"/>
        </w:rPr>
      </w:pPr>
    </w:p>
    <w:p w:rsidR="00C06104" w:rsidRPr="00C06104" w:rsidRDefault="006A086C" w:rsidP="00C06104">
      <w:pPr>
        <w:spacing w:before="0" w:after="0" w:line="240" w:lineRule="auto"/>
        <w:textAlignment w:val="baseline"/>
        <w:rPr>
          <w:rStyle w:val="hps"/>
          <w:rFonts w:ascii="Times New Roman" w:hAnsi="Times New Roman"/>
          <w:lang w:val="en-GB"/>
        </w:rPr>
      </w:pPr>
      <w:r w:rsidRPr="00C06104">
        <w:rPr>
          <w:rFonts w:ascii="Times New Roman" w:hAnsi="Times New Roman"/>
          <w:b/>
          <w:szCs w:val="20"/>
          <w:lang w:val="en-GB"/>
        </w:rPr>
        <w:t>ABSTRACT</w:t>
      </w:r>
      <w:r w:rsidRPr="00C06104">
        <w:rPr>
          <w:rFonts w:ascii="Times New Roman" w:hAnsi="Times New Roman"/>
          <w:szCs w:val="20"/>
          <w:lang w:val="en-GB"/>
        </w:rPr>
        <w:t xml:space="preserve">: </w:t>
      </w:r>
      <w:r w:rsidR="00C06104">
        <w:rPr>
          <w:rFonts w:ascii="Times New Roman" w:hAnsi="Times New Roman"/>
          <w:szCs w:val="20"/>
          <w:lang w:val="en-GB"/>
        </w:rPr>
        <w:t>C</w:t>
      </w:r>
      <w:r w:rsidR="00C06104" w:rsidRPr="00C06104">
        <w:rPr>
          <w:rStyle w:val="hps"/>
          <w:rFonts w:ascii="Times New Roman" w:hAnsi="Times New Roman"/>
          <w:lang w:val="en-GB"/>
        </w:rPr>
        <w:t>ontrol of economic activity requires implementation of cost calculation model</w:t>
      </w:r>
      <w:r w:rsidR="00C06104">
        <w:rPr>
          <w:rStyle w:val="hps"/>
          <w:rFonts w:ascii="Times New Roman" w:hAnsi="Times New Roman"/>
          <w:lang w:val="en-GB"/>
        </w:rPr>
        <w:t>s</w:t>
      </w:r>
      <w:r w:rsidR="00C06104" w:rsidRPr="00C06104">
        <w:rPr>
          <w:rStyle w:val="hps"/>
          <w:rFonts w:ascii="Times New Roman" w:hAnsi="Times New Roman"/>
          <w:lang w:val="en-GB"/>
        </w:rPr>
        <w:t xml:space="preserve"> that includes basic structures - cost elements, centers, activities, distribution criteria, etc. - in the socio-sanitary organization analyzed, whose </w:t>
      </w:r>
      <w:r w:rsidR="00C06104">
        <w:rPr>
          <w:rStyle w:val="hps"/>
          <w:rFonts w:ascii="Times New Roman" w:hAnsi="Times New Roman"/>
          <w:lang w:val="en-GB"/>
        </w:rPr>
        <w:t>i</w:t>
      </w:r>
      <w:r w:rsidR="00C06104" w:rsidRPr="00C06104">
        <w:rPr>
          <w:rStyle w:val="hps"/>
          <w:rFonts w:ascii="Times New Roman" w:hAnsi="Times New Roman"/>
          <w:lang w:val="en-GB"/>
        </w:rPr>
        <w:t>nformation outputs - reports and indicators - allow to guide manage</w:t>
      </w:r>
      <w:r w:rsidR="00C06104">
        <w:rPr>
          <w:rStyle w:val="hps"/>
          <w:rFonts w:ascii="Times New Roman" w:hAnsi="Times New Roman"/>
          <w:lang w:val="en-GB"/>
        </w:rPr>
        <w:t>rs</w:t>
      </w:r>
      <w:r w:rsidR="00C06104" w:rsidRPr="00C06104">
        <w:rPr>
          <w:rStyle w:val="hps"/>
          <w:rFonts w:ascii="Times New Roman" w:hAnsi="Times New Roman"/>
          <w:lang w:val="en-GB"/>
        </w:rPr>
        <w:t xml:space="preserve"> for </w:t>
      </w:r>
      <w:r w:rsidR="00C06104">
        <w:rPr>
          <w:rStyle w:val="hps"/>
          <w:rFonts w:ascii="Times New Roman" w:hAnsi="Times New Roman"/>
          <w:lang w:val="en-GB"/>
        </w:rPr>
        <w:t>an</w:t>
      </w:r>
      <w:r w:rsidR="00C06104" w:rsidRPr="00C06104">
        <w:rPr>
          <w:rStyle w:val="hps"/>
          <w:rFonts w:ascii="Times New Roman" w:hAnsi="Times New Roman"/>
          <w:lang w:val="en-GB"/>
        </w:rPr>
        <w:t xml:space="preserve"> application of resources </w:t>
      </w:r>
      <w:r w:rsidR="00C06104">
        <w:rPr>
          <w:rStyle w:val="hps"/>
          <w:rFonts w:ascii="Times New Roman" w:hAnsi="Times New Roman"/>
          <w:lang w:val="en-GB"/>
        </w:rPr>
        <w:t>that enhance</w:t>
      </w:r>
      <w:r w:rsidR="00C06104" w:rsidRPr="00C06104">
        <w:rPr>
          <w:rStyle w:val="hps"/>
          <w:rFonts w:ascii="Times New Roman" w:hAnsi="Times New Roman"/>
          <w:lang w:val="en-GB"/>
        </w:rPr>
        <w:t xml:space="preserve"> transparency, efficiency and effectiveness.</w:t>
      </w:r>
    </w:p>
    <w:p w:rsidR="00C06104" w:rsidRPr="00C06104" w:rsidRDefault="00C06104" w:rsidP="00C06104">
      <w:pPr>
        <w:spacing w:before="0" w:after="0" w:line="240" w:lineRule="auto"/>
        <w:textAlignment w:val="baseline"/>
        <w:rPr>
          <w:rStyle w:val="hps"/>
          <w:rFonts w:ascii="Times New Roman" w:hAnsi="Times New Roman"/>
          <w:lang w:val="en-GB"/>
        </w:rPr>
      </w:pPr>
      <w:r>
        <w:rPr>
          <w:rStyle w:val="hps"/>
          <w:rFonts w:ascii="Times New Roman" w:hAnsi="Times New Roman"/>
          <w:lang w:val="en-GB"/>
        </w:rPr>
        <w:t>I</w:t>
      </w:r>
      <w:r w:rsidRPr="00C06104">
        <w:rPr>
          <w:rStyle w:val="hps"/>
          <w:rFonts w:ascii="Times New Roman" w:hAnsi="Times New Roman"/>
          <w:lang w:val="en-GB"/>
        </w:rPr>
        <w:t xml:space="preserve">nformation obtained through indicators allows us to control </w:t>
      </w:r>
      <w:r>
        <w:rPr>
          <w:rStyle w:val="hps"/>
          <w:rFonts w:ascii="Times New Roman" w:hAnsi="Times New Roman"/>
          <w:lang w:val="en-GB"/>
        </w:rPr>
        <w:t xml:space="preserve">organization </w:t>
      </w:r>
      <w:r w:rsidRPr="00C06104">
        <w:rPr>
          <w:rStyle w:val="hps"/>
          <w:rFonts w:ascii="Times New Roman" w:hAnsi="Times New Roman"/>
          <w:lang w:val="en-GB"/>
        </w:rPr>
        <w:t>economic activity and monitor the principles of effici</w:t>
      </w:r>
      <w:r>
        <w:rPr>
          <w:rStyle w:val="hps"/>
          <w:rFonts w:ascii="Times New Roman" w:hAnsi="Times New Roman"/>
          <w:lang w:val="en-GB"/>
        </w:rPr>
        <w:t>ency, effectiveness and economy</w:t>
      </w:r>
      <w:r w:rsidRPr="00C06104">
        <w:rPr>
          <w:rStyle w:val="hps"/>
          <w:rFonts w:ascii="Times New Roman" w:hAnsi="Times New Roman"/>
          <w:lang w:val="en-GB"/>
        </w:rPr>
        <w:t>.</w:t>
      </w:r>
    </w:p>
    <w:p w:rsidR="006A086C" w:rsidRPr="00C06104" w:rsidRDefault="00C06104" w:rsidP="00C06104">
      <w:pPr>
        <w:spacing w:before="0" w:after="0" w:line="240" w:lineRule="auto"/>
        <w:textAlignment w:val="baseline"/>
        <w:rPr>
          <w:rStyle w:val="hps"/>
          <w:rFonts w:ascii="Times New Roman" w:hAnsi="Times New Roman"/>
          <w:lang w:val="en-GB"/>
        </w:rPr>
      </w:pPr>
      <w:r w:rsidRPr="00C06104">
        <w:rPr>
          <w:rStyle w:val="hps"/>
          <w:rFonts w:ascii="Times New Roman" w:hAnsi="Times New Roman"/>
          <w:lang w:val="en-GB"/>
        </w:rPr>
        <w:t xml:space="preserve">Our objective is to propose an analytical accounting model that provides </w:t>
      </w:r>
      <w:r>
        <w:rPr>
          <w:rStyle w:val="hps"/>
          <w:rFonts w:ascii="Times New Roman" w:hAnsi="Times New Roman"/>
          <w:lang w:val="en-GB"/>
        </w:rPr>
        <w:t>a</w:t>
      </w:r>
      <w:r w:rsidRPr="00C06104">
        <w:rPr>
          <w:rStyle w:val="hps"/>
          <w:rFonts w:ascii="Times New Roman" w:hAnsi="Times New Roman"/>
          <w:lang w:val="en-GB"/>
        </w:rPr>
        <w:t xml:space="preserve"> response </w:t>
      </w:r>
      <w:r w:rsidR="00867CDE">
        <w:rPr>
          <w:rStyle w:val="hps"/>
          <w:rFonts w:ascii="Times New Roman" w:hAnsi="Times New Roman"/>
          <w:lang w:val="en-GB"/>
        </w:rPr>
        <w:t xml:space="preserve">for </w:t>
      </w:r>
      <w:r w:rsidRPr="00C06104">
        <w:rPr>
          <w:rStyle w:val="hps"/>
          <w:rFonts w:ascii="Times New Roman" w:hAnsi="Times New Roman"/>
          <w:lang w:val="en-GB"/>
        </w:rPr>
        <w:t xml:space="preserve">measuring the degree of achievement of the </w:t>
      </w:r>
      <w:r w:rsidR="00867CDE">
        <w:rPr>
          <w:rStyle w:val="hps"/>
          <w:rFonts w:ascii="Times New Roman" w:hAnsi="Times New Roman"/>
          <w:lang w:val="en-GB"/>
        </w:rPr>
        <w:t>forementioned principles</w:t>
      </w:r>
      <w:r w:rsidR="00414151" w:rsidRPr="00C06104">
        <w:rPr>
          <w:rFonts w:ascii="Times New Roman" w:hAnsi="Times New Roman"/>
          <w:lang w:val="en-GB"/>
        </w:rPr>
        <w:t>.</w:t>
      </w:r>
    </w:p>
    <w:p w:rsidR="006A086C" w:rsidRPr="00C06104" w:rsidRDefault="006A086C" w:rsidP="006A086C">
      <w:pPr>
        <w:pBdr>
          <w:bottom w:val="single" w:sz="4" w:space="1" w:color="auto"/>
        </w:pBdr>
        <w:spacing w:before="0" w:after="0" w:line="240" w:lineRule="auto"/>
        <w:jc w:val="left"/>
        <w:rPr>
          <w:rFonts w:ascii="Times New Roman" w:hAnsi="Times New Roman"/>
          <w:bCs/>
          <w:lang w:val="en-GB" w:eastAsia="pt-PT"/>
        </w:rPr>
      </w:pPr>
    </w:p>
    <w:p w:rsidR="006A086C" w:rsidRPr="00CF50D0" w:rsidRDefault="006A086C" w:rsidP="006A086C">
      <w:pPr>
        <w:pBdr>
          <w:bottom w:val="single" w:sz="4" w:space="1" w:color="auto"/>
        </w:pBdr>
        <w:spacing w:before="0" w:after="0" w:line="240" w:lineRule="auto"/>
        <w:jc w:val="left"/>
        <w:rPr>
          <w:rFonts w:ascii="Times New Roman" w:hAnsi="Times New Roman"/>
          <w:lang w:val="en-GB"/>
        </w:rPr>
      </w:pPr>
      <w:r w:rsidRPr="00CF50D0">
        <w:rPr>
          <w:rFonts w:ascii="Times New Roman" w:hAnsi="Times New Roman"/>
          <w:b/>
          <w:bCs/>
          <w:lang w:val="en-GB" w:eastAsia="pt-PT"/>
        </w:rPr>
        <w:t>KEYWORDS</w:t>
      </w:r>
      <w:r w:rsidRPr="00CF50D0">
        <w:rPr>
          <w:rFonts w:ascii="Times New Roman" w:hAnsi="Times New Roman"/>
          <w:bCs/>
          <w:lang w:val="en-GB" w:eastAsia="pt-PT"/>
        </w:rPr>
        <w:t>:</w:t>
      </w:r>
      <w:r w:rsidRPr="00CF50D0">
        <w:rPr>
          <w:rFonts w:ascii="Times New Roman" w:hAnsi="Times New Roman"/>
          <w:lang w:val="en-GB"/>
        </w:rPr>
        <w:t xml:space="preserve"> </w:t>
      </w:r>
      <w:r w:rsidR="00C06104">
        <w:rPr>
          <w:rFonts w:ascii="Times New Roman" w:hAnsi="Times New Roman"/>
          <w:lang w:val="en-GB"/>
        </w:rPr>
        <w:t>Costs</w:t>
      </w:r>
      <w:r w:rsidRPr="00CF50D0">
        <w:rPr>
          <w:rFonts w:ascii="Times New Roman" w:hAnsi="Times New Roman"/>
          <w:lang w:val="en-GB"/>
        </w:rPr>
        <w:t xml:space="preserve">, </w:t>
      </w:r>
      <w:r w:rsidR="00C06104">
        <w:rPr>
          <w:rFonts w:ascii="Times New Roman" w:hAnsi="Times New Roman"/>
          <w:lang w:val="en-GB"/>
        </w:rPr>
        <w:t>Management Indicators</w:t>
      </w:r>
      <w:r w:rsidRPr="00CF50D0">
        <w:rPr>
          <w:rFonts w:ascii="Times New Roman" w:hAnsi="Times New Roman"/>
          <w:lang w:val="en-GB"/>
        </w:rPr>
        <w:t xml:space="preserve">, </w:t>
      </w:r>
      <w:r w:rsidR="00C06104">
        <w:rPr>
          <w:rFonts w:ascii="Times New Roman" w:hAnsi="Times New Roman"/>
          <w:lang w:val="en-GB"/>
        </w:rPr>
        <w:t xml:space="preserve">Health Service, </w:t>
      </w:r>
      <w:r w:rsidR="00C06104">
        <w:rPr>
          <w:rStyle w:val="hps"/>
          <w:rFonts w:ascii="Times New Roman" w:hAnsi="Times New Roman"/>
          <w:lang w:val="en-GB"/>
        </w:rPr>
        <w:t>Efficiency, Transparency</w:t>
      </w:r>
      <w:r w:rsidRPr="00CF50D0">
        <w:rPr>
          <w:rStyle w:val="hps"/>
          <w:rFonts w:ascii="Times New Roman" w:hAnsi="Times New Roman"/>
          <w:lang w:val="en-GB"/>
        </w:rPr>
        <w:t>.</w:t>
      </w:r>
    </w:p>
    <w:p w:rsidR="006A086C" w:rsidRPr="00CF50D0" w:rsidRDefault="006A086C" w:rsidP="006A086C">
      <w:pPr>
        <w:spacing w:before="0" w:after="0" w:line="240" w:lineRule="auto"/>
        <w:rPr>
          <w:rFonts w:ascii="Times New Roman" w:hAnsi="Times New Roman"/>
          <w:b/>
          <w:sz w:val="20"/>
          <w:szCs w:val="20"/>
          <w:lang w:val="en-GB"/>
        </w:rPr>
      </w:pPr>
    </w:p>
    <w:p w:rsidR="006A086C" w:rsidRPr="00CF50D0" w:rsidRDefault="006A086C" w:rsidP="006A086C">
      <w:pPr>
        <w:spacing w:before="0" w:after="0" w:line="240" w:lineRule="auto"/>
        <w:rPr>
          <w:rFonts w:ascii="Times New Roman" w:hAnsi="Times New Roman"/>
          <w:b/>
          <w:sz w:val="20"/>
          <w:szCs w:val="20"/>
          <w:lang w:val="en-GB"/>
        </w:rPr>
      </w:pPr>
      <w:bookmarkStart w:id="3" w:name="_GoBack"/>
      <w:bookmarkEnd w:id="3"/>
    </w:p>
    <w:p w:rsidR="006A086C" w:rsidRPr="00D027C2" w:rsidRDefault="006A086C" w:rsidP="006A086C">
      <w:pPr>
        <w:pStyle w:val="Ttulo1"/>
        <w:spacing w:before="0" w:line="240" w:lineRule="auto"/>
        <w:rPr>
          <w:rFonts w:ascii="Times New Roman" w:hAnsi="Times New Roman" w:cs="Times New Roman"/>
          <w:caps/>
          <w:color w:val="auto"/>
          <w:sz w:val="20"/>
          <w:szCs w:val="22"/>
          <w:lang w:val="es-ES"/>
        </w:rPr>
      </w:pPr>
      <w:bookmarkStart w:id="4" w:name="_Toc440191536"/>
      <w:bookmarkEnd w:id="0"/>
      <w:bookmarkEnd w:id="1"/>
      <w:r w:rsidRPr="00D027C2">
        <w:rPr>
          <w:rFonts w:ascii="Times New Roman" w:hAnsi="Times New Roman" w:cs="Times New Roman"/>
          <w:caps/>
          <w:color w:val="auto"/>
          <w:sz w:val="20"/>
          <w:szCs w:val="22"/>
          <w:lang w:val="es-ES"/>
        </w:rPr>
        <w:t xml:space="preserve">1. </w:t>
      </w:r>
      <w:bookmarkEnd w:id="4"/>
      <w:r w:rsidR="00D34DA4" w:rsidRPr="00D027C2">
        <w:rPr>
          <w:rFonts w:ascii="Times New Roman" w:hAnsi="Times New Roman" w:cs="Times New Roman"/>
          <w:caps/>
          <w:color w:val="auto"/>
          <w:sz w:val="20"/>
          <w:szCs w:val="22"/>
          <w:lang w:val="es-ES"/>
        </w:rPr>
        <w:t>INTRODUCCIÓN</w:t>
      </w:r>
    </w:p>
    <w:p w:rsidR="006A086C" w:rsidRPr="00D027C2" w:rsidRDefault="006A086C"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La incertidumbre económica, política y social en los países desarrollados, tanto desde una perspectiva global como de la Unión Europea, y en particular a España, ha producido una clara desconfianza ciudadana en las instituciones democráticas y en sus representantes políticos para solventar los problemas de demandas de servicios públicos, tanto a nivel de la Administración del Estado y Autonómica como en la Administración Local, en particular.</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pStyle w:val="Subttulo"/>
        <w:spacing w:after="0" w:line="240" w:lineRule="auto"/>
        <w:jc w:val="both"/>
        <w:rPr>
          <w:rFonts w:ascii="Times New Roman" w:eastAsia="Calibri" w:hAnsi="Times New Roman" w:cs="Times New Roman"/>
          <w:color w:val="auto"/>
          <w:spacing w:val="0"/>
          <w:sz w:val="20"/>
          <w:szCs w:val="24"/>
        </w:rPr>
      </w:pPr>
      <w:r w:rsidRPr="007F1D8B">
        <w:rPr>
          <w:rFonts w:ascii="Times New Roman" w:eastAsia="Calibri" w:hAnsi="Times New Roman" w:cs="Times New Roman"/>
          <w:color w:val="auto"/>
          <w:spacing w:val="0"/>
          <w:sz w:val="20"/>
          <w:szCs w:val="24"/>
        </w:rPr>
        <w:t>La actividad sociosanitaria se realiza en España tanto por agentes privados como públicos y, en nuestro caso, nos centramos en los públicos porque son los que cubren la mayor demanda, siendo las entidades locales las que asumen la mayor parte de responsabilidades ante la ciudadanía para satisfacer la demanda de dicha actividad en cualquier parte del territorio nacional que,  tanto en España como en el resto del mundo, se está incrementando en las últimas décadas, de manera sustancial por el aumento de la edad media de la población y por la mayor sensibilidad social y política hacia los mayores.</w:t>
      </w:r>
    </w:p>
    <w:p w:rsidR="007F1D8B" w:rsidRDefault="007F1D8B" w:rsidP="007F1D8B">
      <w:pPr>
        <w:spacing w:before="0" w:after="0" w:line="240" w:lineRule="auto"/>
        <w:rPr>
          <w:rFonts w:ascii="Times New Roman" w:hAnsi="Times New Roman"/>
          <w:sz w:val="20"/>
          <w:szCs w:val="24"/>
          <w:lang w:val="es-ES"/>
        </w:rPr>
      </w:pPr>
    </w:p>
    <w:p w:rsidR="007F1D8B" w:rsidRP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 xml:space="preserve">Nuestra experiencia de implantación de la contabilidad analítica en el IASS (Instituto de Asistencial Social y Sociosanitaria del Cabildo Insular de Tenerife) nos sirve para exponer el modelo de contabilidad analítica teórico y el empleado en el IASS, con los indicadores más significativos y las principales dificultades para su puesta en funcionamiento.  </w:t>
      </w:r>
    </w:p>
    <w:p w:rsidR="007F1D8B" w:rsidRDefault="007F1D8B" w:rsidP="007F1D8B">
      <w:pPr>
        <w:spacing w:before="0" w:after="0" w:line="240" w:lineRule="auto"/>
        <w:rPr>
          <w:rFonts w:ascii="Times New Roman" w:hAnsi="Times New Roman"/>
          <w:sz w:val="20"/>
          <w:szCs w:val="24"/>
          <w:lang w:val="es-ES"/>
        </w:rPr>
      </w:pPr>
    </w:p>
    <w:p w:rsidR="007F1D8B" w:rsidRP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lastRenderedPageBreak/>
        <w:t xml:space="preserve">El control de la actividad económica debe servir de base para el seguimiento del cumplimiento de los principios de transparencia, eficiencia, eficacia y economía cuya puesta en funcionamiento requiere de la contabilidad analítica como herramienta para, además de cumplir con las obligaciones legales, informar a usuarios externos e internos, en general, y a los gestores de los recursos en la toma de decisiones, en particular. </w:t>
      </w:r>
    </w:p>
    <w:p w:rsidR="007F1D8B" w:rsidRDefault="007F1D8B" w:rsidP="007F1D8B">
      <w:pPr>
        <w:spacing w:before="0" w:after="0" w:line="240" w:lineRule="auto"/>
        <w:rPr>
          <w:rFonts w:ascii="Times New Roman" w:hAnsi="Times New Roman"/>
          <w:sz w:val="20"/>
          <w:szCs w:val="24"/>
          <w:lang w:val="es-ES"/>
        </w:rPr>
      </w:pPr>
    </w:p>
    <w:p w:rsidR="007F1D8B" w:rsidRP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El Modelo de Contabilidad Analítica para una organización como el IASS, y su posterior implantación, está condicionada por la necesidad de aportar al mismo los datos y estructuras necesarias para alcanzar sus objetivos analíticos y ello obliga a analizar su diseño desde dos planos complementarios de cumplimiento de las obligaciones de reporting que la Ley o, en su caso, las normas de organización interna de la Organización establezcan y la satisfacción de las necesidades analíticas de los gestores para el control de la actividad.</w:t>
      </w:r>
    </w:p>
    <w:p w:rsidR="006A086C" w:rsidRDefault="006A086C" w:rsidP="007F1D8B">
      <w:pPr>
        <w:spacing w:before="0" w:after="0" w:line="240" w:lineRule="auto"/>
        <w:rPr>
          <w:rFonts w:ascii="Times New Roman" w:hAnsi="Times New Roman"/>
          <w:sz w:val="20"/>
          <w:szCs w:val="24"/>
          <w:lang w:val="es-ES"/>
        </w:rPr>
      </w:pPr>
    </w:p>
    <w:p w:rsidR="007F1D8B" w:rsidRPr="007F1D8B" w:rsidRDefault="007F1D8B" w:rsidP="007F1D8B">
      <w:pPr>
        <w:pStyle w:val="Ttulo1"/>
        <w:spacing w:before="0" w:line="240" w:lineRule="auto"/>
        <w:rPr>
          <w:rFonts w:ascii="Times New Roman" w:hAnsi="Times New Roman" w:cs="Times New Roman"/>
          <w:color w:val="auto"/>
          <w:sz w:val="20"/>
          <w:szCs w:val="22"/>
          <w:lang w:val="es-ES"/>
        </w:rPr>
      </w:pPr>
      <w:r w:rsidRPr="007F1D8B">
        <w:rPr>
          <w:rFonts w:ascii="Times New Roman" w:hAnsi="Times New Roman" w:cs="Times New Roman"/>
          <w:color w:val="auto"/>
          <w:sz w:val="20"/>
          <w:szCs w:val="22"/>
          <w:lang w:val="es-ES"/>
        </w:rPr>
        <w:t>2. EL CONTROL DE LA ACTIVIDAD ECONÓMICA EN LOS ENTES LOCALES: CONTABILIDAD ANALÍTICA E INDICADORES DE GESTIÓN</w:t>
      </w:r>
    </w:p>
    <w:p w:rsidR="006A086C" w:rsidRPr="007F1D8B" w:rsidRDefault="006A086C" w:rsidP="006A086C">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El IASS es un ente con personalidad jurídica independiente y, aunque forma parte del Cabildo Insular de Tenerife (Administración Local), consideramos imprescindible resaltar su marco legislativo contable, como ente local.</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Actualmente dicho marco legislativo se concreta en el Real Decreto Legislativo 2/2004, Texto Refundido de la Ley Reguladora de las Haciendas Locales. (Transparencia/publicidad), la Ley 27/2013, de racionalización y sostenibilidad de la Administración Local. Artículo 27, Disposición Adicional Cuarta y la Orden HAP/1781/2013, por la que se aprueba la Instrucción del modelo normal de contabilidad local (ICAL).</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La presentación en la Memoria, como Cuenta Anual obligatoria, de la información contenida en las notas 26. «Información sobre el coste de las actividades» y 27. «Indicadores de gestión», señalando que se elaborará, al menos, para los servicios y actividades que se financien con tasas o precios públicos, y estarán obligados a cumplimentarla, como mínimo, los municipios de más de 50.000 habitantes y las demás entidades locales de ámbito superior, como es el caso del IASS.</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En dichas notas la información debe incluir, al menos, el siguiente detalle:</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 xml:space="preserve">26. Información sobre el coste de las actividades. </w:t>
      </w:r>
    </w:p>
    <w:p w:rsidR="007F1D8B" w:rsidRPr="007F1D8B" w:rsidRDefault="007F1D8B" w:rsidP="007F1D8B">
      <w:pPr>
        <w:spacing w:before="0" w:after="0" w:line="240" w:lineRule="auto"/>
        <w:rPr>
          <w:rFonts w:ascii="Times New Roman" w:hAnsi="Times New Roman"/>
          <w:sz w:val="20"/>
          <w:szCs w:val="24"/>
          <w:lang w:val="es-ES"/>
        </w:rPr>
      </w:pPr>
    </w:p>
    <w:p w:rsidR="007F1D8B" w:rsidRP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Resumen general de costes de la entidad.</w:t>
      </w:r>
    </w:p>
    <w:p w:rsidR="007F1D8B" w:rsidRP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Resumen del coste por elementos de las actividades.</w:t>
      </w:r>
    </w:p>
    <w:p w:rsidR="007F1D8B" w:rsidRP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Resumen de costes por actividad.</w:t>
      </w:r>
    </w:p>
    <w:p w:rsid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Resumen relacionando costes e ingresos de las actividades.</w:t>
      </w:r>
    </w:p>
    <w:p w:rsidR="007F1D8B" w:rsidRPr="007F1D8B" w:rsidRDefault="007F1D8B" w:rsidP="007F1D8B">
      <w:pPr>
        <w:tabs>
          <w:tab w:val="num" w:pos="1276"/>
        </w:tabs>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27. Indicadores de gestión.</w:t>
      </w:r>
    </w:p>
    <w:p w:rsidR="007F1D8B" w:rsidRPr="007F1D8B" w:rsidRDefault="007F1D8B" w:rsidP="007F1D8B">
      <w:pPr>
        <w:spacing w:before="0" w:after="0" w:line="240" w:lineRule="auto"/>
        <w:rPr>
          <w:rFonts w:ascii="Times New Roman" w:hAnsi="Times New Roman"/>
          <w:sz w:val="20"/>
          <w:szCs w:val="24"/>
          <w:lang w:val="es-ES"/>
        </w:rPr>
      </w:pPr>
    </w:p>
    <w:p w:rsidR="007F1D8B" w:rsidRP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Indicadores de eficacia.</w:t>
      </w:r>
    </w:p>
    <w:p w:rsidR="007F1D8B" w:rsidRP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Indicadores de eficiencia.</w:t>
      </w:r>
    </w:p>
    <w:p w:rsidR="007F1D8B" w:rsidRP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 xml:space="preserve">Indicador de economía. </w:t>
      </w:r>
    </w:p>
    <w:p w:rsidR="007F1D8B" w:rsidRDefault="007F1D8B" w:rsidP="007F1D8B">
      <w:pPr>
        <w:tabs>
          <w:tab w:val="num" w:pos="1276"/>
        </w:tabs>
        <w:spacing w:before="0" w:after="0" w:line="240" w:lineRule="auto"/>
        <w:rPr>
          <w:rFonts w:ascii="Times New Roman" w:hAnsi="Times New Roman"/>
          <w:sz w:val="20"/>
          <w:szCs w:val="24"/>
          <w:lang w:val="es-ES"/>
        </w:rPr>
      </w:pPr>
      <w:r w:rsidRPr="007F1D8B">
        <w:rPr>
          <w:rFonts w:ascii="Times New Roman" w:hAnsi="Times New Roman"/>
          <w:sz w:val="20"/>
          <w:szCs w:val="24"/>
          <w:lang w:val="es-ES"/>
        </w:rPr>
        <w:t>Indicador de medios de producción.</w:t>
      </w:r>
    </w:p>
    <w:p w:rsidR="007F1D8B" w:rsidRPr="007F1D8B" w:rsidRDefault="007F1D8B" w:rsidP="007F1D8B">
      <w:pPr>
        <w:tabs>
          <w:tab w:val="num" w:pos="1276"/>
        </w:tabs>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Para confeccionar estas notas, según se especifica en la propia Orden, se deberá tener en cuenta los documentos publicados por la Intervención General de la Administración del Estado (IGAE) los “Principios generales sobre Contabilidad Analítica de las Administraciones Públicas” ( 2004), “Los Indicadores de Gestión en el ámbito del Sector Público” (2007) y la Resolución de 28 de julio de 2011, por la que se regulan los criterios para la elaboración de la información sobre los costes de actividades e indicadores de gestión a incluir en la memoria de las cuentas anuales del Plan General de Contabilidad Pública.</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La referida Resolución establece los criterios básicos que debe seguir la definición del modelo, a través de las estructuras que contempla –elementos de coste, ingreso, centros, actividades y criterios de reparto- sus relaciones, así como el proceso de cálculo para la determinación del coste de dichas estructuras. La determinación de los márgenes de cobertura del coste de las actividades requerirá, necesariamente, la comparación del coste de dichas actividades con sus ingresos.</w:t>
      </w:r>
    </w:p>
    <w:p w:rsidR="007F1D8B" w:rsidRPr="007F1D8B" w:rsidRDefault="007F1D8B" w:rsidP="007F1D8B">
      <w:pPr>
        <w:spacing w:before="0" w:after="0" w:line="240" w:lineRule="auto"/>
        <w:rPr>
          <w:rFonts w:ascii="Times New Roman" w:hAnsi="Times New Roman"/>
          <w:sz w:val="20"/>
          <w:szCs w:val="24"/>
          <w:lang w:val="es-ES"/>
        </w:rPr>
      </w:pPr>
    </w:p>
    <w:p w:rsid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 xml:space="preserve">El objetivo general de la contabilidad analítica propuesta por la Resolución se concreta en generar la información económica del organismo en cuestión para su control a través de los elementos de coste, </w:t>
      </w:r>
      <w:r w:rsidRPr="007F1D8B">
        <w:rPr>
          <w:rFonts w:ascii="Times New Roman" w:hAnsi="Times New Roman"/>
          <w:sz w:val="20"/>
          <w:szCs w:val="24"/>
          <w:lang w:val="es-ES"/>
        </w:rPr>
        <w:lastRenderedPageBreak/>
        <w:t xml:space="preserve">actividades, centros y servicios, además de los correspondientes indicadores de eficiencia, eficacia y economía en cumplimiento de la normativa general y específica. </w:t>
      </w:r>
    </w:p>
    <w:p w:rsidR="007F1D8B" w:rsidRPr="007F1D8B" w:rsidRDefault="007F1D8B" w:rsidP="007F1D8B">
      <w:pPr>
        <w:spacing w:before="0" w:after="0" w:line="240" w:lineRule="auto"/>
        <w:rPr>
          <w:rFonts w:ascii="Times New Roman" w:hAnsi="Times New Roman"/>
          <w:sz w:val="20"/>
          <w:szCs w:val="24"/>
          <w:lang w:val="es-ES"/>
        </w:rPr>
      </w:pPr>
    </w:p>
    <w:p w:rsidR="007F1D8B" w:rsidRPr="007F1D8B" w:rsidRDefault="007F1D8B" w:rsidP="007F1D8B">
      <w:pPr>
        <w:spacing w:before="0" w:after="0" w:line="240" w:lineRule="auto"/>
        <w:rPr>
          <w:rFonts w:ascii="Times New Roman" w:hAnsi="Times New Roman"/>
          <w:sz w:val="20"/>
          <w:szCs w:val="24"/>
          <w:lang w:val="es-ES"/>
        </w:rPr>
      </w:pPr>
      <w:r w:rsidRPr="007F1D8B">
        <w:rPr>
          <w:rFonts w:ascii="Times New Roman" w:hAnsi="Times New Roman"/>
          <w:sz w:val="20"/>
          <w:szCs w:val="24"/>
          <w:lang w:val="es-ES"/>
        </w:rPr>
        <w:t>Algunas de dichas estructuras (objetos de coste) tienen la misión de dar respuesta a preguntas que todo responsable económico se hace para tomar las oportunas decisiones, t</w:t>
      </w:r>
      <w:r>
        <w:rPr>
          <w:rFonts w:ascii="Times New Roman" w:hAnsi="Times New Roman"/>
          <w:sz w:val="20"/>
          <w:szCs w:val="24"/>
          <w:lang w:val="es-ES"/>
        </w:rPr>
        <w:t xml:space="preserve">al como se aprecia en la figura </w:t>
      </w:r>
      <w:r w:rsidRPr="007F1D8B">
        <w:rPr>
          <w:rFonts w:ascii="Times New Roman" w:hAnsi="Times New Roman"/>
          <w:sz w:val="20"/>
          <w:szCs w:val="24"/>
          <w:lang w:val="es-ES"/>
        </w:rPr>
        <w:t>1</w:t>
      </w:r>
      <w:r>
        <w:rPr>
          <w:rFonts w:ascii="Times New Roman" w:hAnsi="Times New Roman"/>
          <w:sz w:val="20"/>
          <w:szCs w:val="24"/>
          <w:lang w:val="es-ES"/>
        </w:rPr>
        <w:t>.</w:t>
      </w:r>
    </w:p>
    <w:p w:rsidR="007F1D8B" w:rsidRDefault="007F1D8B" w:rsidP="00C9532A">
      <w:pPr>
        <w:spacing w:before="0" w:after="0" w:line="240" w:lineRule="auto"/>
        <w:ind w:firstLine="1134"/>
        <w:rPr>
          <w:rFonts w:ascii="Times New Roman" w:hAnsi="Times New Roman"/>
          <w:sz w:val="20"/>
          <w:szCs w:val="24"/>
          <w:lang w:val="es-ES"/>
        </w:rPr>
      </w:pPr>
      <w:r>
        <w:rPr>
          <w:noProof/>
          <w:lang w:val="es-ES" w:eastAsia="es-ES"/>
        </w:rPr>
        <w:drawing>
          <wp:inline distT="0" distB="0" distL="0" distR="0" wp14:anchorId="51181C88" wp14:editId="250B7EED">
            <wp:extent cx="4051216" cy="2307194"/>
            <wp:effectExtent l="0" t="0" r="6985" b="0"/>
            <wp:docPr id="25" name="Imagen 25"/>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422" cy="2318132"/>
                    </a:xfrm>
                    <a:prstGeom prst="rect">
                      <a:avLst/>
                    </a:prstGeom>
                    <a:noFill/>
                  </pic:spPr>
                </pic:pic>
              </a:graphicData>
            </a:graphic>
          </wp:inline>
        </w:drawing>
      </w:r>
    </w:p>
    <w:p w:rsidR="007F1D8B" w:rsidRDefault="007F1D8B" w:rsidP="006A086C">
      <w:pPr>
        <w:spacing w:before="0" w:after="0" w:line="240" w:lineRule="auto"/>
        <w:rPr>
          <w:rFonts w:ascii="Times New Roman" w:hAnsi="Times New Roman"/>
          <w:sz w:val="20"/>
          <w:szCs w:val="24"/>
          <w:lang w:val="es-ES"/>
        </w:rPr>
      </w:pPr>
    </w:p>
    <w:p w:rsidR="007F1D8B" w:rsidRPr="00D027C2" w:rsidRDefault="007F1D8B" w:rsidP="007F1D8B">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Figura 1: </w:t>
      </w:r>
      <w:r w:rsidR="00C9532A">
        <w:rPr>
          <w:rFonts w:ascii="Times New Roman" w:hAnsi="Times New Roman"/>
          <w:sz w:val="20"/>
          <w:szCs w:val="24"/>
          <w:lang w:val="es-ES"/>
        </w:rPr>
        <w:t>Objetos de coste</w:t>
      </w:r>
    </w:p>
    <w:p w:rsidR="007F1D8B" w:rsidRPr="00CF50D0" w:rsidRDefault="007F1D8B" w:rsidP="007F1D8B">
      <w:pPr>
        <w:spacing w:before="0" w:after="0" w:line="240" w:lineRule="auto"/>
        <w:jc w:val="center"/>
        <w:rPr>
          <w:rFonts w:ascii="Times New Roman" w:hAnsi="Times New Roman"/>
          <w:sz w:val="20"/>
          <w:szCs w:val="24"/>
        </w:rPr>
      </w:pPr>
      <w:r w:rsidRPr="00CF50D0">
        <w:rPr>
          <w:rFonts w:ascii="Times New Roman" w:hAnsi="Times New Roman"/>
          <w:sz w:val="20"/>
          <w:szCs w:val="24"/>
        </w:rPr>
        <w:t xml:space="preserve">Fuente: </w:t>
      </w:r>
      <w:r w:rsidR="00C9532A">
        <w:rPr>
          <w:rFonts w:ascii="Times New Roman" w:hAnsi="Times New Roman"/>
          <w:sz w:val="20"/>
          <w:szCs w:val="24"/>
        </w:rPr>
        <w:t>Elaboración propia</w:t>
      </w:r>
    </w:p>
    <w:p w:rsidR="007F1D8B" w:rsidRPr="007F1D8B" w:rsidRDefault="007F1D8B" w:rsidP="00C9532A">
      <w:pPr>
        <w:spacing w:before="0" w:after="0" w:line="240" w:lineRule="auto"/>
        <w:rPr>
          <w:rFonts w:ascii="Times New Roman" w:hAnsi="Times New Roman"/>
          <w:sz w:val="20"/>
          <w:szCs w:val="24"/>
          <w:lang w:val="es-ES"/>
        </w:rPr>
      </w:pPr>
    </w:p>
    <w:p w:rsidR="00C9532A" w:rsidRDefault="00C9532A" w:rsidP="00C9532A">
      <w:pPr>
        <w:spacing w:before="0" w:after="0" w:line="240" w:lineRule="auto"/>
        <w:rPr>
          <w:rFonts w:ascii="Times New Roman" w:hAnsi="Times New Roman"/>
          <w:sz w:val="20"/>
          <w:szCs w:val="24"/>
          <w:lang w:val="es-ES"/>
        </w:rPr>
      </w:pPr>
      <w:r w:rsidRPr="00C9532A">
        <w:rPr>
          <w:rFonts w:ascii="Times New Roman" w:hAnsi="Times New Roman"/>
          <w:sz w:val="20"/>
          <w:szCs w:val="24"/>
          <w:lang w:val="es-ES"/>
        </w:rPr>
        <w:t>Las relaciones entre las citadas estructuras definen el proceso de formación del coste que, según la Resolución, marcan la determinación escalonada del coste de centros y actividades. Según ésta, las etapas del proceso de cálculo deben llevarse a cabo con el siguiente orden:</w:t>
      </w:r>
    </w:p>
    <w:p w:rsidR="00C9532A" w:rsidRPr="00C9532A" w:rsidRDefault="00C9532A" w:rsidP="00C9532A">
      <w:pPr>
        <w:spacing w:before="0" w:after="0" w:line="240" w:lineRule="auto"/>
        <w:rPr>
          <w:rFonts w:ascii="Times New Roman" w:hAnsi="Times New Roman"/>
          <w:sz w:val="20"/>
          <w:szCs w:val="24"/>
          <w:lang w:val="es-ES"/>
        </w:rPr>
      </w:pPr>
    </w:p>
    <w:p w:rsidR="00C9532A" w:rsidRP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Asignación de los elementos de coste a centros y/o actividades.</w:t>
      </w:r>
    </w:p>
    <w:p w:rsidR="00C9532A" w:rsidRP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Asignación del coste pendiente en centros a actividades.</w:t>
      </w:r>
    </w:p>
    <w:p w:rsidR="00C9532A" w:rsidRP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Imputación del coste de actividades auxiliares a centros no auxiliares.</w:t>
      </w:r>
    </w:p>
    <w:p w:rsidR="00C9532A" w:rsidRP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Asignación del coste procedente de actividades auxiliares acumulado en los centros no auxiliares a actividades no auxiliares.</w:t>
      </w:r>
    </w:p>
    <w:p w:rsidR="00C9532A" w:rsidRP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Distribución del coste de actividades DAG a actividades principales o similares.</w:t>
      </w:r>
    </w:p>
    <w:p w:rsidR="00C9532A" w:rsidRP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Distribución del coste de organización a actividades principales o similares.</w:t>
      </w:r>
    </w:p>
    <w:p w:rsidR="00C9532A" w:rsidRDefault="00C9532A" w:rsidP="00C9532A">
      <w:pPr>
        <w:numPr>
          <w:ilvl w:val="0"/>
          <w:numId w:val="5"/>
        </w:numPr>
        <w:spacing w:before="0" w:after="0" w:line="240" w:lineRule="auto"/>
        <w:jc w:val="left"/>
        <w:rPr>
          <w:rFonts w:ascii="Times New Roman" w:hAnsi="Times New Roman"/>
          <w:sz w:val="20"/>
          <w:szCs w:val="24"/>
          <w:lang w:val="es-ES"/>
        </w:rPr>
      </w:pPr>
      <w:r w:rsidRPr="00C9532A">
        <w:rPr>
          <w:rFonts w:ascii="Times New Roman" w:hAnsi="Times New Roman"/>
          <w:sz w:val="20"/>
          <w:szCs w:val="24"/>
          <w:lang w:val="es-ES"/>
        </w:rPr>
        <w:t>Asignación de ingresos a actividades, para, mediante su comparación con el coste, determinar su margen o grado de cobertura.</w:t>
      </w:r>
    </w:p>
    <w:p w:rsidR="00C9532A" w:rsidRPr="00C9532A" w:rsidRDefault="00C9532A" w:rsidP="00C9532A">
      <w:pPr>
        <w:spacing w:before="0" w:after="0" w:line="240" w:lineRule="auto"/>
        <w:ind w:left="720"/>
        <w:jc w:val="left"/>
        <w:rPr>
          <w:rFonts w:ascii="Times New Roman" w:hAnsi="Times New Roman"/>
          <w:sz w:val="20"/>
          <w:szCs w:val="24"/>
          <w:lang w:val="es-ES"/>
        </w:rPr>
      </w:pPr>
    </w:p>
    <w:p w:rsidR="00C9532A" w:rsidRPr="00C9532A" w:rsidRDefault="00C9532A" w:rsidP="00C9532A">
      <w:pPr>
        <w:spacing w:before="0" w:after="0" w:line="240" w:lineRule="auto"/>
        <w:rPr>
          <w:rFonts w:ascii="Times New Roman" w:hAnsi="Times New Roman"/>
          <w:sz w:val="20"/>
          <w:szCs w:val="24"/>
          <w:lang w:val="es-ES"/>
        </w:rPr>
      </w:pPr>
      <w:r w:rsidRPr="00C9532A">
        <w:rPr>
          <w:rFonts w:ascii="Times New Roman" w:hAnsi="Times New Roman"/>
          <w:sz w:val="20"/>
          <w:szCs w:val="24"/>
          <w:lang w:val="es-ES"/>
        </w:rPr>
        <w:t>Tal como puede apreciarse en el esquema representado en la figura 2.</w:t>
      </w:r>
    </w:p>
    <w:p w:rsidR="007F1D8B" w:rsidRPr="00C9532A" w:rsidRDefault="007F1D8B" w:rsidP="00C9532A">
      <w:pPr>
        <w:spacing w:before="0" w:after="0" w:line="240" w:lineRule="auto"/>
        <w:rPr>
          <w:rFonts w:ascii="Times New Roman" w:hAnsi="Times New Roman"/>
          <w:sz w:val="20"/>
          <w:szCs w:val="24"/>
          <w:lang w:val="es-ES"/>
        </w:rPr>
      </w:pPr>
    </w:p>
    <w:p w:rsidR="007F1D8B" w:rsidRDefault="00C9532A" w:rsidP="00C9532A">
      <w:pPr>
        <w:spacing w:before="0" w:after="0" w:line="240" w:lineRule="auto"/>
        <w:ind w:firstLine="851"/>
        <w:rPr>
          <w:rFonts w:ascii="Times New Roman" w:hAnsi="Times New Roman"/>
          <w:sz w:val="20"/>
          <w:szCs w:val="24"/>
          <w:lang w:val="es-ES"/>
        </w:rPr>
      </w:pPr>
      <w:r>
        <w:rPr>
          <w:noProof/>
          <w:lang w:val="es-ES" w:eastAsia="es-ES"/>
        </w:rPr>
        <w:drawing>
          <wp:inline distT="0" distB="0" distL="0" distR="0" wp14:anchorId="7A774F20" wp14:editId="1D1B2CD1">
            <wp:extent cx="4662834" cy="2725033"/>
            <wp:effectExtent l="0" t="0" r="4445" b="0"/>
            <wp:docPr id="87" name="Imagen 87"/>
            <wp:cNvGraphicFramePr/>
            <a:graphic xmlns:a="http://schemas.openxmlformats.org/drawingml/2006/main">
              <a:graphicData uri="http://schemas.openxmlformats.org/drawingml/2006/picture">
                <pic:pic xmlns:pic="http://schemas.openxmlformats.org/drawingml/2006/picture">
                  <pic:nvPicPr>
                    <pic:cNvPr id="87" name="Imagen 8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9039" cy="2728659"/>
                    </a:xfrm>
                    <a:prstGeom prst="rect">
                      <a:avLst/>
                    </a:prstGeom>
                    <a:noFill/>
                  </pic:spPr>
                </pic:pic>
              </a:graphicData>
            </a:graphic>
          </wp:inline>
        </w:drawing>
      </w:r>
    </w:p>
    <w:p w:rsidR="00C9532A" w:rsidRDefault="00C9532A" w:rsidP="00C9532A">
      <w:pPr>
        <w:spacing w:before="0" w:after="0" w:line="240" w:lineRule="auto"/>
        <w:rPr>
          <w:rFonts w:ascii="Times New Roman" w:hAnsi="Times New Roman"/>
          <w:sz w:val="20"/>
          <w:szCs w:val="24"/>
          <w:lang w:val="es-ES"/>
        </w:rPr>
      </w:pPr>
    </w:p>
    <w:p w:rsidR="00C9532A" w:rsidRDefault="00C9532A" w:rsidP="00C9532A">
      <w:pPr>
        <w:spacing w:before="0" w:after="0" w:line="240" w:lineRule="auto"/>
        <w:rPr>
          <w:rFonts w:ascii="Times New Roman" w:hAnsi="Times New Roman"/>
          <w:sz w:val="20"/>
          <w:szCs w:val="24"/>
          <w:lang w:val="es-ES"/>
        </w:rPr>
      </w:pPr>
    </w:p>
    <w:p w:rsidR="00C9532A" w:rsidRPr="00D027C2" w:rsidRDefault="00C9532A" w:rsidP="00C9532A">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Figura </w:t>
      </w:r>
      <w:r>
        <w:rPr>
          <w:rFonts w:ascii="Times New Roman" w:hAnsi="Times New Roman"/>
          <w:sz w:val="20"/>
          <w:szCs w:val="24"/>
          <w:lang w:val="es-ES"/>
        </w:rPr>
        <w:t>2</w:t>
      </w:r>
      <w:r w:rsidRPr="00D027C2">
        <w:rPr>
          <w:rFonts w:ascii="Times New Roman" w:hAnsi="Times New Roman"/>
          <w:sz w:val="20"/>
          <w:szCs w:val="24"/>
          <w:lang w:val="es-ES"/>
        </w:rPr>
        <w:t xml:space="preserve">: </w:t>
      </w:r>
      <w:r>
        <w:rPr>
          <w:rFonts w:ascii="Times New Roman" w:hAnsi="Times New Roman"/>
          <w:sz w:val="20"/>
          <w:szCs w:val="24"/>
          <w:lang w:val="es-ES"/>
        </w:rPr>
        <w:t>Modelo de Contabilidad Analítica</w:t>
      </w:r>
    </w:p>
    <w:p w:rsidR="00C9532A" w:rsidRPr="00CF50D0" w:rsidRDefault="00C9532A" w:rsidP="00C9532A">
      <w:pPr>
        <w:spacing w:before="0" w:after="0" w:line="240" w:lineRule="auto"/>
        <w:jc w:val="center"/>
        <w:rPr>
          <w:rFonts w:ascii="Times New Roman" w:hAnsi="Times New Roman"/>
          <w:sz w:val="20"/>
          <w:szCs w:val="24"/>
        </w:rPr>
      </w:pPr>
      <w:r w:rsidRPr="00CF50D0">
        <w:rPr>
          <w:rFonts w:ascii="Times New Roman" w:hAnsi="Times New Roman"/>
          <w:sz w:val="20"/>
          <w:szCs w:val="24"/>
        </w:rPr>
        <w:t xml:space="preserve">Fuente: </w:t>
      </w:r>
      <w:r>
        <w:rPr>
          <w:rFonts w:ascii="Times New Roman" w:hAnsi="Times New Roman"/>
          <w:sz w:val="20"/>
          <w:szCs w:val="24"/>
        </w:rPr>
        <w:t>Elaboración propia</w:t>
      </w:r>
    </w:p>
    <w:p w:rsidR="00C9532A" w:rsidRPr="00C9532A" w:rsidRDefault="00C9532A" w:rsidP="00C9532A">
      <w:pPr>
        <w:spacing w:before="0" w:after="0" w:line="240" w:lineRule="auto"/>
        <w:rPr>
          <w:rFonts w:ascii="Times New Roman" w:hAnsi="Times New Roman"/>
          <w:sz w:val="20"/>
          <w:szCs w:val="24"/>
        </w:rPr>
      </w:pPr>
    </w:p>
    <w:p w:rsidR="00C9532A" w:rsidRDefault="00C9532A" w:rsidP="00C9532A">
      <w:pPr>
        <w:spacing w:before="0" w:after="0" w:line="240" w:lineRule="auto"/>
        <w:rPr>
          <w:rFonts w:ascii="Times New Roman" w:hAnsi="Times New Roman"/>
          <w:sz w:val="20"/>
          <w:szCs w:val="24"/>
          <w:lang w:val="es-ES"/>
        </w:rPr>
      </w:pPr>
      <w:r w:rsidRPr="00C9532A">
        <w:rPr>
          <w:rFonts w:ascii="Times New Roman" w:hAnsi="Times New Roman"/>
          <w:sz w:val="20"/>
          <w:szCs w:val="24"/>
          <w:lang w:val="es-ES"/>
        </w:rPr>
        <w:t xml:space="preserve">Por su parte, la estructura del coste de </w:t>
      </w:r>
      <w:r>
        <w:rPr>
          <w:rFonts w:ascii="Times New Roman" w:hAnsi="Times New Roman"/>
          <w:sz w:val="20"/>
          <w:szCs w:val="24"/>
          <w:lang w:val="es-ES"/>
        </w:rPr>
        <w:t>centros y</w:t>
      </w:r>
      <w:r w:rsidRPr="00C9532A">
        <w:rPr>
          <w:rFonts w:ascii="Times New Roman" w:hAnsi="Times New Roman"/>
          <w:sz w:val="20"/>
          <w:szCs w:val="24"/>
          <w:lang w:val="es-ES"/>
        </w:rPr>
        <w:t xml:space="preserve"> actividades se podría representar como aparece en la</w:t>
      </w:r>
      <w:r>
        <w:rPr>
          <w:rFonts w:ascii="Times New Roman" w:hAnsi="Times New Roman"/>
          <w:sz w:val="20"/>
          <w:szCs w:val="24"/>
          <w:lang w:val="es-ES"/>
        </w:rPr>
        <w:t>s</w:t>
      </w:r>
      <w:r w:rsidRPr="00C9532A">
        <w:rPr>
          <w:rFonts w:ascii="Times New Roman" w:hAnsi="Times New Roman"/>
          <w:sz w:val="20"/>
          <w:szCs w:val="24"/>
          <w:lang w:val="es-ES"/>
        </w:rPr>
        <w:t xml:space="preserve"> figura</w:t>
      </w:r>
      <w:r>
        <w:rPr>
          <w:rFonts w:ascii="Times New Roman" w:hAnsi="Times New Roman"/>
          <w:sz w:val="20"/>
          <w:szCs w:val="24"/>
          <w:lang w:val="es-ES"/>
        </w:rPr>
        <w:t>s</w:t>
      </w:r>
      <w:r w:rsidRPr="00C9532A">
        <w:rPr>
          <w:rFonts w:ascii="Times New Roman" w:hAnsi="Times New Roman"/>
          <w:sz w:val="20"/>
          <w:szCs w:val="24"/>
          <w:lang w:val="es-ES"/>
        </w:rPr>
        <w:t xml:space="preserve"> </w:t>
      </w:r>
      <w:r>
        <w:rPr>
          <w:rFonts w:ascii="Times New Roman" w:hAnsi="Times New Roman"/>
          <w:sz w:val="20"/>
          <w:szCs w:val="24"/>
          <w:lang w:val="es-ES"/>
        </w:rPr>
        <w:t xml:space="preserve">3 y </w:t>
      </w:r>
      <w:r w:rsidRPr="00C9532A">
        <w:rPr>
          <w:rFonts w:ascii="Times New Roman" w:hAnsi="Times New Roman"/>
          <w:sz w:val="20"/>
          <w:szCs w:val="24"/>
          <w:lang w:val="es-ES"/>
        </w:rPr>
        <w:t>4.</w:t>
      </w:r>
    </w:p>
    <w:p w:rsidR="00C9532A" w:rsidRDefault="00C9532A" w:rsidP="006A086C">
      <w:pPr>
        <w:spacing w:before="0" w:after="0" w:line="240" w:lineRule="auto"/>
        <w:rPr>
          <w:rFonts w:ascii="Times New Roman" w:hAnsi="Times New Roman"/>
          <w:sz w:val="20"/>
          <w:szCs w:val="20"/>
          <w:lang w:val="es-ES"/>
        </w:rPr>
      </w:pPr>
    </w:p>
    <w:p w:rsidR="00C9532A" w:rsidRDefault="00C9532A" w:rsidP="00C9532A">
      <w:pPr>
        <w:spacing w:before="0" w:after="0" w:line="240" w:lineRule="auto"/>
        <w:ind w:firstLine="851"/>
        <w:rPr>
          <w:rFonts w:ascii="Times New Roman" w:hAnsi="Times New Roman"/>
          <w:sz w:val="20"/>
          <w:szCs w:val="20"/>
          <w:lang w:val="es-ES"/>
        </w:rPr>
      </w:pPr>
      <w:r>
        <w:rPr>
          <w:noProof/>
          <w:lang w:val="es-ES" w:eastAsia="es-ES"/>
        </w:rPr>
        <w:drawing>
          <wp:inline distT="0" distB="0" distL="0" distR="0" wp14:anchorId="675ECC7E" wp14:editId="05C23059">
            <wp:extent cx="4129939" cy="3148927"/>
            <wp:effectExtent l="0" t="0" r="0" b="0"/>
            <wp:docPr id="88" name="Imagen 88"/>
            <wp:cNvGraphicFramePr/>
            <a:graphic xmlns:a="http://schemas.openxmlformats.org/drawingml/2006/main">
              <a:graphicData uri="http://schemas.openxmlformats.org/drawingml/2006/picture">
                <pic:pic xmlns:pic="http://schemas.openxmlformats.org/drawingml/2006/picture">
                  <pic:nvPicPr>
                    <pic:cNvPr id="88" name="Imagen 8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476" cy="3151624"/>
                    </a:xfrm>
                    <a:prstGeom prst="rect">
                      <a:avLst/>
                    </a:prstGeom>
                    <a:noFill/>
                  </pic:spPr>
                </pic:pic>
              </a:graphicData>
            </a:graphic>
          </wp:inline>
        </w:drawing>
      </w:r>
    </w:p>
    <w:p w:rsidR="00C9532A" w:rsidRDefault="00C9532A" w:rsidP="006A086C">
      <w:pPr>
        <w:spacing w:before="0" w:after="0" w:line="240" w:lineRule="auto"/>
        <w:rPr>
          <w:rFonts w:ascii="Times New Roman" w:hAnsi="Times New Roman"/>
          <w:sz w:val="20"/>
          <w:szCs w:val="20"/>
          <w:lang w:val="es-ES"/>
        </w:rPr>
      </w:pPr>
    </w:p>
    <w:p w:rsidR="00C9532A" w:rsidRPr="00D027C2" w:rsidRDefault="00C9532A" w:rsidP="00C9532A">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Figura </w:t>
      </w:r>
      <w:r>
        <w:rPr>
          <w:rFonts w:ascii="Times New Roman" w:hAnsi="Times New Roman"/>
          <w:sz w:val="20"/>
          <w:szCs w:val="24"/>
          <w:lang w:val="es-ES"/>
        </w:rPr>
        <w:t>3</w:t>
      </w:r>
      <w:r w:rsidRPr="00D027C2">
        <w:rPr>
          <w:rFonts w:ascii="Times New Roman" w:hAnsi="Times New Roman"/>
          <w:sz w:val="20"/>
          <w:szCs w:val="24"/>
          <w:lang w:val="es-ES"/>
        </w:rPr>
        <w:t xml:space="preserve">: </w:t>
      </w:r>
      <w:r>
        <w:rPr>
          <w:rFonts w:ascii="Times New Roman" w:hAnsi="Times New Roman"/>
          <w:sz w:val="20"/>
          <w:szCs w:val="24"/>
          <w:lang w:val="es-ES"/>
        </w:rPr>
        <w:t>Estructura del coste de los centros</w:t>
      </w:r>
    </w:p>
    <w:p w:rsidR="00C9532A" w:rsidRPr="00CF50D0" w:rsidRDefault="00C9532A" w:rsidP="00C9532A">
      <w:pPr>
        <w:spacing w:before="0" w:after="0" w:line="240" w:lineRule="auto"/>
        <w:jc w:val="center"/>
        <w:rPr>
          <w:rFonts w:ascii="Times New Roman" w:hAnsi="Times New Roman"/>
          <w:sz w:val="20"/>
          <w:szCs w:val="24"/>
        </w:rPr>
      </w:pPr>
      <w:r w:rsidRPr="00CF50D0">
        <w:rPr>
          <w:rFonts w:ascii="Times New Roman" w:hAnsi="Times New Roman"/>
          <w:sz w:val="20"/>
          <w:szCs w:val="24"/>
        </w:rPr>
        <w:t xml:space="preserve">Fuente: </w:t>
      </w:r>
      <w:r>
        <w:rPr>
          <w:rFonts w:ascii="Times New Roman" w:hAnsi="Times New Roman"/>
          <w:sz w:val="20"/>
          <w:szCs w:val="24"/>
        </w:rPr>
        <w:t>Elaboración propia</w:t>
      </w:r>
    </w:p>
    <w:p w:rsidR="00C9532A" w:rsidRPr="00C9532A" w:rsidRDefault="00C9532A" w:rsidP="006A086C">
      <w:pPr>
        <w:spacing w:before="0" w:after="0" w:line="240" w:lineRule="auto"/>
        <w:rPr>
          <w:rFonts w:ascii="Times New Roman" w:hAnsi="Times New Roman"/>
          <w:sz w:val="20"/>
          <w:szCs w:val="20"/>
        </w:rPr>
      </w:pPr>
    </w:p>
    <w:p w:rsidR="00C9532A" w:rsidRPr="00C9532A" w:rsidRDefault="00C9532A" w:rsidP="00C9532A">
      <w:pPr>
        <w:spacing w:before="0" w:after="0" w:line="240" w:lineRule="auto"/>
        <w:rPr>
          <w:rFonts w:ascii="Times New Roman" w:hAnsi="Times New Roman"/>
          <w:sz w:val="20"/>
          <w:szCs w:val="24"/>
          <w:lang w:val="es-ES"/>
        </w:rPr>
      </w:pPr>
    </w:p>
    <w:p w:rsidR="00C9532A" w:rsidRPr="00C9532A" w:rsidRDefault="00C9532A" w:rsidP="00C9532A">
      <w:pPr>
        <w:spacing w:before="0" w:after="0" w:line="240" w:lineRule="auto"/>
        <w:ind w:firstLine="284"/>
        <w:rPr>
          <w:rFonts w:ascii="Times New Roman" w:hAnsi="Times New Roman"/>
          <w:sz w:val="20"/>
          <w:szCs w:val="24"/>
          <w:lang w:val="es-ES"/>
        </w:rPr>
      </w:pPr>
      <w:r w:rsidRPr="00C9532A">
        <w:rPr>
          <w:rFonts w:ascii="Times New Roman" w:hAnsi="Times New Roman"/>
          <w:noProof/>
          <w:sz w:val="20"/>
          <w:szCs w:val="24"/>
          <w:lang w:val="es-ES" w:eastAsia="es-ES"/>
        </w:rPr>
        <w:drawing>
          <wp:inline distT="0" distB="0" distL="0" distR="0">
            <wp:extent cx="4929505" cy="2028825"/>
            <wp:effectExtent l="0" t="0" r="444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9505" cy="2028825"/>
                    </a:xfrm>
                    <a:prstGeom prst="rect">
                      <a:avLst/>
                    </a:prstGeom>
                    <a:noFill/>
                    <a:ln>
                      <a:noFill/>
                    </a:ln>
                  </pic:spPr>
                </pic:pic>
              </a:graphicData>
            </a:graphic>
          </wp:inline>
        </w:drawing>
      </w:r>
    </w:p>
    <w:p w:rsidR="00C9532A" w:rsidRDefault="00C9532A" w:rsidP="00C9532A">
      <w:pPr>
        <w:spacing w:before="0" w:after="0" w:line="240" w:lineRule="auto"/>
        <w:jc w:val="center"/>
        <w:rPr>
          <w:rFonts w:ascii="Times New Roman" w:hAnsi="Times New Roman"/>
          <w:sz w:val="20"/>
          <w:szCs w:val="24"/>
          <w:lang w:val="es-ES"/>
        </w:rPr>
      </w:pPr>
    </w:p>
    <w:p w:rsidR="00C9532A" w:rsidRPr="00D027C2" w:rsidRDefault="00C9532A" w:rsidP="00C9532A">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Figura </w:t>
      </w:r>
      <w:r>
        <w:rPr>
          <w:rFonts w:ascii="Times New Roman" w:hAnsi="Times New Roman"/>
          <w:sz w:val="20"/>
          <w:szCs w:val="24"/>
          <w:lang w:val="es-ES"/>
        </w:rPr>
        <w:t>4</w:t>
      </w:r>
      <w:r w:rsidRPr="00D027C2">
        <w:rPr>
          <w:rFonts w:ascii="Times New Roman" w:hAnsi="Times New Roman"/>
          <w:sz w:val="20"/>
          <w:szCs w:val="24"/>
          <w:lang w:val="es-ES"/>
        </w:rPr>
        <w:t xml:space="preserve">: </w:t>
      </w:r>
      <w:r>
        <w:rPr>
          <w:rFonts w:ascii="Times New Roman" w:hAnsi="Times New Roman"/>
          <w:sz w:val="20"/>
          <w:szCs w:val="24"/>
          <w:lang w:val="es-ES"/>
        </w:rPr>
        <w:t>Estructura del coste de las actividades</w:t>
      </w:r>
    </w:p>
    <w:p w:rsidR="00C9532A" w:rsidRDefault="00C9532A" w:rsidP="00C9532A">
      <w:pPr>
        <w:spacing w:before="0" w:after="0" w:line="240" w:lineRule="auto"/>
        <w:jc w:val="center"/>
        <w:rPr>
          <w:rFonts w:ascii="Times New Roman" w:hAnsi="Times New Roman"/>
          <w:sz w:val="20"/>
          <w:szCs w:val="24"/>
        </w:rPr>
      </w:pPr>
      <w:r w:rsidRPr="00CF50D0">
        <w:rPr>
          <w:rFonts w:ascii="Times New Roman" w:hAnsi="Times New Roman"/>
          <w:sz w:val="20"/>
          <w:szCs w:val="24"/>
        </w:rPr>
        <w:t xml:space="preserve">Fuente: </w:t>
      </w:r>
      <w:r>
        <w:rPr>
          <w:rFonts w:ascii="Times New Roman" w:hAnsi="Times New Roman"/>
          <w:sz w:val="20"/>
          <w:szCs w:val="24"/>
        </w:rPr>
        <w:t>Elaboración propia</w:t>
      </w:r>
    </w:p>
    <w:p w:rsidR="0055233B" w:rsidRPr="00C9532A" w:rsidRDefault="0055233B" w:rsidP="00C9532A">
      <w:pPr>
        <w:spacing w:before="0" w:after="0" w:line="240" w:lineRule="auto"/>
        <w:rPr>
          <w:rFonts w:ascii="Times New Roman" w:hAnsi="Times New Roman"/>
          <w:sz w:val="20"/>
          <w:szCs w:val="24"/>
          <w:lang w:val="es-ES"/>
        </w:rPr>
      </w:pPr>
    </w:p>
    <w:p w:rsidR="00C9532A" w:rsidRPr="00C9532A" w:rsidRDefault="00C9532A" w:rsidP="00C9532A">
      <w:pPr>
        <w:spacing w:before="0" w:after="0" w:line="240" w:lineRule="auto"/>
        <w:rPr>
          <w:rFonts w:ascii="Times New Roman" w:hAnsi="Times New Roman"/>
          <w:sz w:val="20"/>
          <w:szCs w:val="24"/>
          <w:lang w:val="es-ES"/>
        </w:rPr>
      </w:pPr>
      <w:r w:rsidRPr="00C9532A">
        <w:rPr>
          <w:rFonts w:ascii="Times New Roman" w:hAnsi="Times New Roman"/>
          <w:sz w:val="20"/>
          <w:szCs w:val="24"/>
          <w:lang w:val="es-ES"/>
        </w:rPr>
        <w:t>Finalmente, respecto a los márgenes de cobertura de las actividades, la propia Resolución nos presenta su funcionamiento y obtención a través del esquema representado en la figura 5.</w:t>
      </w:r>
    </w:p>
    <w:p w:rsidR="00C9532A" w:rsidRPr="00C9532A" w:rsidRDefault="00C9532A" w:rsidP="00C9532A">
      <w:pPr>
        <w:spacing w:before="0" w:after="0" w:line="240" w:lineRule="auto"/>
        <w:rPr>
          <w:rFonts w:ascii="Times New Roman" w:hAnsi="Times New Roman"/>
          <w:sz w:val="20"/>
          <w:szCs w:val="24"/>
          <w:lang w:val="es-ES"/>
        </w:rPr>
      </w:pPr>
    </w:p>
    <w:p w:rsidR="00C9532A" w:rsidRDefault="00C9532A" w:rsidP="0055233B">
      <w:pPr>
        <w:spacing w:before="0" w:after="0" w:line="240" w:lineRule="auto"/>
        <w:ind w:firstLine="851"/>
        <w:rPr>
          <w:rFonts w:ascii="Times New Roman" w:hAnsi="Times New Roman"/>
          <w:sz w:val="20"/>
          <w:szCs w:val="24"/>
          <w:lang w:val="es-ES"/>
        </w:rPr>
      </w:pPr>
      <w:r>
        <w:rPr>
          <w:noProof/>
          <w:lang w:val="es-ES" w:eastAsia="es-ES"/>
        </w:rPr>
        <w:lastRenderedPageBreak/>
        <w:drawing>
          <wp:inline distT="0" distB="0" distL="0" distR="0" wp14:anchorId="29DA90F7" wp14:editId="07C5FC15">
            <wp:extent cx="4135995" cy="2095247"/>
            <wp:effectExtent l="0" t="0" r="0" b="635"/>
            <wp:docPr id="90" name="Imagen 90"/>
            <wp:cNvGraphicFramePr/>
            <a:graphic xmlns:a="http://schemas.openxmlformats.org/drawingml/2006/main">
              <a:graphicData uri="http://schemas.openxmlformats.org/drawingml/2006/picture">
                <pic:pic xmlns:pic="http://schemas.openxmlformats.org/drawingml/2006/picture">
                  <pic:nvPicPr>
                    <pic:cNvPr id="90" name="Imagen 90"/>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8512" cy="2101588"/>
                    </a:xfrm>
                    <a:prstGeom prst="rect">
                      <a:avLst/>
                    </a:prstGeom>
                    <a:noFill/>
                  </pic:spPr>
                </pic:pic>
              </a:graphicData>
            </a:graphic>
          </wp:inline>
        </w:drawing>
      </w:r>
    </w:p>
    <w:p w:rsidR="00C9532A" w:rsidRDefault="00C9532A" w:rsidP="00C9532A">
      <w:pPr>
        <w:spacing w:before="0" w:after="0" w:line="240" w:lineRule="auto"/>
        <w:rPr>
          <w:rFonts w:ascii="Times New Roman" w:hAnsi="Times New Roman"/>
          <w:sz w:val="20"/>
          <w:szCs w:val="24"/>
          <w:lang w:val="es-ES"/>
        </w:rPr>
      </w:pPr>
    </w:p>
    <w:p w:rsidR="00C9532A" w:rsidRPr="00D027C2" w:rsidRDefault="00C9532A" w:rsidP="00C9532A">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Figura </w:t>
      </w:r>
      <w:r>
        <w:rPr>
          <w:rFonts w:ascii="Times New Roman" w:hAnsi="Times New Roman"/>
          <w:sz w:val="20"/>
          <w:szCs w:val="24"/>
          <w:lang w:val="es-ES"/>
        </w:rPr>
        <w:t>5</w:t>
      </w:r>
      <w:r w:rsidRPr="00D027C2">
        <w:rPr>
          <w:rFonts w:ascii="Times New Roman" w:hAnsi="Times New Roman"/>
          <w:sz w:val="20"/>
          <w:szCs w:val="24"/>
          <w:lang w:val="es-ES"/>
        </w:rPr>
        <w:t xml:space="preserve">: </w:t>
      </w:r>
      <w:r>
        <w:rPr>
          <w:rFonts w:ascii="Times New Roman" w:hAnsi="Times New Roman"/>
          <w:sz w:val="20"/>
          <w:szCs w:val="24"/>
          <w:lang w:val="es-ES"/>
        </w:rPr>
        <w:t>Estructura del formación de márgenes</w:t>
      </w:r>
    </w:p>
    <w:p w:rsidR="00C9532A" w:rsidRDefault="00C9532A" w:rsidP="00C9532A">
      <w:pPr>
        <w:spacing w:before="0" w:after="0" w:line="240" w:lineRule="auto"/>
        <w:jc w:val="center"/>
        <w:rPr>
          <w:rFonts w:ascii="Times New Roman" w:hAnsi="Times New Roman"/>
          <w:sz w:val="20"/>
          <w:szCs w:val="24"/>
        </w:rPr>
      </w:pPr>
      <w:r w:rsidRPr="00CF50D0">
        <w:rPr>
          <w:rFonts w:ascii="Times New Roman" w:hAnsi="Times New Roman"/>
          <w:sz w:val="20"/>
          <w:szCs w:val="24"/>
        </w:rPr>
        <w:t xml:space="preserve">Fuente: </w:t>
      </w:r>
      <w:r>
        <w:rPr>
          <w:rFonts w:ascii="Times New Roman" w:hAnsi="Times New Roman"/>
          <w:sz w:val="20"/>
          <w:szCs w:val="24"/>
        </w:rPr>
        <w:t>Elaboración propia</w:t>
      </w:r>
    </w:p>
    <w:p w:rsidR="00C9532A" w:rsidRDefault="00C9532A" w:rsidP="00C9532A">
      <w:pPr>
        <w:spacing w:before="0" w:after="0" w:line="240" w:lineRule="auto"/>
        <w:rPr>
          <w:rFonts w:ascii="Times New Roman" w:hAnsi="Times New Roman"/>
          <w:sz w:val="20"/>
          <w:szCs w:val="24"/>
          <w:lang w:val="es-ES"/>
        </w:rPr>
      </w:pPr>
    </w:p>
    <w:p w:rsidR="008A48EB" w:rsidRDefault="008A48EB" w:rsidP="008A48EB">
      <w:pPr>
        <w:spacing w:before="0" w:after="0" w:line="240" w:lineRule="auto"/>
        <w:rPr>
          <w:rFonts w:ascii="Times New Roman" w:hAnsi="Times New Roman"/>
          <w:sz w:val="20"/>
          <w:szCs w:val="24"/>
          <w:lang w:val="es-ES"/>
        </w:rPr>
      </w:pPr>
      <w:r w:rsidRPr="008A48EB">
        <w:rPr>
          <w:rFonts w:ascii="Times New Roman" w:hAnsi="Times New Roman"/>
          <w:sz w:val="20"/>
          <w:szCs w:val="24"/>
          <w:lang w:val="es-ES"/>
        </w:rPr>
        <w:t>Finalmente, con el proceso de cálculo se generará una base de datos cuya misión es proporcionar la información que requieren los diversos usuarios y que, según el nivel de responsabilidad en la toma de decisiones, precisará de requerimientos y agregaciones diferenciadas de los datos. Todo ello puede representarse como se muestra en la figura 6.</w:t>
      </w:r>
    </w:p>
    <w:p w:rsidR="008A48EB" w:rsidRPr="008A48EB" w:rsidRDefault="008A48EB" w:rsidP="008A48EB">
      <w:pPr>
        <w:spacing w:before="0" w:after="0" w:line="240" w:lineRule="auto"/>
        <w:rPr>
          <w:rFonts w:ascii="Times New Roman" w:hAnsi="Times New Roman"/>
          <w:sz w:val="20"/>
          <w:szCs w:val="24"/>
          <w:lang w:val="es-ES"/>
        </w:rPr>
      </w:pPr>
    </w:p>
    <w:p w:rsidR="008A48EB" w:rsidRPr="008A48EB" w:rsidRDefault="008A48EB" w:rsidP="008A48EB">
      <w:pPr>
        <w:spacing w:before="0" w:after="0" w:line="240" w:lineRule="auto"/>
        <w:ind w:firstLine="709"/>
        <w:rPr>
          <w:rFonts w:ascii="Times New Roman" w:hAnsi="Times New Roman"/>
          <w:sz w:val="20"/>
          <w:szCs w:val="24"/>
          <w:lang w:val="es-ES"/>
        </w:rPr>
      </w:pPr>
      <w:r w:rsidRPr="008A48EB">
        <w:rPr>
          <w:rFonts w:ascii="Times New Roman" w:hAnsi="Times New Roman"/>
          <w:noProof/>
          <w:sz w:val="20"/>
          <w:szCs w:val="24"/>
          <w:lang w:val="es-ES" w:eastAsia="es-ES"/>
        </w:rPr>
        <w:drawing>
          <wp:inline distT="0" distB="0" distL="0" distR="0">
            <wp:extent cx="4847439" cy="265842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2223" cy="2666529"/>
                    </a:xfrm>
                    <a:prstGeom prst="rect">
                      <a:avLst/>
                    </a:prstGeom>
                    <a:noFill/>
                    <a:ln>
                      <a:noFill/>
                    </a:ln>
                  </pic:spPr>
                </pic:pic>
              </a:graphicData>
            </a:graphic>
          </wp:inline>
        </w:drawing>
      </w:r>
    </w:p>
    <w:p w:rsidR="008A48EB" w:rsidRDefault="008A48EB" w:rsidP="008A48EB">
      <w:pPr>
        <w:spacing w:before="0" w:after="0" w:line="240" w:lineRule="auto"/>
        <w:jc w:val="center"/>
        <w:rPr>
          <w:rFonts w:ascii="Times New Roman" w:hAnsi="Times New Roman"/>
          <w:sz w:val="20"/>
          <w:szCs w:val="24"/>
          <w:lang w:val="es-ES"/>
        </w:rPr>
      </w:pPr>
    </w:p>
    <w:p w:rsidR="008A48EB" w:rsidRPr="00D027C2" w:rsidRDefault="008A48EB" w:rsidP="008A48EB">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Figura </w:t>
      </w:r>
      <w:r>
        <w:rPr>
          <w:rFonts w:ascii="Times New Roman" w:hAnsi="Times New Roman"/>
          <w:sz w:val="20"/>
          <w:szCs w:val="24"/>
          <w:lang w:val="es-ES"/>
        </w:rPr>
        <w:t>6</w:t>
      </w:r>
      <w:r w:rsidRPr="00D027C2">
        <w:rPr>
          <w:rFonts w:ascii="Times New Roman" w:hAnsi="Times New Roman"/>
          <w:sz w:val="20"/>
          <w:szCs w:val="24"/>
          <w:lang w:val="es-ES"/>
        </w:rPr>
        <w:t xml:space="preserve">: </w:t>
      </w:r>
      <w:r>
        <w:rPr>
          <w:rFonts w:ascii="Times New Roman" w:hAnsi="Times New Roman"/>
          <w:sz w:val="20"/>
          <w:szCs w:val="24"/>
          <w:lang w:val="es-ES"/>
        </w:rPr>
        <w:t>Estructura del outputs informativos y destinatarios de la información</w:t>
      </w:r>
    </w:p>
    <w:p w:rsidR="008A48EB" w:rsidRPr="008A48EB" w:rsidRDefault="008A48EB" w:rsidP="008A48EB">
      <w:pPr>
        <w:spacing w:before="0" w:after="0" w:line="240" w:lineRule="auto"/>
        <w:jc w:val="center"/>
        <w:rPr>
          <w:rFonts w:ascii="Times New Roman" w:hAnsi="Times New Roman"/>
          <w:sz w:val="20"/>
          <w:szCs w:val="24"/>
          <w:lang w:val="es-ES"/>
        </w:rPr>
      </w:pPr>
      <w:r w:rsidRPr="008A48EB">
        <w:rPr>
          <w:rFonts w:ascii="Times New Roman" w:hAnsi="Times New Roman"/>
          <w:sz w:val="20"/>
          <w:szCs w:val="24"/>
          <w:lang w:val="es-ES"/>
        </w:rPr>
        <w:t>Fuente: Elaboración propia</w:t>
      </w:r>
    </w:p>
    <w:p w:rsidR="008A48EB" w:rsidRDefault="008A48EB" w:rsidP="008A48EB">
      <w:pPr>
        <w:spacing w:before="0" w:after="0" w:line="240" w:lineRule="auto"/>
        <w:rPr>
          <w:rFonts w:ascii="Times New Roman" w:hAnsi="Times New Roman"/>
          <w:sz w:val="20"/>
          <w:szCs w:val="24"/>
          <w:lang w:val="es-ES"/>
        </w:rPr>
      </w:pPr>
    </w:p>
    <w:p w:rsidR="008A48EB" w:rsidRPr="008A48EB" w:rsidRDefault="008A48EB" w:rsidP="008A48EB">
      <w:pPr>
        <w:spacing w:before="0" w:after="0" w:line="240" w:lineRule="auto"/>
        <w:rPr>
          <w:rFonts w:ascii="Times New Roman" w:hAnsi="Times New Roman"/>
          <w:sz w:val="20"/>
          <w:szCs w:val="24"/>
          <w:lang w:val="es-ES"/>
        </w:rPr>
      </w:pPr>
      <w:r w:rsidRPr="008A48EB">
        <w:rPr>
          <w:rFonts w:ascii="Times New Roman" w:hAnsi="Times New Roman"/>
          <w:sz w:val="20"/>
          <w:szCs w:val="24"/>
          <w:lang w:val="es-ES"/>
        </w:rPr>
        <w:t>En el trabajo que presentamos, como no puede ser de otra forma, al situarse en el marco administrativo local, hemos seguido de manera rigurosa los criterios metodológicos en la determinación del cálculo propuesto por la citada Resolución de la IGAE y que, de forma simplificada, acabamos de exponer.</w:t>
      </w:r>
    </w:p>
    <w:p w:rsidR="0055233B" w:rsidRPr="008A48EB" w:rsidRDefault="0055233B" w:rsidP="008A48EB">
      <w:pPr>
        <w:spacing w:before="0" w:after="0" w:line="240" w:lineRule="auto"/>
        <w:rPr>
          <w:rFonts w:ascii="Times New Roman" w:hAnsi="Times New Roman"/>
          <w:sz w:val="20"/>
          <w:szCs w:val="24"/>
          <w:lang w:val="es-ES"/>
        </w:rPr>
      </w:pPr>
    </w:p>
    <w:p w:rsidR="008A48EB" w:rsidRPr="008A48EB" w:rsidRDefault="008A48EB" w:rsidP="008A48EB">
      <w:pPr>
        <w:pStyle w:val="Ttulo1"/>
        <w:spacing w:before="0" w:line="240" w:lineRule="auto"/>
        <w:rPr>
          <w:rFonts w:ascii="Times New Roman" w:hAnsi="Times New Roman" w:cs="Times New Roman"/>
          <w:color w:val="auto"/>
          <w:sz w:val="20"/>
          <w:szCs w:val="22"/>
          <w:lang w:val="es-ES"/>
        </w:rPr>
      </w:pPr>
      <w:r w:rsidRPr="008A48EB">
        <w:rPr>
          <w:rFonts w:ascii="Times New Roman" w:hAnsi="Times New Roman" w:cs="Times New Roman"/>
          <w:color w:val="auto"/>
          <w:sz w:val="20"/>
          <w:szCs w:val="22"/>
          <w:lang w:val="es-ES"/>
        </w:rPr>
        <w:t>3. EL CONTROL DE LA ACTIVIDAD ECONÓMICA DEL IASS</w:t>
      </w:r>
    </w:p>
    <w:p w:rsidR="00C9532A" w:rsidRDefault="00C9532A" w:rsidP="008A48EB">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b/>
          <w:sz w:val="20"/>
          <w:szCs w:val="24"/>
          <w:lang w:val="es-ES"/>
        </w:rPr>
      </w:pPr>
      <w:r w:rsidRPr="00771820">
        <w:rPr>
          <w:rFonts w:ascii="Times New Roman" w:hAnsi="Times New Roman"/>
          <w:b/>
          <w:sz w:val="20"/>
          <w:szCs w:val="24"/>
          <w:lang w:val="es-ES"/>
        </w:rPr>
        <w:t>3.1. ELEMENTOS DE COSTES Y ELEMENTOS DE INGRESO</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La cuantificación de los consumos de todo tipo de factores realizados por el IASS supone el primer paso para el inicio de los trabajos de definición de las estructuras del Modelo de Contabilidad Analítica, pues constituyen obligado punto de partida para el análisis del coste de prestación de servicios, centros o actividades, al originar éstos, los mencionados consumos de bienes y servicios realizados por la organización, siendo necesario que el Modelo sea capaz de identificarlos, catalogarlos y asignarlos a los objetos de coste.</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lastRenderedPageBreak/>
        <w:t>Pero con independencia de dicha catalogación, derivada de la naturaleza de los consumos efectuados, para atender a las requerimientos informativos obligatorios, resulta conveniente llevar a cabo otras reclasificaciones de tales consumos atendiendo a otros criterios, tales como las posibilidades de identificación con objetos de coste, su variabilidad respecto al nivel de servicio del período, su origen o procedencia –de la ejecución de gastos del IASS (costes externos), o de cálculos internos efectuados por el modelo, tales como amortizaciones (costes calculados)-, o su incorporabilidad al proceso de cálculo de costes, entre otros.</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Es por ello que, en el proceso de diseño del modelo, resulta necesario analizar qué criterios resulta oportuno aplicar para el tratamiento de éstos. En principio, junto a su catalogación por la naturaleza del consumo, se prevén, al menos, las siguientes clasificaciones:</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b/>
        <w:t>• Por su origen:</w:t>
      </w:r>
    </w:p>
    <w:p w:rsidR="00771820" w:rsidRPr="00771820" w:rsidRDefault="00771820" w:rsidP="00771820">
      <w:pPr>
        <w:pStyle w:val="Prrafodelista"/>
        <w:numPr>
          <w:ilvl w:val="0"/>
          <w:numId w:val="6"/>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procedentes de la ejecución de gastos del IASS</w:t>
      </w:r>
    </w:p>
    <w:p w:rsidR="00771820" w:rsidRPr="00771820" w:rsidRDefault="00771820" w:rsidP="00771820">
      <w:pPr>
        <w:pStyle w:val="Prrafodelista"/>
        <w:numPr>
          <w:ilvl w:val="0"/>
          <w:numId w:val="6"/>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procedentes de cálculos internos</w:t>
      </w:r>
    </w:p>
    <w:p w:rsidR="00771820" w:rsidRPr="00771820" w:rsidRDefault="00771820" w:rsidP="00771820">
      <w:pPr>
        <w:spacing w:before="0" w:after="0" w:line="240" w:lineRule="auto"/>
        <w:ind w:firstLine="708"/>
        <w:rPr>
          <w:rFonts w:ascii="Times New Roman" w:hAnsi="Times New Roman"/>
          <w:sz w:val="20"/>
          <w:szCs w:val="24"/>
          <w:lang w:val="es-ES"/>
        </w:rPr>
      </w:pPr>
      <w:r w:rsidRPr="00771820">
        <w:rPr>
          <w:rFonts w:ascii="Times New Roman" w:hAnsi="Times New Roman"/>
          <w:sz w:val="20"/>
          <w:szCs w:val="24"/>
          <w:lang w:val="es-ES"/>
        </w:rPr>
        <w:t>• Por su incorporabilidad al proceso de cálculo de costes:</w:t>
      </w:r>
    </w:p>
    <w:p w:rsidR="00771820" w:rsidRPr="00771820" w:rsidRDefault="00771820" w:rsidP="00771820">
      <w:pPr>
        <w:pStyle w:val="Prrafodelista"/>
        <w:numPr>
          <w:ilvl w:val="0"/>
          <w:numId w:val="7"/>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Cargas incorporables</w:t>
      </w:r>
    </w:p>
    <w:p w:rsidR="00771820" w:rsidRPr="00771820" w:rsidRDefault="00771820" w:rsidP="00771820">
      <w:pPr>
        <w:pStyle w:val="Prrafodelista"/>
        <w:numPr>
          <w:ilvl w:val="0"/>
          <w:numId w:val="7"/>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Cargas no incorporables</w:t>
      </w:r>
    </w:p>
    <w:p w:rsidR="00771820" w:rsidRPr="00771820" w:rsidRDefault="00771820" w:rsidP="00771820">
      <w:pPr>
        <w:spacing w:before="0" w:after="0" w:line="240" w:lineRule="auto"/>
        <w:ind w:firstLine="708"/>
        <w:rPr>
          <w:rFonts w:ascii="Times New Roman" w:hAnsi="Times New Roman"/>
          <w:sz w:val="20"/>
          <w:szCs w:val="24"/>
          <w:lang w:val="es-ES"/>
        </w:rPr>
      </w:pPr>
      <w:r w:rsidRPr="00771820">
        <w:rPr>
          <w:rFonts w:ascii="Times New Roman" w:hAnsi="Times New Roman"/>
          <w:sz w:val="20"/>
          <w:szCs w:val="24"/>
          <w:lang w:val="es-ES"/>
        </w:rPr>
        <w:t>• Por sus posibilidades de relación con objetos de costes:</w:t>
      </w:r>
    </w:p>
    <w:p w:rsidR="00771820" w:rsidRPr="00771820" w:rsidRDefault="00771820" w:rsidP="00771820">
      <w:pPr>
        <w:pStyle w:val="Prrafodelista"/>
        <w:numPr>
          <w:ilvl w:val="0"/>
          <w:numId w:val="8"/>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directos (a centros, actividades u otros objetos de cálculo)</w:t>
      </w:r>
    </w:p>
    <w:p w:rsidR="00771820" w:rsidRPr="00771820" w:rsidRDefault="00771820" w:rsidP="00771820">
      <w:pPr>
        <w:pStyle w:val="Prrafodelista"/>
        <w:numPr>
          <w:ilvl w:val="0"/>
          <w:numId w:val="8"/>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indirectos (a centros, actividades u otros objetos de cálculo)</w:t>
      </w:r>
    </w:p>
    <w:p w:rsidR="00771820" w:rsidRPr="00771820" w:rsidRDefault="00771820" w:rsidP="00771820">
      <w:pPr>
        <w:spacing w:before="0" w:after="0" w:line="240" w:lineRule="auto"/>
        <w:ind w:firstLine="708"/>
        <w:rPr>
          <w:rFonts w:ascii="Times New Roman" w:hAnsi="Times New Roman"/>
          <w:sz w:val="20"/>
          <w:szCs w:val="24"/>
          <w:lang w:val="es-ES"/>
        </w:rPr>
      </w:pPr>
      <w:r w:rsidRPr="00771820">
        <w:rPr>
          <w:rFonts w:ascii="Times New Roman" w:hAnsi="Times New Roman"/>
          <w:sz w:val="20"/>
          <w:szCs w:val="24"/>
          <w:lang w:val="es-ES"/>
        </w:rPr>
        <w:t>• Por su relación con la actividad o producción:</w:t>
      </w:r>
    </w:p>
    <w:p w:rsidR="00771820" w:rsidRPr="00771820" w:rsidRDefault="00771820" w:rsidP="00771820">
      <w:pPr>
        <w:pStyle w:val="Prrafodelista"/>
        <w:numPr>
          <w:ilvl w:val="0"/>
          <w:numId w:val="9"/>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variables (respecto a actividades, servicios, u otros objetos de cálculo)</w:t>
      </w:r>
    </w:p>
    <w:p w:rsidR="00771820" w:rsidRDefault="00771820" w:rsidP="00771820">
      <w:pPr>
        <w:pStyle w:val="Prrafodelista"/>
        <w:numPr>
          <w:ilvl w:val="0"/>
          <w:numId w:val="9"/>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fijos (respecto a actividades, servicios, u otros objetos de cálculo)</w:t>
      </w:r>
    </w:p>
    <w:p w:rsidR="00771820" w:rsidRPr="00771820" w:rsidRDefault="00771820" w:rsidP="00771820">
      <w:pPr>
        <w:pStyle w:val="Prrafodelista"/>
        <w:numPr>
          <w:ilvl w:val="0"/>
          <w:numId w:val="9"/>
        </w:numPr>
        <w:spacing w:after="0" w:line="240" w:lineRule="auto"/>
        <w:jc w:val="both"/>
        <w:rPr>
          <w:rFonts w:ascii="Times New Roman" w:eastAsia="Calibri" w:hAnsi="Times New Roman" w:cs="Times New Roman"/>
          <w:sz w:val="20"/>
          <w:szCs w:val="24"/>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En este texto, nos referimos sólo a la clasificación por naturaleza y, dentro de ella, sólo detallamos los costes de personal, a modo de ejemplo, y elegido tanto por su importancia en valores absolutos y relativos, como para presentar las diferentes tipologías de personal a través de las que se aprecia, aunque sea parcialmente, la estructura organizativa del IASS.</w:t>
      </w:r>
    </w:p>
    <w:p w:rsidR="00771820" w:rsidRPr="00771820" w:rsidRDefault="00771820" w:rsidP="00771820">
      <w:pPr>
        <w:spacing w:before="0" w:after="0" w:line="240" w:lineRule="auto"/>
        <w:ind w:left="708" w:hanging="708"/>
        <w:rPr>
          <w:rFonts w:ascii="Times New Roman" w:hAnsi="Times New Roman"/>
          <w:sz w:val="20"/>
          <w:szCs w:val="24"/>
          <w:lang w:val="es-ES"/>
        </w:rPr>
      </w:pPr>
    </w:p>
    <w:p w:rsidR="00771820" w:rsidRDefault="00771820" w:rsidP="00771820">
      <w:pPr>
        <w:pStyle w:val="Prrafodelista"/>
        <w:numPr>
          <w:ilvl w:val="0"/>
          <w:numId w:val="10"/>
        </w:numPr>
        <w:spacing w:after="0" w:line="240" w:lineRule="auto"/>
        <w:jc w:val="both"/>
        <w:rPr>
          <w:rFonts w:ascii="Times New Roman" w:eastAsia="Calibri" w:hAnsi="Times New Roman" w:cs="Times New Roman"/>
          <w:sz w:val="20"/>
          <w:szCs w:val="24"/>
        </w:rPr>
      </w:pPr>
      <w:r w:rsidRPr="00771820">
        <w:rPr>
          <w:rFonts w:ascii="Times New Roman" w:eastAsia="Calibri" w:hAnsi="Times New Roman" w:cs="Times New Roman"/>
          <w:sz w:val="20"/>
          <w:szCs w:val="24"/>
        </w:rPr>
        <w:t>Costes de personal</w:t>
      </w:r>
    </w:p>
    <w:p w:rsidR="00771820" w:rsidRDefault="00771820" w:rsidP="00771820">
      <w:pPr>
        <w:pStyle w:val="Prrafodelista"/>
        <w:spacing w:after="0" w:line="240" w:lineRule="auto"/>
        <w:jc w:val="both"/>
        <w:rPr>
          <w:rFonts w:ascii="Times New Roman" w:eastAsia="Calibri" w:hAnsi="Times New Roman" w:cs="Times New Roman"/>
          <w:sz w:val="20"/>
          <w:szCs w:val="24"/>
        </w:rPr>
      </w:pPr>
    </w:p>
    <w:p w:rsidR="00771820" w:rsidRPr="00D027C2" w:rsidRDefault="00771820" w:rsidP="00771820">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Tabla 1: </w:t>
      </w:r>
      <w:r>
        <w:rPr>
          <w:rFonts w:ascii="Times New Roman" w:hAnsi="Times New Roman"/>
          <w:sz w:val="20"/>
          <w:szCs w:val="24"/>
          <w:lang w:val="es-ES"/>
        </w:rPr>
        <w:t>Catálogo costes de personal</w:t>
      </w:r>
    </w:p>
    <w:tbl>
      <w:tblPr>
        <w:tblW w:w="8425" w:type="dxa"/>
        <w:tblInd w:w="75" w:type="dxa"/>
        <w:tblCellMar>
          <w:left w:w="70" w:type="dxa"/>
          <w:right w:w="70" w:type="dxa"/>
        </w:tblCellMar>
        <w:tblLook w:val="04A0" w:firstRow="1" w:lastRow="0" w:firstColumn="1" w:lastColumn="0" w:noHBand="0" w:noVBand="1"/>
      </w:tblPr>
      <w:tblGrid>
        <w:gridCol w:w="1200"/>
        <w:gridCol w:w="7225"/>
      </w:tblGrid>
      <w:tr w:rsidR="00771820" w:rsidRPr="00771820" w:rsidTr="00771820">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771820" w:rsidRPr="00771820" w:rsidRDefault="00771820" w:rsidP="00771820">
            <w:pPr>
              <w:spacing w:before="0" w:after="0" w:line="240" w:lineRule="auto"/>
              <w:jc w:val="center"/>
              <w:rPr>
                <w:rFonts w:ascii="Times New Roman" w:hAnsi="Times New Roman"/>
                <w:color w:val="FFFFFF" w:themeColor="background1"/>
                <w:sz w:val="20"/>
                <w:szCs w:val="24"/>
                <w:lang w:val="es-ES"/>
              </w:rPr>
            </w:pPr>
            <w:r w:rsidRPr="00771820">
              <w:rPr>
                <w:rFonts w:ascii="Times New Roman" w:hAnsi="Times New Roman"/>
                <w:color w:val="FFFFFF" w:themeColor="background1"/>
                <w:sz w:val="20"/>
                <w:szCs w:val="24"/>
                <w:lang w:val="es-ES"/>
              </w:rPr>
              <w:t>Código</w:t>
            </w:r>
          </w:p>
        </w:tc>
        <w:tc>
          <w:tcPr>
            <w:tcW w:w="7225" w:type="dxa"/>
            <w:tcBorders>
              <w:top w:val="single" w:sz="4" w:space="0" w:color="auto"/>
              <w:left w:val="nil"/>
              <w:bottom w:val="single" w:sz="4" w:space="0" w:color="auto"/>
              <w:right w:val="single" w:sz="4" w:space="0" w:color="auto"/>
            </w:tcBorders>
            <w:shd w:val="clear" w:color="auto" w:fill="0070C0"/>
            <w:noWrap/>
            <w:vAlign w:val="bottom"/>
            <w:hideMark/>
          </w:tcPr>
          <w:p w:rsidR="00771820" w:rsidRPr="00771820" w:rsidRDefault="00771820" w:rsidP="00771820">
            <w:pPr>
              <w:spacing w:before="0" w:after="0" w:line="240" w:lineRule="auto"/>
              <w:jc w:val="center"/>
              <w:rPr>
                <w:rFonts w:ascii="Times New Roman" w:hAnsi="Times New Roman"/>
                <w:color w:val="FFFFFF" w:themeColor="background1"/>
                <w:sz w:val="20"/>
                <w:szCs w:val="24"/>
                <w:lang w:val="es-ES"/>
              </w:rPr>
            </w:pPr>
            <w:r w:rsidRPr="00771820">
              <w:rPr>
                <w:rFonts w:ascii="Times New Roman" w:hAnsi="Times New Roman"/>
                <w:color w:val="FFFFFF" w:themeColor="background1"/>
                <w:sz w:val="20"/>
                <w:szCs w:val="24"/>
                <w:lang w:val="es-ES"/>
              </w:rPr>
              <w:t>Descripción</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Costes de personal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CP011</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Órganos de gobierno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CP012</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funcionario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CP01201</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funcionario. Técnico de Administración General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CP01202</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funcionario. Administrativo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tcPr>
          <w:p w:rsidR="00771820" w:rsidRPr="00771820" w:rsidRDefault="00771820" w:rsidP="00771820">
            <w:pPr>
              <w:spacing w:before="0" w:after="0" w:line="240" w:lineRule="auto"/>
              <w:rPr>
                <w:rFonts w:ascii="Times New Roman" w:hAnsi="Times New Roman"/>
                <w:sz w:val="20"/>
                <w:szCs w:val="24"/>
                <w:lang w:val="es-ES"/>
              </w:rPr>
            </w:pP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CP01301</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Administrativo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CP01302</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Arquitecto técnico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CP01303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Auxiliar educativo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CP01304</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Auxiliar administrativo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CP01325</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Médico adjunto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CP01326</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Médico jefe</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CP01333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Ordenanza</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CP01334</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Pedagogo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CP01353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Vigilante nocturno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CP01399</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Personal laboral. Otro personal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tcPr>
          <w:p w:rsidR="00771820" w:rsidRPr="00771820" w:rsidRDefault="00771820" w:rsidP="00771820">
            <w:pPr>
              <w:spacing w:before="0" w:after="0" w:line="240" w:lineRule="auto"/>
              <w:rPr>
                <w:rFonts w:ascii="Times New Roman" w:hAnsi="Times New Roman"/>
                <w:sz w:val="20"/>
                <w:szCs w:val="24"/>
                <w:lang w:val="es-ES"/>
              </w:rPr>
            </w:pP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CP019</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Sueldos y salarios. Otro personal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CP02</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CP021</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Órganos de gobierno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CP022</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Personal funcionario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CP023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Personal laboral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CP029</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Otro personal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Cotizaciones sociales a cargo del empleador</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CP04</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Previsión Social de Funcionarios</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CP05</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Otros costes sociales</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CP06</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por razón del servicio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CP061</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Órganos de gobierno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CP062</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Personal funcionario</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CP063</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por razón del servicio. Personal laboral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CP069</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Indemnizaciones por razón del servicio. Otro personal</w:t>
            </w:r>
          </w:p>
        </w:tc>
      </w:tr>
      <w:tr w:rsidR="00771820" w:rsidRPr="00771820" w:rsidTr="00771820">
        <w:trPr>
          <w:trHeight w:val="315"/>
        </w:trPr>
        <w:tc>
          <w:tcPr>
            <w:tcW w:w="1200"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CP07</w:t>
            </w:r>
          </w:p>
        </w:tc>
        <w:tc>
          <w:tcPr>
            <w:tcW w:w="7225" w:type="dxa"/>
            <w:tcBorders>
              <w:top w:val="nil"/>
              <w:left w:val="nil"/>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Transporte de personal</w:t>
            </w:r>
          </w:p>
        </w:tc>
      </w:tr>
    </w:tbl>
    <w:p w:rsid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En la catalogación de personal del IASS se discrimina, como puede verse, no sólo por la naturaleza del concepto retributivo: sueldos y salarios, indemnizaciones, cotizaciones sociales a cargo del empleador, etc., sino también distinguiendo entre las categorías de contrato: personal funcionario, laboral, etc. o el nivel profesional como técnico de administración general, ingeniero, arquitecto técnico, médico, sicólogo, enfermero, auxiliar de enfermería, etc.</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Coste de adquisición de bienes y servicios</w:t>
      </w: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Coste de servicios exteriores</w:t>
      </w: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Coste de tributos</w:t>
      </w: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Coste de amortizaciones (costes calculados)</w:t>
      </w: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Costes financieros</w:t>
      </w: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Costes de transferencias</w:t>
      </w:r>
    </w:p>
    <w:p w:rsidR="00771820" w:rsidRPr="00771820" w:rsidRDefault="00771820" w:rsidP="00771820">
      <w:pPr>
        <w:spacing w:before="0" w:after="0" w:line="240" w:lineRule="auto"/>
        <w:ind w:left="708" w:hanging="708"/>
        <w:rPr>
          <w:rFonts w:ascii="Times New Roman" w:hAnsi="Times New Roman"/>
          <w:sz w:val="20"/>
          <w:szCs w:val="24"/>
          <w:lang w:val="es-ES"/>
        </w:rPr>
      </w:pPr>
      <w:r w:rsidRPr="00771820">
        <w:rPr>
          <w:rFonts w:ascii="Times New Roman" w:hAnsi="Times New Roman"/>
          <w:sz w:val="20"/>
          <w:szCs w:val="24"/>
          <w:lang w:val="es-ES"/>
        </w:rPr>
        <w:t>-</w:t>
      </w:r>
      <w:r w:rsidRPr="00771820">
        <w:rPr>
          <w:rFonts w:ascii="Times New Roman" w:hAnsi="Times New Roman"/>
          <w:sz w:val="20"/>
          <w:szCs w:val="24"/>
          <w:lang w:val="es-ES"/>
        </w:rPr>
        <w:tab/>
        <w:t>Otros costes</w:t>
      </w:r>
    </w:p>
    <w:p w:rsidR="00771820" w:rsidRPr="00771820" w:rsidRDefault="00771820" w:rsidP="00771820">
      <w:pPr>
        <w:spacing w:before="0" w:after="0" w:line="240" w:lineRule="auto"/>
        <w:ind w:left="708" w:hanging="708"/>
        <w:rPr>
          <w:rFonts w:ascii="Times New Roman" w:hAnsi="Times New Roman"/>
          <w:sz w:val="20"/>
          <w:szCs w:val="24"/>
          <w:lang w:val="es-ES"/>
        </w:rPr>
      </w:pPr>
    </w:p>
    <w:p w:rsidR="00771820" w:rsidRDefault="00771820" w:rsidP="00771820">
      <w:pPr>
        <w:spacing w:before="0" w:after="0" w:line="240" w:lineRule="auto"/>
        <w:ind w:hanging="708"/>
        <w:rPr>
          <w:rFonts w:ascii="Times New Roman" w:hAnsi="Times New Roman"/>
          <w:sz w:val="20"/>
          <w:szCs w:val="24"/>
          <w:lang w:val="es-ES"/>
        </w:rPr>
      </w:pPr>
      <w:r w:rsidRPr="00771820">
        <w:rPr>
          <w:rFonts w:ascii="Times New Roman" w:hAnsi="Times New Roman"/>
          <w:sz w:val="20"/>
          <w:szCs w:val="24"/>
          <w:lang w:val="es-ES"/>
        </w:rPr>
        <w:tab/>
        <w:t>No entramos en el detalle de los anteriores elementos de coste dada su similitud con los mismos en otras organizaciones.</w:t>
      </w:r>
    </w:p>
    <w:p w:rsidR="00771820" w:rsidRPr="00771820" w:rsidRDefault="00771820" w:rsidP="00771820">
      <w:pPr>
        <w:spacing w:before="0" w:after="0" w:line="240" w:lineRule="auto"/>
        <w:ind w:hanging="708"/>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Los elementos de ingreso constituyen el segundo input básico de información del sistema, necesario para la determinación de los márgenes de cobertura de las actividades y servicios prestados por el IASS y los resultados globales de éstas y, al igual que se señala para los elementos de coste, la naturaleza de los ingresos define la clasificación primaria de los mismos que, no obstante, debe completarse con aquéllas otras que permitan una reformulación de los datos obtenidos capaz de convertirlos en información útil al usuario.</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Así, de acuerdo con la Resolución de 28 de julio, el Modelo atiende a la clasificación de los ingresos de acuerdo a los siguientes criterios:</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b/>
      </w:r>
      <w:bookmarkStart w:id="5" w:name="OLE_LINK2"/>
      <w:r w:rsidRPr="00771820">
        <w:rPr>
          <w:rFonts w:ascii="Times New Roman" w:hAnsi="Times New Roman"/>
          <w:sz w:val="20"/>
          <w:szCs w:val="24"/>
          <w:lang w:val="es-ES"/>
        </w:rPr>
        <w:t>•</w:t>
      </w:r>
      <w:bookmarkEnd w:id="5"/>
      <w:r w:rsidRPr="00771820">
        <w:rPr>
          <w:rFonts w:ascii="Times New Roman" w:hAnsi="Times New Roman"/>
          <w:sz w:val="20"/>
          <w:szCs w:val="24"/>
          <w:lang w:val="es-ES"/>
        </w:rPr>
        <w:t xml:space="preserve"> Por su naturaleza:</w:t>
      </w:r>
    </w:p>
    <w:p w:rsidR="00771820" w:rsidRPr="00771820" w:rsidRDefault="00771820" w:rsidP="00771820">
      <w:pPr>
        <w:numPr>
          <w:ilvl w:val="0"/>
          <w:numId w:val="11"/>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Tasas, precios públicos y otros ingresos</w:t>
      </w:r>
    </w:p>
    <w:p w:rsidR="00771820" w:rsidRPr="00771820" w:rsidRDefault="00771820" w:rsidP="00771820">
      <w:pPr>
        <w:numPr>
          <w:ilvl w:val="0"/>
          <w:numId w:val="11"/>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Transferencias corrientes</w:t>
      </w:r>
    </w:p>
    <w:p w:rsidR="00771820" w:rsidRPr="00771820" w:rsidRDefault="00771820" w:rsidP="00771820">
      <w:pPr>
        <w:numPr>
          <w:ilvl w:val="0"/>
          <w:numId w:val="11"/>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Ingresos patrimoniales</w:t>
      </w:r>
    </w:p>
    <w:p w:rsidR="00771820" w:rsidRDefault="00771820" w:rsidP="00771820">
      <w:pPr>
        <w:numPr>
          <w:ilvl w:val="0"/>
          <w:numId w:val="11"/>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Transferencias de capital</w:t>
      </w:r>
    </w:p>
    <w:p w:rsidR="00771820" w:rsidRPr="00771820" w:rsidRDefault="00771820" w:rsidP="00771820">
      <w:pPr>
        <w:spacing w:before="0" w:after="0" w:line="240" w:lineRule="auto"/>
        <w:ind w:left="1770"/>
        <w:rPr>
          <w:rFonts w:ascii="Times New Roman" w:hAnsi="Times New Roman"/>
          <w:sz w:val="20"/>
          <w:szCs w:val="24"/>
          <w:lang w:val="es-ES"/>
        </w:rPr>
      </w:pPr>
    </w:p>
    <w:p w:rsidR="00771820" w:rsidRPr="00771820" w:rsidRDefault="00771820" w:rsidP="00771820">
      <w:pPr>
        <w:spacing w:before="0" w:after="0" w:line="240" w:lineRule="auto"/>
        <w:ind w:left="708"/>
        <w:rPr>
          <w:rFonts w:ascii="Times New Roman" w:hAnsi="Times New Roman"/>
          <w:sz w:val="20"/>
          <w:szCs w:val="24"/>
          <w:lang w:val="es-ES"/>
        </w:rPr>
      </w:pPr>
      <w:r w:rsidRPr="00771820">
        <w:rPr>
          <w:rFonts w:ascii="Times New Roman" w:hAnsi="Times New Roman"/>
          <w:sz w:val="20"/>
          <w:szCs w:val="24"/>
          <w:lang w:val="es-ES"/>
        </w:rPr>
        <w:t>• Por su relación con las actividades:</w:t>
      </w:r>
    </w:p>
    <w:p w:rsidR="00771820" w:rsidRPr="00771820" w:rsidRDefault="00771820" w:rsidP="00771820">
      <w:pPr>
        <w:numPr>
          <w:ilvl w:val="0"/>
          <w:numId w:val="11"/>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Ingresos afectos o relacionados a la actividad.</w:t>
      </w:r>
    </w:p>
    <w:p w:rsidR="00771820" w:rsidRPr="00771820" w:rsidRDefault="00771820" w:rsidP="00771820">
      <w:pPr>
        <w:numPr>
          <w:ilvl w:val="0"/>
          <w:numId w:val="11"/>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Ingresos no afectos o no relacionados a la actividad (ingresos patrimoniales, impuestos directos e indirectos,…).</w:t>
      </w: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lastRenderedPageBreak/>
        <w:t>De esta manera, el proyecto de diseño del Modelo aborda la identificación de las distintas tipologías de ingresos y las vincula con las actividades/servicios que los generan o, en caso contrario, las asigna a los resultados globales del IASS.</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Al igual que hicimos a propósito de los elementos de coste y, a título de ejemplo, incluimos el detalle de ingresos por tasas, precios públicos y otros ingresos</w:t>
      </w:r>
    </w:p>
    <w:p w:rsid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Tabla </w:t>
      </w:r>
      <w:r>
        <w:rPr>
          <w:rFonts w:ascii="Times New Roman" w:hAnsi="Times New Roman"/>
          <w:sz w:val="20"/>
          <w:szCs w:val="24"/>
          <w:lang w:val="es-ES"/>
        </w:rPr>
        <w:t>2</w:t>
      </w:r>
      <w:r w:rsidRPr="00D027C2">
        <w:rPr>
          <w:rFonts w:ascii="Times New Roman" w:hAnsi="Times New Roman"/>
          <w:sz w:val="20"/>
          <w:szCs w:val="24"/>
          <w:lang w:val="es-ES"/>
        </w:rPr>
        <w:t xml:space="preserve">: </w:t>
      </w:r>
      <w:r>
        <w:rPr>
          <w:rFonts w:ascii="Times New Roman" w:hAnsi="Times New Roman"/>
          <w:sz w:val="20"/>
          <w:szCs w:val="24"/>
          <w:lang w:val="es-ES"/>
        </w:rPr>
        <w:t>Catálogo de ingresos por tasas, precios públicos y otros ingresos</w:t>
      </w:r>
    </w:p>
    <w:tbl>
      <w:tblPr>
        <w:tblW w:w="7792" w:type="dxa"/>
        <w:jc w:val="center"/>
        <w:tblCellMar>
          <w:left w:w="70" w:type="dxa"/>
          <w:right w:w="70" w:type="dxa"/>
        </w:tblCellMar>
        <w:tblLook w:val="04A0" w:firstRow="1" w:lastRow="0" w:firstColumn="1" w:lastColumn="0" w:noHBand="0" w:noVBand="1"/>
      </w:tblPr>
      <w:tblGrid>
        <w:gridCol w:w="3256"/>
        <w:gridCol w:w="4536"/>
      </w:tblGrid>
      <w:tr w:rsidR="00771820" w:rsidRPr="00771820" w:rsidTr="003A60E8">
        <w:trPr>
          <w:trHeight w:val="20"/>
          <w:tblHeader/>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TASAS, PRECIOS PÚBLICOS Y OTROS INGRESOS</w:t>
            </w:r>
          </w:p>
        </w:tc>
      </w:tr>
      <w:tr w:rsidR="00771820" w:rsidRPr="00771820" w:rsidTr="003A60E8">
        <w:trPr>
          <w:trHeight w:val="20"/>
          <w:jc w:val="center"/>
        </w:trPr>
        <w:tc>
          <w:tcPr>
            <w:tcW w:w="3256" w:type="dxa"/>
            <w:vMerge w:val="restart"/>
            <w:tcBorders>
              <w:top w:val="nil"/>
              <w:left w:val="single" w:sz="4" w:space="0" w:color="auto"/>
              <w:bottom w:val="single" w:sz="4" w:space="0" w:color="auto"/>
              <w:right w:val="nil"/>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EI300 TASAS POR LA PRESTACIÓN DE SERVICIOS PÚBLICOS DE CARÁCTER SOCIAL Y PREFERENTE</w:t>
            </w:r>
          </w:p>
        </w:tc>
        <w:tc>
          <w:tcPr>
            <w:tcW w:w="4536" w:type="dxa"/>
            <w:tcBorders>
              <w:top w:val="nil"/>
              <w:left w:val="single" w:sz="4" w:space="0" w:color="auto"/>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EI30000 SERVICIOS HOSPITALARIOS</w:t>
            </w:r>
          </w:p>
        </w:tc>
      </w:tr>
      <w:tr w:rsidR="00771820" w:rsidRPr="00771820" w:rsidTr="003A60E8">
        <w:trPr>
          <w:trHeight w:val="20"/>
          <w:jc w:val="center"/>
        </w:trPr>
        <w:tc>
          <w:tcPr>
            <w:tcW w:w="3256" w:type="dxa"/>
            <w:vMerge/>
            <w:tcBorders>
              <w:top w:val="nil"/>
              <w:left w:val="single" w:sz="4" w:space="0" w:color="auto"/>
              <w:bottom w:val="single" w:sz="4" w:space="0" w:color="auto"/>
              <w:right w:val="nil"/>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p>
        </w:tc>
        <w:tc>
          <w:tcPr>
            <w:tcW w:w="4536" w:type="dxa"/>
            <w:tcBorders>
              <w:top w:val="nil"/>
              <w:left w:val="single" w:sz="4" w:space="0" w:color="auto"/>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EI30001 SERVICIOS ASISTENCIALES - TASAS RESPIRO FAMILIAR</w:t>
            </w:r>
          </w:p>
        </w:tc>
      </w:tr>
      <w:tr w:rsidR="00771820" w:rsidRPr="00771820" w:rsidTr="003A60E8">
        <w:trPr>
          <w:trHeight w:val="20"/>
          <w:jc w:val="center"/>
        </w:trPr>
        <w:tc>
          <w:tcPr>
            <w:tcW w:w="3256"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EI301 TASAS POR LA REALIZAC</w:t>
            </w:r>
            <w:r w:rsidR="003A60E8">
              <w:rPr>
                <w:rFonts w:ascii="Times New Roman" w:hAnsi="Times New Roman"/>
                <w:sz w:val="20"/>
                <w:szCs w:val="24"/>
                <w:lang w:val="es-ES"/>
              </w:rPr>
              <w:t>IÓN</w:t>
            </w:r>
            <w:r w:rsidRPr="00771820">
              <w:rPr>
                <w:rFonts w:ascii="Times New Roman" w:hAnsi="Times New Roman"/>
                <w:sz w:val="20"/>
                <w:szCs w:val="24"/>
                <w:lang w:val="es-ES"/>
              </w:rPr>
              <w:t xml:space="preserve"> DE ACTIVID</w:t>
            </w:r>
            <w:r w:rsidR="003A60E8">
              <w:rPr>
                <w:rFonts w:ascii="Times New Roman" w:hAnsi="Times New Roman"/>
                <w:sz w:val="20"/>
                <w:szCs w:val="24"/>
                <w:lang w:val="es-ES"/>
              </w:rPr>
              <w:t>ADES</w:t>
            </w:r>
            <w:r w:rsidRPr="00771820">
              <w:rPr>
                <w:rFonts w:ascii="Times New Roman" w:hAnsi="Times New Roman"/>
                <w:sz w:val="20"/>
                <w:szCs w:val="24"/>
                <w:lang w:val="es-ES"/>
              </w:rPr>
              <w:t xml:space="preserve"> DE COMPETENCIA LOCAL</w:t>
            </w:r>
          </w:p>
        </w:tc>
        <w:tc>
          <w:tcPr>
            <w:tcW w:w="4536" w:type="dxa"/>
            <w:tcBorders>
              <w:top w:val="nil"/>
              <w:left w:val="nil"/>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EI30100 OTRAS TASAS POR LA REALIZAC</w:t>
            </w:r>
            <w:r w:rsidR="003A60E8">
              <w:rPr>
                <w:rFonts w:ascii="Times New Roman" w:hAnsi="Times New Roman"/>
                <w:sz w:val="20"/>
                <w:szCs w:val="24"/>
                <w:lang w:val="es-ES"/>
              </w:rPr>
              <w:t>IÓN</w:t>
            </w:r>
            <w:r w:rsidRPr="00771820">
              <w:rPr>
                <w:rFonts w:ascii="Times New Roman" w:hAnsi="Times New Roman"/>
                <w:sz w:val="20"/>
                <w:szCs w:val="24"/>
                <w:lang w:val="es-ES"/>
              </w:rPr>
              <w:t xml:space="preserve"> DE ACTIVID</w:t>
            </w:r>
            <w:r w:rsidR="003A60E8">
              <w:rPr>
                <w:rFonts w:ascii="Times New Roman" w:hAnsi="Times New Roman"/>
                <w:sz w:val="20"/>
                <w:szCs w:val="24"/>
                <w:lang w:val="es-ES"/>
              </w:rPr>
              <w:t>ADES DE COMPETENCIA</w:t>
            </w:r>
            <w:r w:rsidRPr="00771820">
              <w:rPr>
                <w:rFonts w:ascii="Times New Roman" w:hAnsi="Times New Roman"/>
                <w:sz w:val="20"/>
                <w:szCs w:val="24"/>
                <w:lang w:val="es-ES"/>
              </w:rPr>
              <w:t xml:space="preserve"> LOCAL. DERECHOS DE EXAMEN</w:t>
            </w:r>
          </w:p>
        </w:tc>
      </w:tr>
      <w:tr w:rsidR="00771820" w:rsidRPr="00771820" w:rsidTr="003A60E8">
        <w:trPr>
          <w:trHeight w:val="20"/>
          <w:jc w:val="center"/>
        </w:trPr>
        <w:tc>
          <w:tcPr>
            <w:tcW w:w="3256" w:type="dxa"/>
            <w:vMerge w:val="restart"/>
            <w:tcBorders>
              <w:top w:val="nil"/>
              <w:left w:val="single" w:sz="4" w:space="0" w:color="auto"/>
              <w:bottom w:val="single" w:sz="4" w:space="0" w:color="auto"/>
              <w:right w:val="single" w:sz="4" w:space="0" w:color="auto"/>
            </w:tcBorders>
            <w:noWrap/>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EI302 OTROS INGRESOS</w:t>
            </w:r>
          </w:p>
        </w:tc>
        <w:tc>
          <w:tcPr>
            <w:tcW w:w="4536" w:type="dxa"/>
            <w:tcBorders>
              <w:top w:val="nil"/>
              <w:left w:val="nil"/>
              <w:bottom w:val="single" w:sz="4" w:space="0" w:color="auto"/>
              <w:right w:val="single" w:sz="4" w:space="0" w:color="auto"/>
            </w:tcBorders>
            <w:noWrap/>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EI30200 RECARGO DE APREMIO</w:t>
            </w:r>
          </w:p>
        </w:tc>
      </w:tr>
      <w:tr w:rsidR="00771820" w:rsidRPr="00771820" w:rsidTr="003A60E8">
        <w:trPr>
          <w:trHeight w:val="20"/>
          <w:jc w:val="center"/>
        </w:trPr>
        <w:tc>
          <w:tcPr>
            <w:tcW w:w="3256" w:type="dxa"/>
            <w:vMerge/>
            <w:tcBorders>
              <w:top w:val="nil"/>
              <w:left w:val="single" w:sz="4" w:space="0" w:color="auto"/>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p>
        </w:tc>
        <w:tc>
          <w:tcPr>
            <w:tcW w:w="4536" w:type="dxa"/>
            <w:tcBorders>
              <w:top w:val="nil"/>
              <w:left w:val="nil"/>
              <w:bottom w:val="single" w:sz="4" w:space="0" w:color="auto"/>
              <w:right w:val="single" w:sz="4" w:space="0" w:color="auto"/>
            </w:tcBorders>
            <w:noWrap/>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EI30201 INTERESES DE DEMORA</w:t>
            </w:r>
          </w:p>
        </w:tc>
      </w:tr>
      <w:tr w:rsidR="00771820" w:rsidRPr="00771820" w:rsidTr="003A60E8">
        <w:trPr>
          <w:trHeight w:val="20"/>
          <w:jc w:val="center"/>
        </w:trPr>
        <w:tc>
          <w:tcPr>
            <w:tcW w:w="3256" w:type="dxa"/>
            <w:vMerge/>
            <w:tcBorders>
              <w:top w:val="nil"/>
              <w:left w:val="single" w:sz="4" w:space="0" w:color="auto"/>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p>
        </w:tc>
        <w:tc>
          <w:tcPr>
            <w:tcW w:w="4536" w:type="dxa"/>
            <w:tcBorders>
              <w:top w:val="nil"/>
              <w:left w:val="nil"/>
              <w:bottom w:val="single" w:sz="4" w:space="0" w:color="auto"/>
              <w:right w:val="single" w:sz="4" w:space="0" w:color="auto"/>
            </w:tcBorders>
            <w:noWrap/>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EI30202 INGRESOS POR ANUNCIOS</w:t>
            </w:r>
          </w:p>
        </w:tc>
      </w:tr>
      <w:tr w:rsidR="00771820" w:rsidRPr="00771820" w:rsidTr="003A60E8">
        <w:trPr>
          <w:trHeight w:val="20"/>
          <w:jc w:val="center"/>
        </w:trPr>
        <w:tc>
          <w:tcPr>
            <w:tcW w:w="3256" w:type="dxa"/>
            <w:vMerge/>
            <w:tcBorders>
              <w:top w:val="nil"/>
              <w:left w:val="single" w:sz="4" w:space="0" w:color="auto"/>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p>
        </w:tc>
        <w:tc>
          <w:tcPr>
            <w:tcW w:w="4536" w:type="dxa"/>
            <w:tcBorders>
              <w:top w:val="nil"/>
              <w:left w:val="nil"/>
              <w:bottom w:val="single" w:sz="4" w:space="0" w:color="auto"/>
              <w:right w:val="single" w:sz="4" w:space="0" w:color="auto"/>
            </w:tcBorders>
            <w:noWrap/>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EI30203 OTROS INGRESOS DIVERSOS</w:t>
            </w:r>
          </w:p>
        </w:tc>
      </w:tr>
    </w:tbl>
    <w:p w:rsidR="00771820" w:rsidRDefault="00771820" w:rsidP="00771820">
      <w:pPr>
        <w:tabs>
          <w:tab w:val="left" w:pos="3765"/>
        </w:tabs>
        <w:spacing w:before="0" w:after="0" w:line="240" w:lineRule="auto"/>
        <w:rPr>
          <w:rFonts w:ascii="Times New Roman" w:hAnsi="Times New Roman"/>
          <w:sz w:val="20"/>
          <w:szCs w:val="24"/>
          <w:lang w:val="es-ES"/>
        </w:rPr>
      </w:pPr>
    </w:p>
    <w:p w:rsidR="00771820" w:rsidRDefault="00771820" w:rsidP="00771820">
      <w:pPr>
        <w:tabs>
          <w:tab w:val="left" w:pos="3765"/>
        </w:tabs>
        <w:spacing w:before="0" w:after="0" w:line="240" w:lineRule="auto"/>
        <w:rPr>
          <w:rFonts w:ascii="Times New Roman" w:hAnsi="Times New Roman"/>
          <w:sz w:val="20"/>
          <w:szCs w:val="24"/>
          <w:lang w:val="es-ES"/>
        </w:rPr>
      </w:pPr>
      <w:r w:rsidRPr="00771820">
        <w:rPr>
          <w:rFonts w:ascii="Times New Roman" w:hAnsi="Times New Roman"/>
          <w:sz w:val="20"/>
          <w:szCs w:val="24"/>
          <w:lang w:val="es-ES"/>
        </w:rPr>
        <w:t>Finalmente, indicar que, según la naturaleza del coste y el ingreso y las posibilidades de los sistemas de información la contabilidad analítica acudirá a uno u otro sistema, dado que la información a procesar debe proceder de aquéllos sistemas que mejor reflejen la realidad del IASS, cumpliendo las directrices recogidas en la Resolución de 28 de julio.</w:t>
      </w:r>
    </w:p>
    <w:p w:rsidR="00771820" w:rsidRPr="00771820" w:rsidRDefault="00771820" w:rsidP="00771820">
      <w:pPr>
        <w:tabs>
          <w:tab w:val="left" w:pos="3765"/>
        </w:tabs>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La principal cuestión a este respecto se centra en determinar desde qué sistema podrá incorporarse la información relativa a los elementos de coste e ingreso y su equivalencia con el resto de sistemas de información (contabilidad financiera, sistema de RRHH, sistema de gestión patrimonial, etc.).</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b/>
          <w:sz w:val="20"/>
          <w:szCs w:val="24"/>
          <w:lang w:val="es-ES"/>
        </w:rPr>
      </w:pPr>
      <w:r w:rsidRPr="00771820">
        <w:rPr>
          <w:rFonts w:ascii="Times New Roman" w:hAnsi="Times New Roman"/>
          <w:b/>
          <w:sz w:val="20"/>
          <w:szCs w:val="24"/>
          <w:lang w:val="es-ES"/>
        </w:rPr>
        <w:t>3.2. CENTROS DE COSTE</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 xml:space="preserve">La catalogación de centros de coste representa la estructura orgánica funcional del IASS, vinculada con la realización de actividades y la prestación de servicios, a través de la que se articula la acumulación, registro y distribución del coste de los elementos. </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Aunque no tiene necesariamente que existir una absoluta identificación entre los centros gestores de la estructura orgánica del Ente y los centros de coste que el Modelo debe considerar, resulta conveniente respetar la similitud entre ambas estructuras orgánicas pues la operatividad real del Modelo aconseja que éstas tengan un paralelismo suficiente que permita mantener la utilidad de la información generada y facilite la comprensión a los gestores.</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Así, de acuerdo con la función y la naturaleza de las actividades que desarrolla en el IASS cabrá identificar los siguientes tipos de centros:</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numPr>
          <w:ilvl w:val="0"/>
          <w:numId w:val="12"/>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Dependencia</w:t>
      </w:r>
    </w:p>
    <w:p w:rsidR="00771820" w:rsidRPr="00771820" w:rsidRDefault="00771820" w:rsidP="00771820">
      <w:pPr>
        <w:numPr>
          <w:ilvl w:val="0"/>
          <w:numId w:val="12"/>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Infancia y Familia</w:t>
      </w:r>
    </w:p>
    <w:p w:rsidR="00771820" w:rsidRPr="00771820" w:rsidRDefault="00771820" w:rsidP="00771820">
      <w:pPr>
        <w:numPr>
          <w:ilvl w:val="0"/>
          <w:numId w:val="12"/>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Violencia de Género</w:t>
      </w:r>
    </w:p>
    <w:p w:rsidR="00771820" w:rsidRPr="00771820" w:rsidRDefault="00771820" w:rsidP="00771820">
      <w:pPr>
        <w:numPr>
          <w:ilvl w:val="0"/>
          <w:numId w:val="12"/>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Intervención Social y Relaciones Externas</w:t>
      </w:r>
    </w:p>
    <w:p w:rsidR="00771820" w:rsidRPr="00771820" w:rsidRDefault="00771820" w:rsidP="00771820">
      <w:pPr>
        <w:numPr>
          <w:ilvl w:val="0"/>
          <w:numId w:val="12"/>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Centros Auxiliares Generales</w:t>
      </w:r>
    </w:p>
    <w:p w:rsidR="00771820" w:rsidRDefault="00771820" w:rsidP="00771820">
      <w:pPr>
        <w:numPr>
          <w:ilvl w:val="0"/>
          <w:numId w:val="12"/>
        </w:num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Centros de Dirección y Administración General</w:t>
      </w:r>
    </w:p>
    <w:p w:rsidR="00771820" w:rsidRPr="00771820" w:rsidRDefault="00771820" w:rsidP="00771820">
      <w:pPr>
        <w:spacing w:before="0" w:after="0" w:line="240" w:lineRule="auto"/>
        <w:ind w:left="1713"/>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Por otra parte, desde el punto de vista de sus características y según su participación en el proceso de formación del coste se calificaron, de acuerdo a la Resolución de 28 de julio de la IGAE, como:</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numPr>
          <w:ilvl w:val="0"/>
          <w:numId w:val="11"/>
        </w:numPr>
        <w:tabs>
          <w:tab w:val="num" w:pos="993"/>
        </w:tabs>
        <w:spacing w:before="0" w:after="0" w:line="240" w:lineRule="auto"/>
        <w:ind w:left="993" w:hanging="284"/>
        <w:rPr>
          <w:rFonts w:ascii="Times New Roman" w:hAnsi="Times New Roman"/>
          <w:sz w:val="20"/>
          <w:szCs w:val="24"/>
          <w:lang w:val="es-ES"/>
        </w:rPr>
      </w:pPr>
      <w:r w:rsidRPr="00771820">
        <w:rPr>
          <w:rFonts w:ascii="Times New Roman" w:hAnsi="Times New Roman"/>
          <w:sz w:val="20"/>
          <w:szCs w:val="24"/>
          <w:lang w:val="es-ES"/>
        </w:rPr>
        <w:t>Centros principales. Realizan una o varias actividades que configuran el proceso productivo del Ente y se constituyen en los servicios principales prestados por la Organización (actividades principales), contribuyendo de manera inmediata a su ejecución.</w:t>
      </w:r>
    </w:p>
    <w:p w:rsidR="00771820" w:rsidRPr="00771820" w:rsidRDefault="00771820" w:rsidP="00771820">
      <w:pPr>
        <w:numPr>
          <w:ilvl w:val="0"/>
          <w:numId w:val="11"/>
        </w:numPr>
        <w:tabs>
          <w:tab w:val="num" w:pos="993"/>
        </w:tabs>
        <w:spacing w:before="0" w:after="0" w:line="240" w:lineRule="auto"/>
        <w:ind w:left="993" w:hanging="284"/>
        <w:rPr>
          <w:rFonts w:ascii="Times New Roman" w:hAnsi="Times New Roman"/>
          <w:sz w:val="20"/>
          <w:szCs w:val="24"/>
          <w:lang w:val="es-ES"/>
        </w:rPr>
      </w:pPr>
      <w:r w:rsidRPr="00771820">
        <w:rPr>
          <w:rFonts w:ascii="Times New Roman" w:hAnsi="Times New Roman"/>
          <w:sz w:val="20"/>
          <w:szCs w:val="24"/>
          <w:lang w:val="es-ES"/>
        </w:rPr>
        <w:t>Centros auxiliares. Realizan actividades de apoyo que, sin formar parte de manera inmediata o directa del proceso de prestación del servicio, se consideran necesarias para su desarrollo.</w:t>
      </w:r>
    </w:p>
    <w:p w:rsidR="00771820" w:rsidRPr="00771820" w:rsidRDefault="00771820" w:rsidP="00771820">
      <w:pPr>
        <w:numPr>
          <w:ilvl w:val="0"/>
          <w:numId w:val="11"/>
        </w:numPr>
        <w:tabs>
          <w:tab w:val="num" w:pos="993"/>
        </w:tabs>
        <w:spacing w:before="0" w:after="0" w:line="240" w:lineRule="auto"/>
        <w:ind w:left="993" w:hanging="284"/>
        <w:rPr>
          <w:rFonts w:ascii="Times New Roman" w:hAnsi="Times New Roman"/>
          <w:sz w:val="20"/>
          <w:szCs w:val="24"/>
          <w:lang w:val="es-ES"/>
        </w:rPr>
      </w:pPr>
      <w:r w:rsidRPr="00771820">
        <w:rPr>
          <w:rFonts w:ascii="Times New Roman" w:hAnsi="Times New Roman"/>
          <w:sz w:val="20"/>
          <w:szCs w:val="24"/>
          <w:lang w:val="es-ES"/>
        </w:rPr>
        <w:lastRenderedPageBreak/>
        <w:t>Centros directivos y administrativos. Realizan las tareas propias de su denominación, tanto a nivel general como funcional.</w:t>
      </w:r>
    </w:p>
    <w:p w:rsidR="00771820" w:rsidRPr="00771820" w:rsidRDefault="00771820" w:rsidP="00771820">
      <w:pPr>
        <w:numPr>
          <w:ilvl w:val="0"/>
          <w:numId w:val="11"/>
        </w:numPr>
        <w:tabs>
          <w:tab w:val="num" w:pos="993"/>
        </w:tabs>
        <w:spacing w:before="0" w:after="0" w:line="240" w:lineRule="auto"/>
        <w:ind w:left="993" w:hanging="284"/>
        <w:rPr>
          <w:rFonts w:ascii="Times New Roman" w:hAnsi="Times New Roman"/>
          <w:sz w:val="20"/>
          <w:szCs w:val="24"/>
          <w:lang w:val="es-ES"/>
        </w:rPr>
      </w:pPr>
      <w:r w:rsidRPr="00771820">
        <w:rPr>
          <w:rFonts w:ascii="Times New Roman" w:hAnsi="Times New Roman"/>
          <w:sz w:val="20"/>
          <w:szCs w:val="24"/>
          <w:lang w:val="es-ES"/>
        </w:rPr>
        <w:t>Centros anexos. Realizan actividades vinculadas con la prestación de servicios finales a usuarios externos, considerados como no imprescindibles para el cumplimiento de los fines generales de la Organización.</w:t>
      </w:r>
    </w:p>
    <w:p w:rsidR="00771820" w:rsidRPr="00771820" w:rsidRDefault="00771820" w:rsidP="00771820">
      <w:pPr>
        <w:numPr>
          <w:ilvl w:val="0"/>
          <w:numId w:val="11"/>
        </w:numPr>
        <w:tabs>
          <w:tab w:val="num" w:pos="993"/>
        </w:tabs>
        <w:spacing w:before="0" w:after="0" w:line="240" w:lineRule="auto"/>
        <w:ind w:left="993" w:hanging="284"/>
        <w:rPr>
          <w:rFonts w:ascii="Times New Roman" w:hAnsi="Times New Roman"/>
          <w:sz w:val="20"/>
          <w:szCs w:val="24"/>
          <w:lang w:val="es-ES"/>
        </w:rPr>
      </w:pPr>
      <w:r w:rsidRPr="00771820">
        <w:rPr>
          <w:rFonts w:ascii="Times New Roman" w:hAnsi="Times New Roman"/>
          <w:sz w:val="20"/>
          <w:szCs w:val="24"/>
          <w:lang w:val="es-ES"/>
        </w:rPr>
        <w:t>Centros agrupaciones de coste. Agregados que representan lugares físicos que no se corresponden exactamente con lo que se ha venido considerando como centros de coste, al no desarrollarse en ellos ninguna actividad, por no realizarse actividades que constituyen el objeto de la Entidad, pero necesarias por imperativo legal o por otras causas.</w:t>
      </w:r>
    </w:p>
    <w:p w:rsidR="00771820" w:rsidRDefault="00771820" w:rsidP="00771820">
      <w:pPr>
        <w:numPr>
          <w:ilvl w:val="0"/>
          <w:numId w:val="11"/>
        </w:numPr>
        <w:tabs>
          <w:tab w:val="num" w:pos="993"/>
        </w:tabs>
        <w:spacing w:before="0" w:after="0" w:line="240" w:lineRule="auto"/>
        <w:ind w:left="993" w:hanging="284"/>
        <w:rPr>
          <w:rFonts w:ascii="Times New Roman" w:hAnsi="Times New Roman"/>
          <w:sz w:val="20"/>
          <w:szCs w:val="24"/>
          <w:lang w:val="es-ES"/>
        </w:rPr>
      </w:pPr>
      <w:r w:rsidRPr="00771820">
        <w:rPr>
          <w:rFonts w:ascii="Times New Roman" w:hAnsi="Times New Roman"/>
          <w:sz w:val="20"/>
          <w:szCs w:val="24"/>
          <w:lang w:val="es-ES"/>
        </w:rPr>
        <w:t>Centros mixtos. Participan de las características de dos o más tipos de los centros anteriormente descritos.</w:t>
      </w:r>
    </w:p>
    <w:p w:rsidR="00771820" w:rsidRPr="00771820" w:rsidRDefault="00771820" w:rsidP="00771820">
      <w:pPr>
        <w:spacing w:before="0" w:after="0" w:line="240" w:lineRule="auto"/>
        <w:ind w:left="993"/>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Cabe destacar, por último, que en el análisis de la estructura organizativa del IASS, en particular, lo fundamental que supone la profundización en el estudio del conjunto de centros prestadores de las actividades que configuran su proceso de negocio y, en consecuencia, su cadena de valor.</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b/>
          <w:sz w:val="20"/>
          <w:szCs w:val="24"/>
          <w:lang w:val="es-ES"/>
        </w:rPr>
      </w:pPr>
      <w:r w:rsidRPr="00771820">
        <w:rPr>
          <w:rFonts w:ascii="Times New Roman" w:hAnsi="Times New Roman"/>
          <w:b/>
          <w:sz w:val="20"/>
          <w:szCs w:val="24"/>
          <w:lang w:val="es-ES"/>
        </w:rPr>
        <w:t>3.3. ACTIVIDADES</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 xml:space="preserve">El productivo del IASS constituye el eje informativo del proyecto de diseño y definición de su Modelo de Contabilidad Analítica, y permite la identificación de los servicios prestados por las Entidades en cuanto constituyen el objeto de costes último que el sistema debe analizar, tanto si se trata de servicios finalistas -que constituyen el portador último de los recursos aplicados-, como de servicios intermedios -cuyo coste es preciso imputar a los beneficiarios que los disfrutan-. </w:t>
      </w:r>
    </w:p>
    <w:p w:rsidR="00771820" w:rsidRPr="00771820" w:rsidRDefault="00771820" w:rsidP="00771820">
      <w:pPr>
        <w:spacing w:before="0" w:after="0" w:line="240" w:lineRule="auto"/>
        <w:rPr>
          <w:rFonts w:ascii="Times New Roman" w:hAnsi="Times New Roman"/>
          <w:sz w:val="20"/>
          <w:szCs w:val="24"/>
          <w:lang w:val="es-ES"/>
        </w:rPr>
      </w:pP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 xml:space="preserve">Por otra parte, en cuanto a las actividades, es preciso clasificarlas obligatoriamente por su participación en el proceso formativo del coste y, a efectos de determinar el tratamiento a efectuar sobre éstos, en los las siguientes: </w:t>
      </w:r>
    </w:p>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Actividades finalistas o principales. Las desarrolladas para la prestación de los servicios que constituyen la razón de ser del Ente. La repercusión de sus costes generará el coste operativo de dicho servicio.</w:t>
      </w:r>
    </w:p>
    <w:p w:rsidR="00771820" w:rsidRP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Actividades auxiliares o intermedias. Constituyen actividades de apoyo para el desarrollo del resto de las actividades del Ente. Su coste se repartirá, por tanto, entre los receptores que se beneficien de los outputs que generan.</w:t>
      </w:r>
    </w:p>
    <w:p w:rsidR="00771820" w:rsidRP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Actividades directivas y administrativas. Las propias de dicha denominación, tanto a nivel de dirección general como funcional, cuyo coste se repercutirá, junto al de las actividades de organización, sobre los objetos de coste considerados para determinar tanto su coste funcional como total.</w:t>
      </w:r>
    </w:p>
    <w:p w:rsidR="00771820" w:rsidRP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Actividades anexas. Aquéllas que, generando servicios disfrutados por usuarios externos, no se consideran directamente relacionadas con el cumplimiento de los fines generales de la Entidad. Su coste repercutirá sobre los objetos o portadores de coste relacionados con dichos servicios anexos para la formación de su coste operativo.</w:t>
      </w:r>
    </w:p>
    <w:p w:rsidR="00771820" w:rsidRP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Actividades organización. Actividades que recogen aquellas cargas que son atribuibles a la Entidad en su conjunto, bien por mandato legal, bien por decisiones tomadas por el propio Ente.</w:t>
      </w:r>
    </w:p>
    <w:p w:rsidR="00771820" w:rsidRP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Actividades T.R.O.P.I. Las vinculadas con la realización de trabajos para la consecución de elementos del inmovilizado, material o inmaterial, de la Entidad. Su coste, por tanto, en cuanto que constituyen inversiones reales en activos cuyo uso y disfrute se producirá en períodos posteriores al de su consecución, sólo repercutirá en el coste de los portadores u objetos finales mediante la amortización calculada por su aplicación en el desarrollo de las mismas en el periodo en el que se produzca. En consecuencia, su tratamiento será similar al de las actividades finalistas o principales, no repartiendo sus costes al de otras actividades, sino a los correspondientes objetos finales.</w:t>
      </w:r>
    </w:p>
    <w:p w:rsidR="00771820" w:rsidRDefault="00771820" w:rsidP="00771820">
      <w:pPr>
        <w:numPr>
          <w:ilvl w:val="0"/>
          <w:numId w:val="11"/>
        </w:numPr>
        <w:spacing w:before="0" w:after="0" w:line="240" w:lineRule="auto"/>
        <w:ind w:left="993"/>
        <w:rPr>
          <w:rFonts w:ascii="Times New Roman" w:hAnsi="Times New Roman"/>
          <w:sz w:val="20"/>
          <w:szCs w:val="24"/>
          <w:lang w:val="es-ES"/>
        </w:rPr>
      </w:pPr>
      <w:r w:rsidRPr="00771820">
        <w:rPr>
          <w:rFonts w:ascii="Times New Roman" w:hAnsi="Times New Roman"/>
          <w:sz w:val="20"/>
          <w:szCs w:val="24"/>
          <w:lang w:val="es-ES"/>
        </w:rPr>
        <w:t>Subactividad. Constituye el cálculo de la parte del coste que puede asignarse a la desocupación productiva en un período determinado por la falta de utilización o por un uso inferior al normal de los factores productivos. No se trata, por tanto, de actividades reales de la Organización, sino de cálculos realizados para delimitar los costes no relacionados con la prestación de servicios por constituir una infrautilización de los recursos potenciales.</w:t>
      </w:r>
    </w:p>
    <w:p w:rsidR="00771820" w:rsidRPr="00771820" w:rsidRDefault="00771820" w:rsidP="00771820">
      <w:pPr>
        <w:spacing w:before="0" w:after="0" w:line="240" w:lineRule="auto"/>
        <w:ind w:left="993"/>
        <w:rPr>
          <w:rFonts w:ascii="Times New Roman" w:hAnsi="Times New Roman"/>
          <w:sz w:val="20"/>
          <w:szCs w:val="24"/>
          <w:lang w:val="es-ES"/>
        </w:rPr>
      </w:pPr>
    </w:p>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De acuerdo con lo anteriormente descrito, se definió el correspondiente catálogo de actividades, cuya organización, formada por diferentes niveles de desagregación, representan la estructura jerárquica funcional de las actividades/prestaciones definidas en el Modelo.</w:t>
      </w:r>
    </w:p>
    <w:p w:rsid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lastRenderedPageBreak/>
        <w:t>Seguidamente, se presenta la estructura del desglose simplificado de las actividades propuestas para el IASS.</w:t>
      </w:r>
    </w:p>
    <w:p w:rsid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jc w:val="center"/>
        <w:rPr>
          <w:rFonts w:ascii="Times New Roman" w:hAnsi="Times New Roman"/>
          <w:sz w:val="20"/>
          <w:szCs w:val="24"/>
          <w:lang w:val="es-ES"/>
        </w:rPr>
      </w:pPr>
      <w:r w:rsidRPr="00D027C2">
        <w:rPr>
          <w:rFonts w:ascii="Times New Roman" w:hAnsi="Times New Roman"/>
          <w:sz w:val="20"/>
          <w:szCs w:val="24"/>
          <w:lang w:val="es-ES"/>
        </w:rPr>
        <w:t xml:space="preserve">Tabla </w:t>
      </w:r>
      <w:r>
        <w:rPr>
          <w:rFonts w:ascii="Times New Roman" w:hAnsi="Times New Roman"/>
          <w:sz w:val="20"/>
          <w:szCs w:val="24"/>
          <w:lang w:val="es-ES"/>
        </w:rPr>
        <w:t>3</w:t>
      </w:r>
      <w:r w:rsidRPr="00D027C2">
        <w:rPr>
          <w:rFonts w:ascii="Times New Roman" w:hAnsi="Times New Roman"/>
          <w:sz w:val="20"/>
          <w:szCs w:val="24"/>
          <w:lang w:val="es-ES"/>
        </w:rPr>
        <w:t xml:space="preserve">: </w:t>
      </w:r>
      <w:r>
        <w:rPr>
          <w:rFonts w:ascii="Times New Roman" w:hAnsi="Times New Roman"/>
          <w:sz w:val="20"/>
          <w:szCs w:val="24"/>
          <w:lang w:val="es-ES"/>
        </w:rPr>
        <w:t>Actividades áreas dependencia</w:t>
      </w:r>
    </w:p>
    <w:tbl>
      <w:tblPr>
        <w:tblW w:w="7243" w:type="dxa"/>
        <w:jc w:val="center"/>
        <w:tblCellMar>
          <w:left w:w="70" w:type="dxa"/>
          <w:right w:w="70" w:type="dxa"/>
        </w:tblCellMar>
        <w:tblLook w:val="04A0" w:firstRow="1" w:lastRow="0" w:firstColumn="1" w:lastColumn="0" w:noHBand="0" w:noVBand="1"/>
      </w:tblPr>
      <w:tblGrid>
        <w:gridCol w:w="7243"/>
      </w:tblGrid>
      <w:tr w:rsidR="00771820" w:rsidRPr="00771820" w:rsidTr="00771820">
        <w:trPr>
          <w:trHeight w:val="20"/>
          <w:tblHeader/>
          <w:jc w:val="center"/>
        </w:trPr>
        <w:tc>
          <w:tcPr>
            <w:tcW w:w="72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ÁREA DEPENDENCIA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A100 HOSPITALIZACIÓN LARGA ESTANCIA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A101 UNIDAD DE ALZHEIMER</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A102 PSICOGERIATRÍA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A103 MORTUORIO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A104 CONSULTA DE NEUROLOGÍA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A105 ESTANCIA DIURNA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A106 PLAZA RESIDENCIAL ALTO REQUERIMIENTO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A107 PLAZA RESIDENCIAL MEDIO REQUERIMIENTO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A108 PLAZA RESIDENCIAL BAJO REQUERIMIENTO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A400 COCINA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A401 REHABILITACIÓN (GIMNASIO)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A601 SALUD LABORAL</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A602 UNIDAD DE VALORACIÓN</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A603 DIRECCIÓN UNIDAD SOCIOSANITARIA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bl>
    <w:p w:rsidR="00771820" w:rsidRP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jc w:val="center"/>
        <w:rPr>
          <w:rFonts w:ascii="Times New Roman" w:hAnsi="Times New Roman"/>
          <w:bCs/>
          <w:sz w:val="20"/>
          <w:szCs w:val="24"/>
        </w:rPr>
      </w:pPr>
      <w:r w:rsidRPr="00D027C2">
        <w:rPr>
          <w:rFonts w:ascii="Times New Roman" w:hAnsi="Times New Roman"/>
          <w:sz w:val="20"/>
          <w:szCs w:val="24"/>
          <w:lang w:val="es-ES"/>
        </w:rPr>
        <w:t xml:space="preserve">Tabla </w:t>
      </w:r>
      <w:r>
        <w:rPr>
          <w:rFonts w:ascii="Times New Roman" w:hAnsi="Times New Roman"/>
          <w:sz w:val="20"/>
          <w:szCs w:val="24"/>
          <w:lang w:val="es-ES"/>
        </w:rPr>
        <w:t>4</w:t>
      </w:r>
      <w:r w:rsidRPr="00D027C2">
        <w:rPr>
          <w:rFonts w:ascii="Times New Roman" w:hAnsi="Times New Roman"/>
          <w:sz w:val="20"/>
          <w:szCs w:val="24"/>
          <w:lang w:val="es-ES"/>
        </w:rPr>
        <w:t xml:space="preserve">: </w:t>
      </w:r>
      <w:r>
        <w:rPr>
          <w:rFonts w:ascii="Times New Roman" w:hAnsi="Times New Roman"/>
          <w:sz w:val="20"/>
          <w:szCs w:val="24"/>
          <w:lang w:val="es-ES"/>
        </w:rPr>
        <w:t>Actividades área infancia y familia</w:t>
      </w:r>
    </w:p>
    <w:tbl>
      <w:tblPr>
        <w:tblW w:w="7243" w:type="dxa"/>
        <w:jc w:val="center"/>
        <w:tblCellMar>
          <w:left w:w="70" w:type="dxa"/>
          <w:right w:w="70" w:type="dxa"/>
        </w:tblCellMar>
        <w:tblLook w:val="04A0" w:firstRow="1" w:lastRow="0" w:firstColumn="1" w:lastColumn="0" w:noHBand="0" w:noVBand="1"/>
      </w:tblPr>
      <w:tblGrid>
        <w:gridCol w:w="7243"/>
      </w:tblGrid>
      <w:tr w:rsidR="00771820" w:rsidRPr="00771820" w:rsidTr="00771820">
        <w:trPr>
          <w:trHeight w:val="20"/>
          <w:tblHeader/>
          <w:jc w:val="center"/>
        </w:trPr>
        <w:tc>
          <w:tcPr>
            <w:tcW w:w="72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ÁREA INFANCIA Y FAMILIA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A109 ACOGIMIENTO RESIDENCIAL</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A110 ATENCIÓN DIURNA PARA MENORES EN SITUACIÓN DE RIESGO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A111 PISOS TUTELADOS PARA JÓVENES DE ACOGIMIENTO RESIDENCIAL</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A112 ACOGIMIENTO RESIDENCIAL MENORES EN CONFLICTO SOCIAL Y PROBLEMAS DE CONDUCTA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A115 CENTROS DE DÍA TERAPÉUTICOS</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center"/>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A116 SERVICIO INSULAR DE ATENCIÓN ESPECIALIZADA A LA INFANCIA Y FAMILIA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bl>
    <w:p w:rsid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jc w:val="center"/>
        <w:rPr>
          <w:rFonts w:ascii="Times New Roman" w:hAnsi="Times New Roman"/>
          <w:sz w:val="20"/>
          <w:szCs w:val="24"/>
          <w:lang w:val="es-ES"/>
        </w:rPr>
      </w:pPr>
      <w:r>
        <w:rPr>
          <w:rFonts w:ascii="Times New Roman" w:hAnsi="Times New Roman"/>
          <w:sz w:val="20"/>
          <w:szCs w:val="24"/>
          <w:lang w:val="es-ES"/>
        </w:rPr>
        <w:t>Tabla 5</w:t>
      </w:r>
      <w:r w:rsidRPr="00D027C2">
        <w:rPr>
          <w:rFonts w:ascii="Times New Roman" w:hAnsi="Times New Roman"/>
          <w:sz w:val="20"/>
          <w:szCs w:val="24"/>
          <w:lang w:val="es-ES"/>
        </w:rPr>
        <w:t xml:space="preserve">: </w:t>
      </w:r>
      <w:r>
        <w:rPr>
          <w:rFonts w:ascii="Times New Roman" w:hAnsi="Times New Roman"/>
          <w:sz w:val="20"/>
          <w:szCs w:val="24"/>
          <w:lang w:val="es-ES"/>
        </w:rPr>
        <w:t>Actividades violencia de Género</w:t>
      </w:r>
    </w:p>
    <w:tbl>
      <w:tblPr>
        <w:tblW w:w="7243" w:type="dxa"/>
        <w:jc w:val="center"/>
        <w:tblCellMar>
          <w:left w:w="70" w:type="dxa"/>
          <w:right w:w="70" w:type="dxa"/>
        </w:tblCellMar>
        <w:tblLook w:val="04A0" w:firstRow="1" w:lastRow="0" w:firstColumn="1" w:lastColumn="0" w:noHBand="0" w:noVBand="1"/>
      </w:tblPr>
      <w:tblGrid>
        <w:gridCol w:w="7243"/>
      </w:tblGrid>
      <w:tr w:rsidR="00771820" w:rsidRPr="00771820" w:rsidTr="00771820">
        <w:trPr>
          <w:trHeight w:val="20"/>
          <w:tblHeader/>
          <w:jc w:val="center"/>
        </w:trPr>
        <w:tc>
          <w:tcPr>
            <w:tcW w:w="72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ÁREA VIOLENCIA DE GÉNERO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A119 ACOGIMIENTO RESIDENCIAL (CASAS DE ACOGIDA)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A120 SERVICIO DEMA-CAI</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A121 CASAS DE ACOGIDA (ACOGIMIENTO RESIDENCIAL)</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A122 ATENCIÓN E INTERVENCIÓN ESPECIALIZADA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bl>
    <w:p w:rsidR="00771820" w:rsidRDefault="00771820" w:rsidP="00771820">
      <w:pPr>
        <w:pStyle w:val="Descripcin"/>
        <w:jc w:val="center"/>
        <w:rPr>
          <w:rFonts w:ascii="Times New Roman" w:eastAsia="Calibri" w:hAnsi="Times New Roman"/>
          <w:b w:val="0"/>
          <w:bCs w:val="0"/>
          <w:szCs w:val="24"/>
          <w:lang w:eastAsia="en-US"/>
        </w:rPr>
      </w:pPr>
    </w:p>
    <w:p w:rsidR="00771820" w:rsidRPr="00771820" w:rsidRDefault="00771820" w:rsidP="00771820">
      <w:pPr>
        <w:spacing w:before="0" w:after="0" w:line="240" w:lineRule="auto"/>
        <w:jc w:val="center"/>
        <w:rPr>
          <w:lang w:val="es-ES"/>
        </w:rPr>
      </w:pPr>
      <w:r>
        <w:rPr>
          <w:rFonts w:ascii="Times New Roman" w:hAnsi="Times New Roman"/>
          <w:sz w:val="20"/>
          <w:szCs w:val="24"/>
          <w:lang w:val="es-ES"/>
        </w:rPr>
        <w:t>Tabla 6</w:t>
      </w:r>
      <w:r w:rsidRPr="00D027C2">
        <w:rPr>
          <w:rFonts w:ascii="Times New Roman" w:hAnsi="Times New Roman"/>
          <w:sz w:val="20"/>
          <w:szCs w:val="24"/>
          <w:lang w:val="es-ES"/>
        </w:rPr>
        <w:t xml:space="preserve">: </w:t>
      </w:r>
      <w:r>
        <w:rPr>
          <w:rFonts w:ascii="Times New Roman" w:hAnsi="Times New Roman"/>
          <w:sz w:val="20"/>
          <w:szCs w:val="24"/>
          <w:lang w:val="es-ES"/>
        </w:rPr>
        <w:t>Actividades Área de intervención social y relaciones externas</w:t>
      </w:r>
    </w:p>
    <w:tbl>
      <w:tblPr>
        <w:tblW w:w="7243" w:type="dxa"/>
        <w:jc w:val="center"/>
        <w:tblCellMar>
          <w:left w:w="70" w:type="dxa"/>
          <w:right w:w="70" w:type="dxa"/>
        </w:tblCellMar>
        <w:tblLook w:val="04A0" w:firstRow="1" w:lastRow="0" w:firstColumn="1" w:lastColumn="0" w:noHBand="0" w:noVBand="1"/>
      </w:tblPr>
      <w:tblGrid>
        <w:gridCol w:w="7243"/>
      </w:tblGrid>
      <w:tr w:rsidR="00771820" w:rsidRPr="00771820" w:rsidTr="00771820">
        <w:trPr>
          <w:trHeight w:val="20"/>
          <w:tblHeader/>
          <w:jc w:val="center"/>
        </w:trPr>
        <w:tc>
          <w:tcPr>
            <w:tcW w:w="72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ÁREA INTERVENCIÓN SOCIAL Y RELACIONES EXTERNAS</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A126 PREVENCIÓN EN DROGODEPENDENCIAS Y OTRAS ADICCIONES</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A127 INTERVENCIÓN EN PREVENCIÓN EN EXCLUSIÓN SOCIAL (EX ACOGIDOS)</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A130 ASESORAMIENTO Y APOYO TÉCNICO MUNICIPAL</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A131 ATENCIÓN AL CIUDADANO (RECEPCIÓN, ORIENTACIÓN Y DERIVACIÓN ESPECIALIZADA)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A132 SUGERENCIAS Y RECLAMACIONES</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bl>
    <w:p w:rsidR="00771820" w:rsidRDefault="00771820" w:rsidP="00771820">
      <w:pPr>
        <w:spacing w:before="0" w:after="0" w:line="240" w:lineRule="auto"/>
        <w:rPr>
          <w:rFonts w:ascii="Times New Roman" w:hAnsi="Times New Roman"/>
          <w:sz w:val="20"/>
          <w:szCs w:val="24"/>
          <w:lang w:val="es-ES"/>
        </w:rPr>
      </w:pPr>
    </w:p>
    <w:p w:rsidR="00771820" w:rsidRPr="00771820" w:rsidRDefault="00771820" w:rsidP="00771820">
      <w:pPr>
        <w:spacing w:before="0" w:after="0" w:line="240" w:lineRule="auto"/>
        <w:jc w:val="center"/>
        <w:rPr>
          <w:rFonts w:ascii="Times New Roman" w:hAnsi="Times New Roman"/>
          <w:sz w:val="20"/>
          <w:szCs w:val="24"/>
          <w:lang w:val="es-ES"/>
        </w:rPr>
      </w:pPr>
      <w:r>
        <w:rPr>
          <w:rFonts w:ascii="Times New Roman" w:hAnsi="Times New Roman"/>
          <w:sz w:val="20"/>
          <w:szCs w:val="24"/>
          <w:lang w:val="es-ES"/>
        </w:rPr>
        <w:t>Tabla 7</w:t>
      </w:r>
      <w:r w:rsidRPr="00D027C2">
        <w:rPr>
          <w:rFonts w:ascii="Times New Roman" w:hAnsi="Times New Roman"/>
          <w:sz w:val="20"/>
          <w:szCs w:val="24"/>
          <w:lang w:val="es-ES"/>
        </w:rPr>
        <w:t xml:space="preserve">: </w:t>
      </w:r>
      <w:r>
        <w:rPr>
          <w:rFonts w:ascii="Times New Roman" w:hAnsi="Times New Roman"/>
          <w:sz w:val="20"/>
          <w:szCs w:val="24"/>
          <w:lang w:val="es-ES"/>
        </w:rPr>
        <w:t>Actividades auxiliares</w:t>
      </w:r>
    </w:p>
    <w:tbl>
      <w:tblPr>
        <w:tblW w:w="7243" w:type="dxa"/>
        <w:jc w:val="center"/>
        <w:tblCellMar>
          <w:left w:w="70" w:type="dxa"/>
          <w:right w:w="70" w:type="dxa"/>
        </w:tblCellMar>
        <w:tblLook w:val="04A0" w:firstRow="1" w:lastRow="0" w:firstColumn="1" w:lastColumn="0" w:noHBand="0" w:noVBand="1"/>
      </w:tblPr>
      <w:tblGrid>
        <w:gridCol w:w="7243"/>
      </w:tblGrid>
      <w:tr w:rsidR="00771820" w:rsidRPr="00771820" w:rsidTr="00771820">
        <w:trPr>
          <w:trHeight w:val="20"/>
          <w:tblHeader/>
          <w:jc w:val="center"/>
        </w:trPr>
        <w:tc>
          <w:tcPr>
            <w:tcW w:w="7243"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 xml:space="preserve">ACTIVIDADES AUXILIARES </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A406 ALMACÉN GENERAL</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A407 ARCHIVO-BIBLIOTECA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lastRenderedPageBreak/>
              <w:t>A408 CONSERJERÍA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A409 DISTRIBUCIÓN</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A410 LIMPIEZA</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A411 MANTENIMIENTO</w:t>
            </w:r>
          </w:p>
        </w:tc>
      </w:tr>
      <w:tr w:rsidR="00771820" w:rsidRPr="00771820" w:rsidTr="00771820">
        <w:trPr>
          <w:trHeight w:val="20"/>
          <w:jc w:val="center"/>
        </w:trPr>
        <w:tc>
          <w:tcPr>
            <w:tcW w:w="7243"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w:t>
            </w:r>
          </w:p>
        </w:tc>
      </w:tr>
    </w:tbl>
    <w:p w:rsidR="00771820" w:rsidRDefault="00771820" w:rsidP="00771820">
      <w:pPr>
        <w:spacing w:before="0" w:after="0" w:line="240" w:lineRule="auto"/>
        <w:jc w:val="center"/>
        <w:rPr>
          <w:rFonts w:ascii="Times New Roman" w:hAnsi="Times New Roman"/>
          <w:sz w:val="20"/>
          <w:szCs w:val="24"/>
          <w:lang w:val="es-ES"/>
        </w:rPr>
      </w:pPr>
      <w:bookmarkStart w:id="6" w:name="_Toc513119178"/>
    </w:p>
    <w:p w:rsidR="00771820" w:rsidRPr="00771820" w:rsidRDefault="00771820" w:rsidP="00771820">
      <w:pPr>
        <w:spacing w:before="0" w:after="0" w:line="240" w:lineRule="auto"/>
        <w:jc w:val="center"/>
        <w:rPr>
          <w:rFonts w:ascii="Times New Roman" w:hAnsi="Times New Roman"/>
          <w:sz w:val="20"/>
          <w:szCs w:val="24"/>
          <w:lang w:val="es-ES"/>
        </w:rPr>
      </w:pPr>
      <w:r>
        <w:rPr>
          <w:rFonts w:ascii="Times New Roman" w:hAnsi="Times New Roman"/>
          <w:sz w:val="20"/>
          <w:szCs w:val="24"/>
          <w:lang w:val="es-ES"/>
        </w:rPr>
        <w:t>Tabla 8</w:t>
      </w:r>
      <w:r w:rsidRPr="00D027C2">
        <w:rPr>
          <w:rFonts w:ascii="Times New Roman" w:hAnsi="Times New Roman"/>
          <w:sz w:val="20"/>
          <w:szCs w:val="24"/>
          <w:lang w:val="es-ES"/>
        </w:rPr>
        <w:t xml:space="preserve">: </w:t>
      </w:r>
      <w:r>
        <w:rPr>
          <w:rFonts w:ascii="Times New Roman" w:hAnsi="Times New Roman"/>
          <w:sz w:val="20"/>
          <w:szCs w:val="24"/>
          <w:lang w:val="es-ES"/>
        </w:rPr>
        <w:t>Actividades de dirección y administración general</w:t>
      </w:r>
      <w:r w:rsidRPr="00771820">
        <w:rPr>
          <w:rFonts w:ascii="Times New Roman" w:hAnsi="Times New Roman"/>
          <w:sz w:val="20"/>
          <w:szCs w:val="24"/>
          <w:lang w:val="es-ES"/>
        </w:rPr>
        <w:t>.</w:t>
      </w:r>
      <w:bookmarkEnd w:id="6"/>
    </w:p>
    <w:tbl>
      <w:tblPr>
        <w:tblW w:w="7385" w:type="dxa"/>
        <w:jc w:val="center"/>
        <w:tblCellMar>
          <w:left w:w="70" w:type="dxa"/>
          <w:right w:w="70" w:type="dxa"/>
        </w:tblCellMar>
        <w:tblLook w:val="04A0" w:firstRow="1" w:lastRow="0" w:firstColumn="1" w:lastColumn="0" w:noHBand="0" w:noVBand="1"/>
      </w:tblPr>
      <w:tblGrid>
        <w:gridCol w:w="7385"/>
      </w:tblGrid>
      <w:tr w:rsidR="00771820" w:rsidRPr="00771820" w:rsidTr="00771820">
        <w:trPr>
          <w:trHeight w:val="57"/>
          <w:tblHeader/>
          <w:jc w:val="center"/>
        </w:trPr>
        <w:tc>
          <w:tcPr>
            <w:tcW w:w="7385"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ACTIVIDADES DE DIRECCIÓN Y ADMINISTRACIÓN GENERAL</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A610 GERENCIA</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A611 INTERVENCIÓN</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A612 PERSONAL Y RR.HH.</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A613 PRESIDENCIA</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A614 PREVENCIÓN Y PROMOCIÓN</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A615 RELAC. LABORALES Y ORGANIZACIÓN</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A618 SERV. GESTIÓN ADMINISTRATIVA</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A619 SERV. PLANIF. EVALUAC.</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A620 SERVICIO ECONÓMICO-FINANCIERO</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A621 TESORERÍA DELEGADA</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A622 SISTEMAS DE INFORMACIÓN</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A623 …………………………………………..</w:t>
            </w:r>
          </w:p>
        </w:tc>
      </w:tr>
    </w:tbl>
    <w:p w:rsid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sz w:val="20"/>
          <w:szCs w:val="24"/>
          <w:lang w:val="es-ES"/>
        </w:rPr>
        <w:tab/>
      </w:r>
    </w:p>
    <w:p w:rsidR="00771820" w:rsidRPr="00771820" w:rsidRDefault="00771820" w:rsidP="00771820">
      <w:pPr>
        <w:spacing w:before="0" w:after="0" w:line="240" w:lineRule="auto"/>
        <w:jc w:val="center"/>
        <w:rPr>
          <w:rFonts w:ascii="Times New Roman" w:hAnsi="Times New Roman"/>
          <w:sz w:val="20"/>
          <w:szCs w:val="24"/>
          <w:lang w:val="es-ES"/>
        </w:rPr>
      </w:pPr>
      <w:r>
        <w:rPr>
          <w:rFonts w:ascii="Times New Roman" w:hAnsi="Times New Roman"/>
          <w:sz w:val="20"/>
          <w:szCs w:val="24"/>
          <w:lang w:val="es-ES"/>
        </w:rPr>
        <w:t>Tabla 9</w:t>
      </w:r>
      <w:r w:rsidRPr="00D027C2">
        <w:rPr>
          <w:rFonts w:ascii="Times New Roman" w:hAnsi="Times New Roman"/>
          <w:sz w:val="20"/>
          <w:szCs w:val="24"/>
          <w:lang w:val="es-ES"/>
        </w:rPr>
        <w:t xml:space="preserve">: </w:t>
      </w:r>
      <w:r>
        <w:rPr>
          <w:rFonts w:ascii="Times New Roman" w:hAnsi="Times New Roman"/>
          <w:sz w:val="20"/>
          <w:szCs w:val="24"/>
          <w:lang w:val="es-ES"/>
        </w:rPr>
        <w:t>Actividades Organización</w:t>
      </w:r>
    </w:p>
    <w:tbl>
      <w:tblPr>
        <w:tblW w:w="7385" w:type="dxa"/>
        <w:jc w:val="center"/>
        <w:tblCellMar>
          <w:left w:w="70" w:type="dxa"/>
          <w:right w:w="70" w:type="dxa"/>
        </w:tblCellMar>
        <w:tblLook w:val="04A0" w:firstRow="1" w:lastRow="0" w:firstColumn="1" w:lastColumn="0" w:noHBand="0" w:noVBand="1"/>
      </w:tblPr>
      <w:tblGrid>
        <w:gridCol w:w="7385"/>
      </w:tblGrid>
      <w:tr w:rsidR="00771820" w:rsidRPr="00771820" w:rsidTr="00771820">
        <w:trPr>
          <w:trHeight w:val="57"/>
          <w:tblHeader/>
          <w:jc w:val="center"/>
        </w:trPr>
        <w:tc>
          <w:tcPr>
            <w:tcW w:w="7385"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771820" w:rsidRPr="00771820" w:rsidRDefault="00771820" w:rsidP="00771820">
            <w:pPr>
              <w:spacing w:before="0" w:after="0" w:line="240" w:lineRule="auto"/>
              <w:jc w:val="center"/>
              <w:rPr>
                <w:rFonts w:ascii="Times New Roman" w:hAnsi="Times New Roman"/>
                <w:sz w:val="20"/>
                <w:szCs w:val="24"/>
                <w:lang w:val="es-ES"/>
              </w:rPr>
            </w:pPr>
            <w:r w:rsidRPr="00771820">
              <w:rPr>
                <w:rFonts w:ascii="Times New Roman" w:hAnsi="Times New Roman"/>
                <w:color w:val="FFFFFF" w:themeColor="background1"/>
                <w:sz w:val="20"/>
                <w:szCs w:val="24"/>
                <w:lang w:val="es-ES"/>
              </w:rPr>
              <w:t>ACTIVIDADES ORGANIZACIÓN</w:t>
            </w:r>
          </w:p>
        </w:tc>
      </w:tr>
      <w:tr w:rsidR="00771820" w:rsidRPr="00771820" w:rsidTr="00771820">
        <w:trPr>
          <w:trHeight w:val="57"/>
          <w:jc w:val="center"/>
        </w:trPr>
        <w:tc>
          <w:tcPr>
            <w:tcW w:w="7385" w:type="dxa"/>
            <w:tcBorders>
              <w:top w:val="nil"/>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A900 COMITÉ DE EMPRESA</w:t>
            </w:r>
          </w:p>
        </w:tc>
      </w:tr>
      <w:tr w:rsidR="00771820" w:rsidRPr="00771820" w:rsidTr="00771820">
        <w:trPr>
          <w:trHeight w:val="57"/>
          <w:jc w:val="center"/>
        </w:trPr>
        <w:tc>
          <w:tcPr>
            <w:tcW w:w="7385" w:type="dxa"/>
            <w:tcBorders>
              <w:top w:val="single" w:sz="4" w:space="0" w:color="auto"/>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A901 SECCIONES SINDICALES</w:t>
            </w:r>
          </w:p>
        </w:tc>
      </w:tr>
      <w:tr w:rsidR="00771820" w:rsidRPr="00771820" w:rsidTr="00771820">
        <w:trPr>
          <w:trHeight w:val="57"/>
          <w:jc w:val="center"/>
        </w:trPr>
        <w:tc>
          <w:tcPr>
            <w:tcW w:w="7385" w:type="dxa"/>
            <w:tcBorders>
              <w:top w:val="single" w:sz="4" w:space="0" w:color="auto"/>
              <w:left w:val="single" w:sz="4" w:space="0" w:color="auto"/>
              <w:bottom w:val="single" w:sz="4" w:space="0" w:color="auto"/>
              <w:right w:val="single" w:sz="4" w:space="0" w:color="auto"/>
            </w:tcBorders>
            <w:noWrap/>
            <w:vAlign w:val="bottom"/>
            <w:hideMark/>
          </w:tcPr>
          <w:p w:rsidR="00771820" w:rsidRPr="00771820" w:rsidRDefault="00771820" w:rsidP="00771820">
            <w:pPr>
              <w:spacing w:before="0" w:after="0" w:line="240" w:lineRule="auto"/>
              <w:rPr>
                <w:rFonts w:ascii="Times New Roman" w:hAnsi="Times New Roman"/>
                <w:sz w:val="20"/>
                <w:szCs w:val="24"/>
                <w:lang w:val="es-ES"/>
              </w:rPr>
            </w:pPr>
            <w:r w:rsidRPr="00771820">
              <w:rPr>
                <w:rFonts w:ascii="Times New Roman" w:hAnsi="Times New Roman"/>
                <w:sz w:val="20"/>
                <w:szCs w:val="24"/>
                <w:lang w:val="es-ES"/>
              </w:rPr>
              <w:t>A902 ORGANIZACIÓN</w:t>
            </w:r>
          </w:p>
        </w:tc>
      </w:tr>
    </w:tbl>
    <w:p w:rsidR="00771820" w:rsidRDefault="00771820" w:rsidP="00771820">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b/>
          <w:sz w:val="20"/>
          <w:szCs w:val="24"/>
          <w:lang w:val="es-ES"/>
        </w:rPr>
      </w:pPr>
      <w:r w:rsidRPr="003A60E8">
        <w:rPr>
          <w:rFonts w:ascii="Times New Roman" w:hAnsi="Times New Roman"/>
          <w:b/>
          <w:sz w:val="20"/>
          <w:szCs w:val="24"/>
          <w:lang w:val="es-ES"/>
        </w:rPr>
        <w:t>4. INDICADORES DE GESTIÓN</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Con independencia de los indicadores que puedan construirse para facilitar la medida de los aspectos que a los gestores puedan resultar más útiles para orientar sus procesos de toma de decisiones, la Orden HAP/1781/2013, por la que se aprueba la Instrucción del modelo normal de contabilidad local (ICAL), tal y como se indicó anteriormente, la Orden prevé la inclusión en la Memoria, de la información contenida en la nota 27. «Indicadores de gestión», en la que se presentan cuatro grupos de indicadores sobre los que debe informarse, de acuerdo con las reglas y metodología previstos en la Resolución de 28 de julio de 2011, de la Intervención General de la Administración del Estado, por la que se regulan los criterios para la elaboración de la información sobre los costes de actividades e indicadores de gestión a incluir en la memoria de las cuentas anuales del Plan General de Contabilidad Pública.</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b/>
          <w:sz w:val="20"/>
          <w:szCs w:val="24"/>
          <w:lang w:val="es-ES"/>
        </w:rPr>
      </w:pPr>
      <w:r w:rsidRPr="003A60E8">
        <w:rPr>
          <w:rFonts w:ascii="Times New Roman" w:hAnsi="Times New Roman"/>
          <w:b/>
          <w:sz w:val="20"/>
          <w:szCs w:val="24"/>
          <w:lang w:val="es-ES"/>
        </w:rPr>
        <w:t>4.1. INDICADORES DE EFICACIA</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Por indicadores de eficacia se entienden aquéllos que, para el seguimiento y control de las actividades/actuaciones ejecutadas, miden el grado en que han sido alcanzados desde un punto de vista físico los objetivos previstos. Para la obtención de estos indicadores resulta necesario que cada entidad determine al comienzo de cada proceso productivo de manera precisa y diferenciada los objetivos a alcanzar –actividades/actuaciones- concretados en magnitudes físicas. Esos objetivos deberán ir referidos al conjunto de actividades definidas por cada entidad.</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La normativa define los siguientes indicadores de eficacia:</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pStyle w:val="Prrafodelista"/>
        <w:numPr>
          <w:ilvl w:val="0"/>
          <w:numId w:val="13"/>
        </w:numPr>
        <w:spacing w:after="0" w:line="240" w:lineRule="auto"/>
        <w:jc w:val="both"/>
        <w:rPr>
          <w:rFonts w:ascii="Times New Roman" w:eastAsia="Calibri" w:hAnsi="Times New Roman" w:cs="Times New Roman"/>
          <w:sz w:val="20"/>
          <w:szCs w:val="24"/>
        </w:rPr>
      </w:pPr>
      <m:oMath>
        <m:f>
          <m:fPr>
            <m:ctrlPr>
              <w:rPr>
                <w:rFonts w:ascii="Cambria Math" w:eastAsia="Calibri" w:hAnsi="Cambria Math" w:cs="Times New Roman"/>
                <w:sz w:val="20"/>
                <w:szCs w:val="24"/>
              </w:rPr>
            </m:ctrlPr>
          </m:fPr>
          <m:num>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actuaciones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realizadas</m:t>
            </m:r>
          </m:num>
          <m:den>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actuaciones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previstas</m:t>
            </m:r>
          </m:den>
        </m:f>
      </m:oMath>
    </w:p>
    <w:p w:rsid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Mide el grado de consecución de los objetivos previstos sobre la base del número de prestaciones-actuaciones o intervenciones realizadas. Deberá adaptarse no sólo a cada entidad sino a los servicios que éstas prestan y su forma de cómputo (usuarios, actuaciones, unidades de tiempo, etc.).</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lastRenderedPageBreak/>
        <w:t>Para el caso del IASS se han definido sobre la base de sus prestaciones específicas, permitiendo relacionar parámetros como el número de camas o plazas con los niveles de ocupación real, el número de intervenciones de violencia de género respecto a los objetivos previstos, el número de actuaciones en programas de prevención y sensibilización, número de horas de rehabilitación, etc.</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pStyle w:val="Prrafodelista"/>
        <w:numPr>
          <w:ilvl w:val="0"/>
          <w:numId w:val="13"/>
        </w:numPr>
        <w:spacing w:after="0" w:line="240" w:lineRule="auto"/>
        <w:jc w:val="both"/>
        <w:rPr>
          <w:rFonts w:ascii="Times New Roman" w:eastAsia="Calibri" w:hAnsi="Times New Roman" w:cs="Times New Roman"/>
          <w:sz w:val="20"/>
          <w:szCs w:val="24"/>
        </w:rPr>
      </w:pPr>
      <w:r w:rsidRPr="003A60E8">
        <w:rPr>
          <w:rFonts w:ascii="Times New Roman" w:eastAsia="Calibri" w:hAnsi="Times New Roman" w:cs="Times New Roman"/>
          <w:sz w:val="20"/>
          <w:szCs w:val="24"/>
        </w:rPr>
        <w:t>Plazo medio de espera para recibir un determinado servicio</w:t>
      </w:r>
    </w:p>
    <w:p w:rsidR="003A60E8" w:rsidRPr="003A60E8" w:rsidRDefault="003A60E8" w:rsidP="003A60E8">
      <w:pPr>
        <w:pStyle w:val="Prrafodelista"/>
        <w:spacing w:after="0" w:line="240" w:lineRule="auto"/>
        <w:jc w:val="both"/>
        <w:rPr>
          <w:rFonts w:ascii="Times New Roman" w:eastAsia="Calibri" w:hAnsi="Times New Roman" w:cs="Times New Roman"/>
          <w:sz w:val="20"/>
          <w:szCs w:val="24"/>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 xml:space="preserve">De acuerdo con la Resolución de 28 de julio, este indicador se expresará en días naturales, para cuyo cómputo se tendrá en cuenta el momento de entrada de la solicitud, puesta en conocimiento, inicio de oficio, etc., de la actuación que da lugar a la actividad de acuerdo con las normas internas de cada entidad. </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El cálculo concreto del indicador se efectuará dividiendo el total de días naturales transcurridos hasta la resolución que da comienzo a la prestación del servicio público entre el número de prestaciones que como consecuencia de ese servicio público se han comenzado a prestar en el período.</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Para el cálculo de los días anteriormente señalados se tendrán en cuenta las peticiones iniciadas y no prestadas en el ejercicio anterior así como las iniciadas en el período al que se refiere el cálculo del indicador y no terminadas en el ejercicio, procediéndose a la correspondiente determinación de unidades equivalentes respecto al denominador de la fracción que determina dicho indicador.</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pStyle w:val="Prrafodelista"/>
        <w:numPr>
          <w:ilvl w:val="0"/>
          <w:numId w:val="13"/>
        </w:numPr>
        <w:spacing w:after="0" w:line="240" w:lineRule="auto"/>
        <w:jc w:val="both"/>
        <w:rPr>
          <w:rFonts w:ascii="Times New Roman" w:eastAsia="Calibri" w:hAnsi="Times New Roman" w:cs="Times New Roman"/>
          <w:sz w:val="20"/>
          <w:szCs w:val="24"/>
        </w:rPr>
      </w:pPr>
      <w:r w:rsidRPr="003A60E8">
        <w:rPr>
          <w:rFonts w:ascii="Times New Roman" w:eastAsia="Calibri" w:hAnsi="Times New Roman" w:cs="Times New Roman"/>
          <w:sz w:val="20"/>
          <w:szCs w:val="24"/>
        </w:rPr>
        <w:t>Porcentaje de población cubierta por un determinado servicio público.</w:t>
      </w:r>
    </w:p>
    <w:p w:rsidR="003A60E8" w:rsidRPr="003A60E8" w:rsidRDefault="003A60E8" w:rsidP="003A60E8">
      <w:pPr>
        <w:pStyle w:val="Prrafodelista"/>
        <w:spacing w:after="0" w:line="240" w:lineRule="auto"/>
        <w:jc w:val="both"/>
        <w:rPr>
          <w:rFonts w:ascii="Times New Roman" w:eastAsia="Calibri" w:hAnsi="Times New Roman" w:cs="Times New Roman"/>
          <w:sz w:val="20"/>
          <w:szCs w:val="24"/>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De acuerdo a la resolución, su cálculo se efectuará en función del número de personas cubiertas o afectadas por la prestación del servicio o la realización de la actuación de la organización en relación con el número de personas susceptibles de ser cubiertas por dicho servicio o actividad. Dicho cálculo se efectuará teniendo en cuenta el número medio de personas susceptibles de recibir la actuación pública a lo largo del ejercicio, teniendo en cuenta para su determinación el número de las mismas existentes al principio y al fin de dicho ejercicio.</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pStyle w:val="Prrafodelista"/>
        <w:numPr>
          <w:ilvl w:val="0"/>
          <w:numId w:val="13"/>
        </w:numPr>
        <w:spacing w:after="0" w:line="240" w:lineRule="auto"/>
        <w:jc w:val="both"/>
        <w:rPr>
          <w:rFonts w:ascii="Times New Roman" w:eastAsia="Calibri" w:hAnsi="Times New Roman" w:cs="Times New Roman"/>
          <w:sz w:val="20"/>
          <w:szCs w:val="24"/>
        </w:rPr>
      </w:pPr>
      <m:oMath>
        <m:f>
          <m:fPr>
            <m:type m:val="skw"/>
            <m:ctrlPr>
              <w:rPr>
                <w:rFonts w:ascii="Cambria Math" w:eastAsia="Calibri" w:hAnsi="Cambria Math" w:cs="Times New Roman"/>
                <w:sz w:val="20"/>
                <w:szCs w:val="24"/>
              </w:rPr>
            </m:ctrlPr>
          </m:fPr>
          <m:num>
            <m:f>
              <m:fPr>
                <m:ctrlPr>
                  <w:rPr>
                    <w:rFonts w:ascii="Cambria Math" w:eastAsia="Calibri" w:hAnsi="Cambria Math" w:cs="Times New Roman"/>
                    <w:sz w:val="20"/>
                    <w:szCs w:val="24"/>
                  </w:rPr>
                </m:ctrlPr>
              </m:fPr>
              <m:num>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actuaciones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realizadas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m:t>
                </m:r>
                <m:r>
                  <m:rPr>
                    <m:sty m:val="p"/>
                  </m:rPr>
                  <w:rPr>
                    <w:rFonts w:ascii="Cambria Math" w:eastAsia="Calibri" w:hAnsi="Cambria Math" w:cs="Times New Roman"/>
                    <w:sz w:val="20"/>
                    <w:szCs w:val="24"/>
                  </w:rPr>
                  <m:t>ñ</m:t>
                </m:r>
                <m:r>
                  <w:rPr>
                    <w:rFonts w:ascii="Cambria Math" w:eastAsia="Calibri" w:hAnsi="Cambria Math" w:cs="Times New Roman"/>
                    <w:sz w:val="20"/>
                    <w:szCs w:val="24"/>
                  </w:rPr>
                  <m:t>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X</m:t>
                </m:r>
              </m:num>
              <m:den>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actuaciones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previstas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m:t>
                </m:r>
                <m:r>
                  <m:rPr>
                    <m:sty m:val="p"/>
                  </m:rPr>
                  <w:rPr>
                    <w:rFonts w:ascii="Cambria Math" w:eastAsia="Calibri" w:hAnsi="Cambria Math" w:cs="Times New Roman"/>
                    <w:sz w:val="20"/>
                    <w:szCs w:val="24"/>
                  </w:rPr>
                  <m:t>ñ</m:t>
                </m:r>
                <m:r>
                  <w:rPr>
                    <w:rFonts w:ascii="Cambria Math" w:eastAsia="Calibri" w:hAnsi="Cambria Math" w:cs="Times New Roman"/>
                    <w:sz w:val="20"/>
                    <w:szCs w:val="24"/>
                  </w:rPr>
                  <m:t>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X</m:t>
                </m:r>
              </m:den>
            </m:f>
          </m:num>
          <m:den>
            <m:f>
              <m:fPr>
                <m:ctrlPr>
                  <w:rPr>
                    <w:rFonts w:ascii="Cambria Math" w:eastAsia="Calibri" w:hAnsi="Cambria Math" w:cs="Times New Roman"/>
                    <w:sz w:val="20"/>
                    <w:szCs w:val="24"/>
                  </w:rPr>
                </m:ctrlPr>
              </m:fPr>
              <m:num>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actuaciones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realizadas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serie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m:t>
                </m:r>
                <m:r>
                  <m:rPr>
                    <m:sty m:val="p"/>
                  </m:rPr>
                  <w:rPr>
                    <w:rFonts w:ascii="Cambria Math" w:eastAsia="Calibri" w:hAnsi="Cambria Math" w:cs="Times New Roman"/>
                    <w:sz w:val="20"/>
                    <w:szCs w:val="24"/>
                  </w:rPr>
                  <m:t>ñ</m:t>
                </m:r>
                <m:r>
                  <w:rPr>
                    <w:rFonts w:ascii="Cambria Math" w:eastAsia="Calibri" w:hAnsi="Cambria Math" w:cs="Times New Roman"/>
                    <w:sz w:val="20"/>
                    <w:szCs w:val="24"/>
                  </w:rPr>
                  <m:t>os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anteriores</m:t>
                </m:r>
                <m:r>
                  <m:rPr>
                    <m:sty m:val="p"/>
                  </m:rPr>
                  <w:rPr>
                    <w:rFonts w:ascii="Cambria Math" w:eastAsia="Calibri" w:hAnsi="Cambria Math" w:cs="Times New Roman"/>
                    <w:sz w:val="20"/>
                    <w:szCs w:val="24"/>
                  </w:rPr>
                  <m:t>)</m:t>
                </m:r>
              </m:num>
              <m:den>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actuaciones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previstas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serie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m:t>
                </m:r>
                <m:r>
                  <m:rPr>
                    <m:sty m:val="p"/>
                  </m:rPr>
                  <w:rPr>
                    <w:rFonts w:ascii="Cambria Math" w:eastAsia="Calibri" w:hAnsi="Cambria Math" w:cs="Times New Roman"/>
                    <w:sz w:val="20"/>
                    <w:szCs w:val="24"/>
                  </w:rPr>
                  <m:t>ñ</m:t>
                </m:r>
                <m:r>
                  <w:rPr>
                    <w:rFonts w:ascii="Cambria Math" w:eastAsia="Calibri" w:hAnsi="Cambria Math" w:cs="Times New Roman"/>
                    <w:sz w:val="20"/>
                    <w:szCs w:val="24"/>
                  </w:rPr>
                  <m:t>os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anteriores</m:t>
                </m:r>
              </m:den>
            </m:f>
          </m:den>
        </m:f>
      </m:oMath>
    </w:p>
    <w:p w:rsidR="003A60E8" w:rsidRPr="003A60E8" w:rsidRDefault="003A60E8" w:rsidP="003A60E8">
      <w:pPr>
        <w:spacing w:before="0" w:after="0" w:line="240" w:lineRule="auto"/>
        <w:ind w:left="360"/>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De acuerdo a la resolución este indicador establece una relación entre el indicador a) del ejercicio en curso y media de dicho indicador en una serie de ejercicios anteriores. Esa serie de años anteriores incluirá los resultados del indicador en los cinco ejercicios previos al de estudio, debiéndose tener en cuenta que cuando no existan datos sobre esos ejercicios anteriores se explicará convenientemente esa circunstancia, no calculándose el indicador cuando no existan datos referentes a ningún periodo precedente e incluyendo series de uno, dos, etc., años en los ejercicios siguientes.</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b/>
          <w:sz w:val="20"/>
          <w:szCs w:val="24"/>
          <w:lang w:val="es-ES"/>
        </w:rPr>
      </w:pPr>
      <w:r w:rsidRPr="003A60E8">
        <w:rPr>
          <w:rFonts w:ascii="Times New Roman" w:hAnsi="Times New Roman"/>
          <w:b/>
          <w:sz w:val="20"/>
          <w:szCs w:val="24"/>
          <w:lang w:val="es-ES"/>
        </w:rPr>
        <w:t>4.2. INDICADORES DE EFICIENCIA</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 xml:space="preserve">Por indicadores de eficiencia se entienden aquéllos que relacionan el coste de producción con la producción obtenida. En ese sentido se entenderá que una entidad es plenamente eficiente cuando consigue ser eficaz minimizando el coste de los recursos empleados para conseguir tal eficacia. </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Para la obtención de estos indicadores y el control y seguimiento del coste de las actividades será necesario que cada entidad determine al comienzo de cada proceso productivo de manera precisa y diferenciada los costes previstos en la realización de las actividades objeto de medición a través de estos indicadores.</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La Resolución define los siguientes indicadores de eficiencia:</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pStyle w:val="Prrafodelista"/>
        <w:numPr>
          <w:ilvl w:val="0"/>
          <w:numId w:val="14"/>
        </w:numPr>
        <w:spacing w:after="0" w:line="240" w:lineRule="auto"/>
        <w:jc w:val="both"/>
        <w:rPr>
          <w:rFonts w:ascii="Times New Roman" w:eastAsia="Calibri" w:hAnsi="Times New Roman" w:cs="Times New Roman"/>
          <w:sz w:val="20"/>
          <w:szCs w:val="24"/>
        </w:rPr>
      </w:pPr>
      <m:oMath>
        <m:f>
          <m:fPr>
            <m:ctrlPr>
              <w:rPr>
                <w:rFonts w:ascii="Cambria Math" w:eastAsia="Calibri" w:hAnsi="Cambria Math" w:cs="Times New Roman"/>
                <w:sz w:val="20"/>
                <w:szCs w:val="24"/>
              </w:rPr>
            </m:ctrlPr>
          </m:fPr>
          <m:num>
            <m:r>
              <w:rPr>
                <w:rFonts w:ascii="Cambria Math" w:eastAsia="Calibri" w:hAnsi="Cambria Math" w:cs="Times New Roman"/>
                <w:sz w:val="20"/>
                <w:szCs w:val="24"/>
              </w:rPr>
              <m:t>Coste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la</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actividad</m:t>
            </m:r>
          </m:num>
          <m:den>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usuarios</m:t>
            </m:r>
          </m:den>
        </m:f>
      </m:oMath>
    </w:p>
    <w:p w:rsid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A través de este grupo de indicadores se determinan los costes unitarios de los diferentes costes sanitarios y asistenciales del IASS (hospitalización, acogida, violencia de género, etc.).</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pStyle w:val="Prrafodelista"/>
        <w:numPr>
          <w:ilvl w:val="0"/>
          <w:numId w:val="14"/>
        </w:numPr>
        <w:spacing w:after="0" w:line="240" w:lineRule="auto"/>
        <w:jc w:val="both"/>
        <w:rPr>
          <w:rFonts w:ascii="Times New Roman" w:eastAsia="Calibri" w:hAnsi="Times New Roman" w:cs="Times New Roman"/>
          <w:sz w:val="20"/>
          <w:szCs w:val="24"/>
        </w:rPr>
      </w:pPr>
      <m:oMath>
        <m:f>
          <m:fPr>
            <m:ctrlPr>
              <w:rPr>
                <w:rFonts w:ascii="Cambria Math" w:eastAsia="Calibri" w:hAnsi="Cambria Math" w:cs="Times New Roman"/>
                <w:sz w:val="20"/>
                <w:szCs w:val="24"/>
              </w:rPr>
            </m:ctrlPr>
          </m:fPr>
          <m:num>
            <m:r>
              <w:rPr>
                <w:rFonts w:ascii="Cambria Math" w:eastAsia="Calibri" w:hAnsi="Cambria Math" w:cs="Times New Roman"/>
                <w:sz w:val="20"/>
                <w:szCs w:val="24"/>
              </w:rPr>
              <m:t>Coste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real</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la</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actividad</m:t>
            </m:r>
          </m:num>
          <m:den>
            <m:r>
              <w:rPr>
                <w:rFonts w:ascii="Cambria Math" w:eastAsia="Calibri" w:hAnsi="Cambria Math" w:cs="Times New Roman"/>
                <w:sz w:val="20"/>
                <w:szCs w:val="24"/>
              </w:rPr>
              <m:t>Coste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previsto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la</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actividad</m:t>
            </m:r>
          </m:den>
        </m:f>
      </m:oMath>
    </w:p>
    <w:p w:rsid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lastRenderedPageBreak/>
        <w:t>A través de este grupo de indicadores resulta posible cuantificar las desviaciones relativas del coste real respecto a los objetivos de coste establecidos.</w:t>
      </w: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 xml:space="preserve">La principal problemática para su determinación viene marcada por la inexistencia en períodos anteriores a la implantación del Modelo en el IASS, de cálculos de coste que pudieran permitir la cuantificación objetiva y con criterios homogéneos, de costes objetivo de las diferentes actividades. </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En este sentido, la propia Resolución prevé que, en caso de que una entidad no disponga de un sistema de contabilidad analítica que permita la determinación de costes «a priori», se considerará como coste previsto de la actividad el coste medio de la misma en los cinco años anteriores.</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pStyle w:val="Prrafodelista"/>
        <w:numPr>
          <w:ilvl w:val="0"/>
          <w:numId w:val="14"/>
        </w:numPr>
        <w:spacing w:after="0" w:line="240" w:lineRule="auto"/>
        <w:jc w:val="both"/>
        <w:rPr>
          <w:rFonts w:ascii="Times New Roman" w:eastAsia="Calibri" w:hAnsi="Times New Roman" w:cs="Times New Roman"/>
          <w:sz w:val="20"/>
          <w:szCs w:val="24"/>
        </w:rPr>
      </w:pPr>
      <m:oMath>
        <m:f>
          <m:fPr>
            <m:ctrlPr>
              <w:rPr>
                <w:rFonts w:ascii="Cambria Math" w:eastAsia="Calibri" w:hAnsi="Cambria Math" w:cs="Times New Roman"/>
                <w:sz w:val="20"/>
                <w:szCs w:val="24"/>
              </w:rPr>
            </m:ctrlPr>
          </m:fPr>
          <m:num>
            <m:r>
              <w:rPr>
                <w:rFonts w:ascii="Cambria Math" w:eastAsia="Calibri" w:hAnsi="Cambria Math" w:cs="Times New Roman"/>
                <w:sz w:val="20"/>
                <w:szCs w:val="24"/>
              </w:rPr>
              <m:t>Coste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la</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actividad</m:t>
            </m:r>
          </m:num>
          <m:den>
            <m:r>
              <w:rPr>
                <w:rFonts w:ascii="Cambria Math" w:eastAsia="Calibri" w:hAnsi="Cambria Math" w:cs="Times New Roman"/>
                <w:sz w:val="20"/>
                <w:szCs w:val="24"/>
              </w:rPr>
              <m:t>N</m:t>
            </m:r>
            <m:r>
              <m:rPr>
                <m:sty m:val="p"/>
              </m:rPr>
              <w:rPr>
                <w:rFonts w:ascii="Cambria Math" w:eastAsia="Calibri" w:hAnsi="Cambria Math" w:cs="Times New Roman"/>
                <w:sz w:val="20"/>
                <w:szCs w:val="24"/>
              </w:rPr>
              <m:t>ú</m:t>
            </m:r>
            <m:r>
              <w:rPr>
                <w:rFonts w:ascii="Cambria Math" w:eastAsia="Calibri" w:hAnsi="Cambria Math" w:cs="Times New Roman"/>
                <w:sz w:val="20"/>
                <w:szCs w:val="24"/>
              </w:rPr>
              <m:t>mero</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de</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unidades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equivalentes</m:t>
            </m:r>
            <m:r>
              <m:rPr>
                <m:sty m:val="p"/>
              </m:rPr>
              <w:rPr>
                <w:rFonts w:ascii="Cambria Math" w:eastAsia="Calibri" w:hAnsi="Cambria Math" w:cs="Times New Roman"/>
                <w:sz w:val="20"/>
                <w:szCs w:val="24"/>
              </w:rPr>
              <m:t xml:space="preserve"> </m:t>
            </m:r>
            <m:r>
              <w:rPr>
                <w:rFonts w:ascii="Cambria Math" w:eastAsia="Calibri" w:hAnsi="Cambria Math" w:cs="Times New Roman"/>
                <w:sz w:val="20"/>
                <w:szCs w:val="24"/>
              </w:rPr>
              <m:t>producidas</m:t>
            </m:r>
          </m:den>
        </m:f>
      </m:oMath>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b/>
          <w:sz w:val="20"/>
          <w:szCs w:val="24"/>
          <w:lang w:val="es-ES"/>
        </w:rPr>
      </w:pPr>
      <w:r w:rsidRPr="003A60E8">
        <w:rPr>
          <w:rFonts w:ascii="Times New Roman" w:hAnsi="Times New Roman"/>
          <w:b/>
          <w:sz w:val="20"/>
          <w:szCs w:val="24"/>
          <w:lang w:val="es-ES"/>
        </w:rPr>
        <w:t>4.3. INDICADOR DE ECONOMÍA</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Por indicador de economía se entiende aquél que pretende expresar la adquisición racional de los factores de producción en una organización, definiéndose en esta resolución como indicador básico el que relaciona el precio o coste de adquisición de un factor con el precio medio del mismo en el mercado</w:t>
      </w:r>
      <w:r>
        <w:rPr>
          <w:rFonts w:ascii="Times New Roman" w:hAnsi="Times New Roman"/>
          <w:sz w:val="20"/>
          <w:szCs w:val="24"/>
          <w:lang w:val="es-ES"/>
        </w:rPr>
        <w:t>.</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spacing w:before="0" w:after="0" w:line="240" w:lineRule="auto"/>
        <w:rPr>
          <w:rFonts w:ascii="Times New Roman" w:hAnsi="Times New Roman"/>
          <w:sz w:val="20"/>
          <w:szCs w:val="24"/>
          <w:lang w:val="es-ES"/>
        </w:rPr>
      </w:pPr>
      <m:oMathPara>
        <m:oMath>
          <m:f>
            <m:fPr>
              <m:ctrlPr>
                <w:rPr>
                  <w:rFonts w:ascii="Cambria Math" w:hAnsi="Cambria Math"/>
                  <w:sz w:val="20"/>
                  <w:szCs w:val="24"/>
                  <w:lang w:val="es-ES"/>
                </w:rPr>
              </m:ctrlPr>
            </m:fPr>
            <m:num>
              <m:r>
                <w:rPr>
                  <w:rFonts w:ascii="Cambria Math" w:hAnsi="Cambria Math"/>
                  <w:sz w:val="20"/>
                  <w:szCs w:val="24"/>
                  <w:lang w:val="es-ES"/>
                </w:rPr>
                <m:t>Precio</m:t>
              </m:r>
              <m:r>
                <m:rPr>
                  <m:sty m:val="p"/>
                </m:rPr>
                <w:rPr>
                  <w:rFonts w:ascii="Cambria Math" w:hAnsi="Cambria Math"/>
                  <w:sz w:val="20"/>
                  <w:szCs w:val="24"/>
                  <w:lang w:val="es-ES"/>
                </w:rPr>
                <m:t xml:space="preserve"> </m:t>
              </m:r>
              <m:r>
                <w:rPr>
                  <w:rFonts w:ascii="Cambria Math" w:hAnsi="Cambria Math"/>
                  <w:sz w:val="20"/>
                  <w:szCs w:val="24"/>
                  <w:lang w:val="es-ES"/>
                </w:rPr>
                <m:t>o</m:t>
              </m:r>
              <m:r>
                <m:rPr>
                  <m:sty m:val="p"/>
                </m:rPr>
                <w:rPr>
                  <w:rFonts w:ascii="Cambria Math" w:hAnsi="Cambria Math"/>
                  <w:sz w:val="20"/>
                  <w:szCs w:val="24"/>
                  <w:lang w:val="es-ES"/>
                </w:rPr>
                <m:t xml:space="preserve"> </m:t>
              </m:r>
              <m:r>
                <w:rPr>
                  <w:rFonts w:ascii="Cambria Math" w:hAnsi="Cambria Math"/>
                  <w:sz w:val="20"/>
                  <w:szCs w:val="24"/>
                  <w:lang w:val="es-ES"/>
                </w:rPr>
                <m:t>coste</m:t>
              </m:r>
              <m:r>
                <m:rPr>
                  <m:sty m:val="p"/>
                </m:rPr>
                <w:rPr>
                  <w:rFonts w:ascii="Cambria Math" w:hAnsi="Cambria Math"/>
                  <w:sz w:val="20"/>
                  <w:szCs w:val="24"/>
                  <w:lang w:val="es-ES"/>
                </w:rPr>
                <m:t xml:space="preserve"> </m:t>
              </m:r>
              <m:r>
                <w:rPr>
                  <w:rFonts w:ascii="Cambria Math" w:hAnsi="Cambria Math"/>
                  <w:sz w:val="20"/>
                  <w:szCs w:val="24"/>
                  <w:lang w:val="es-ES"/>
                </w:rPr>
                <m:t>de</m:t>
              </m:r>
              <m:r>
                <m:rPr>
                  <m:sty m:val="p"/>
                </m:rPr>
                <w:rPr>
                  <w:rFonts w:ascii="Cambria Math" w:hAnsi="Cambria Math"/>
                  <w:sz w:val="20"/>
                  <w:szCs w:val="24"/>
                  <w:lang w:val="es-ES"/>
                </w:rPr>
                <m:t xml:space="preserve"> </m:t>
              </m:r>
              <m:r>
                <w:rPr>
                  <w:rFonts w:ascii="Cambria Math" w:hAnsi="Cambria Math"/>
                  <w:sz w:val="20"/>
                  <w:szCs w:val="24"/>
                  <w:lang w:val="es-ES"/>
                </w:rPr>
                <m:t>adquisici</m:t>
              </m:r>
              <m:r>
                <m:rPr>
                  <m:sty m:val="p"/>
                </m:rPr>
                <w:rPr>
                  <w:rFonts w:ascii="Cambria Math" w:hAnsi="Cambria Math"/>
                  <w:sz w:val="20"/>
                  <w:szCs w:val="24"/>
                  <w:lang w:val="es-ES"/>
                </w:rPr>
                <m:t>ó</m:t>
              </m:r>
              <m:r>
                <w:rPr>
                  <w:rFonts w:ascii="Cambria Math" w:hAnsi="Cambria Math"/>
                  <w:sz w:val="20"/>
                  <w:szCs w:val="24"/>
                  <w:lang w:val="es-ES"/>
                </w:rPr>
                <m:t>n</m:t>
              </m:r>
              <m:r>
                <m:rPr>
                  <m:sty m:val="p"/>
                </m:rPr>
                <w:rPr>
                  <w:rFonts w:ascii="Cambria Math" w:hAnsi="Cambria Math"/>
                  <w:sz w:val="20"/>
                  <w:szCs w:val="24"/>
                  <w:lang w:val="es-ES"/>
                </w:rPr>
                <m:t xml:space="preserve"> </m:t>
              </m:r>
              <m:r>
                <w:rPr>
                  <w:rFonts w:ascii="Cambria Math" w:hAnsi="Cambria Math"/>
                  <w:sz w:val="20"/>
                  <w:szCs w:val="24"/>
                  <w:lang w:val="es-ES"/>
                </w:rPr>
                <m:t>factor</m:t>
              </m:r>
              <m:r>
                <m:rPr>
                  <m:sty m:val="p"/>
                </m:rPr>
                <w:rPr>
                  <w:rFonts w:ascii="Cambria Math" w:hAnsi="Cambria Math"/>
                  <w:sz w:val="20"/>
                  <w:szCs w:val="24"/>
                  <w:lang w:val="es-ES"/>
                </w:rPr>
                <m:t xml:space="preserve"> </m:t>
              </m:r>
              <m:r>
                <w:rPr>
                  <w:rFonts w:ascii="Cambria Math" w:hAnsi="Cambria Math"/>
                  <w:sz w:val="20"/>
                  <w:szCs w:val="24"/>
                  <w:lang w:val="es-ES"/>
                </w:rPr>
                <m:t>X</m:t>
              </m:r>
            </m:num>
            <m:den>
              <m:r>
                <w:rPr>
                  <w:rFonts w:ascii="Cambria Math" w:hAnsi="Cambria Math"/>
                  <w:sz w:val="20"/>
                  <w:szCs w:val="24"/>
                  <w:lang w:val="es-ES"/>
                </w:rPr>
                <m:t>Precio</m:t>
              </m:r>
              <m:r>
                <m:rPr>
                  <m:sty m:val="p"/>
                </m:rPr>
                <w:rPr>
                  <w:rFonts w:ascii="Cambria Math" w:hAnsi="Cambria Math"/>
                  <w:sz w:val="20"/>
                  <w:szCs w:val="24"/>
                  <w:lang w:val="es-ES"/>
                </w:rPr>
                <m:t xml:space="preserve"> </m:t>
              </m:r>
              <m:r>
                <w:rPr>
                  <w:rFonts w:ascii="Cambria Math" w:hAnsi="Cambria Math"/>
                  <w:sz w:val="20"/>
                  <w:szCs w:val="24"/>
                  <w:lang w:val="es-ES"/>
                </w:rPr>
                <m:t>medio</m:t>
              </m:r>
              <m:r>
                <m:rPr>
                  <m:sty m:val="p"/>
                </m:rPr>
                <w:rPr>
                  <w:rFonts w:ascii="Cambria Math" w:hAnsi="Cambria Math"/>
                  <w:sz w:val="20"/>
                  <w:szCs w:val="24"/>
                  <w:lang w:val="es-ES"/>
                </w:rPr>
                <m:t xml:space="preserve"> </m:t>
              </m:r>
              <m:r>
                <w:rPr>
                  <w:rFonts w:ascii="Cambria Math" w:hAnsi="Cambria Math"/>
                  <w:sz w:val="20"/>
                  <w:szCs w:val="24"/>
                  <w:lang w:val="es-ES"/>
                </w:rPr>
                <m:t>del</m:t>
              </m:r>
              <m:r>
                <m:rPr>
                  <m:sty m:val="p"/>
                </m:rPr>
                <w:rPr>
                  <w:rFonts w:ascii="Cambria Math" w:hAnsi="Cambria Math"/>
                  <w:sz w:val="20"/>
                  <w:szCs w:val="24"/>
                  <w:lang w:val="es-ES"/>
                </w:rPr>
                <m:t xml:space="preserve"> </m:t>
              </m:r>
              <m:r>
                <w:rPr>
                  <w:rFonts w:ascii="Cambria Math" w:hAnsi="Cambria Math"/>
                  <w:sz w:val="20"/>
                  <w:szCs w:val="24"/>
                  <w:lang w:val="es-ES"/>
                </w:rPr>
                <m:t>factor</m:t>
              </m:r>
              <m:r>
                <m:rPr>
                  <m:sty m:val="p"/>
                </m:rPr>
                <w:rPr>
                  <w:rFonts w:ascii="Cambria Math" w:hAnsi="Cambria Math"/>
                  <w:sz w:val="20"/>
                  <w:szCs w:val="24"/>
                  <w:lang w:val="es-ES"/>
                </w:rPr>
                <m:t xml:space="preserve"> </m:t>
              </m:r>
              <m:r>
                <w:rPr>
                  <w:rFonts w:ascii="Cambria Math" w:hAnsi="Cambria Math"/>
                  <w:sz w:val="20"/>
                  <w:szCs w:val="24"/>
                  <w:lang w:val="es-ES"/>
                </w:rPr>
                <m:t>X</m:t>
              </m:r>
              <m:r>
                <m:rPr>
                  <m:sty m:val="p"/>
                </m:rPr>
                <w:rPr>
                  <w:rFonts w:ascii="Cambria Math" w:hAnsi="Cambria Math"/>
                  <w:sz w:val="20"/>
                  <w:szCs w:val="24"/>
                  <w:lang w:val="es-ES"/>
                </w:rPr>
                <m:t xml:space="preserve"> </m:t>
              </m:r>
              <m:r>
                <w:rPr>
                  <w:rFonts w:ascii="Cambria Math" w:hAnsi="Cambria Math"/>
                  <w:sz w:val="20"/>
                  <w:szCs w:val="24"/>
                  <w:lang w:val="es-ES"/>
                </w:rPr>
                <m:t>en</m:t>
              </m:r>
              <m:r>
                <m:rPr>
                  <m:sty m:val="p"/>
                </m:rPr>
                <w:rPr>
                  <w:rFonts w:ascii="Cambria Math" w:hAnsi="Cambria Math"/>
                  <w:sz w:val="20"/>
                  <w:szCs w:val="24"/>
                  <w:lang w:val="es-ES"/>
                </w:rPr>
                <m:t xml:space="preserve"> </m:t>
              </m:r>
              <m:r>
                <w:rPr>
                  <w:rFonts w:ascii="Cambria Math" w:hAnsi="Cambria Math"/>
                  <w:sz w:val="20"/>
                  <w:szCs w:val="24"/>
                  <w:lang w:val="es-ES"/>
                </w:rPr>
                <m:t>el</m:t>
              </m:r>
              <m:r>
                <m:rPr>
                  <m:sty m:val="p"/>
                </m:rPr>
                <w:rPr>
                  <w:rFonts w:ascii="Cambria Math" w:hAnsi="Cambria Math"/>
                  <w:sz w:val="20"/>
                  <w:szCs w:val="24"/>
                  <w:lang w:val="es-ES"/>
                </w:rPr>
                <m:t xml:space="preserve"> </m:t>
              </m:r>
              <m:r>
                <w:rPr>
                  <w:rFonts w:ascii="Cambria Math" w:hAnsi="Cambria Math"/>
                  <w:sz w:val="20"/>
                  <w:szCs w:val="24"/>
                  <w:lang w:val="es-ES"/>
                </w:rPr>
                <m:t>mercado</m:t>
              </m:r>
            </m:den>
          </m:f>
        </m:oMath>
      </m:oMathPara>
    </w:p>
    <w:p w:rsid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En relación a este indicador, la Resolución limita su determinación a los siguientes tipos de costes: Adquisición de Bienes y Servicios. Servicios Exteriores. Otros costes, y siempre que los importes individuales en ellos comprendidos superen el 3% del total de costes de la organización.</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En cuanto a la determinación del precio medio en el mercado, la Resolución indicad que debe considerarse el valor que se derive de dicho factor de acuerdo con los datos oficiales, de las Cámaras de Comercio y Agrupaciones Empresariales, etc., o bien en función de los datos que figuren en las listas de precios de, al menos, diez proveedores del factor, (o el máximo número posible si no existiera ese número de proveedores) teniendo en cuenta en ese precio el coste final que representará para la organización su adquisición (incluyendo transportes, descuentos rappels, etc.).</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b/>
          <w:sz w:val="20"/>
          <w:szCs w:val="24"/>
          <w:lang w:val="es-ES"/>
        </w:rPr>
      </w:pPr>
      <w:r w:rsidRPr="003A60E8">
        <w:rPr>
          <w:rFonts w:ascii="Times New Roman" w:hAnsi="Times New Roman"/>
          <w:b/>
          <w:sz w:val="20"/>
          <w:szCs w:val="24"/>
          <w:lang w:val="es-ES"/>
        </w:rPr>
        <w:t>4.4. INDICADOR DE MEDIOS DE PRODUCCIÓN</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La Resolución indica que “por indicador de Medios de Producción se entiende aquél que hace referencia a mediciones físicas tanto absolutas como relativas, expresivas de los factores empleados en la realización de un proceso productivo que, teniendo en cuenta, en su caso, que la dificultad de homogeneización de un proceso determinado reduce las posibilidades de análisis, implica la consideración del coste de un factor determinado como elemento homogeneizador de ese análisis”.</w:t>
      </w:r>
    </w:p>
    <w:p w:rsidR="003A60E8" w:rsidRPr="003A60E8" w:rsidRDefault="003A60E8" w:rsidP="003A60E8">
      <w:pPr>
        <w:spacing w:before="0" w:after="0" w:line="240" w:lineRule="auto"/>
        <w:rPr>
          <w:rFonts w:ascii="Times New Roman" w:hAnsi="Times New Roman"/>
          <w:sz w:val="20"/>
          <w:szCs w:val="24"/>
          <w:lang w:val="es-ES"/>
        </w:rPr>
      </w:pPr>
    </w:p>
    <w:p w:rsid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En definitiva, la normativa legal opta por cuantificar este parámetro a través de los costes de personal, como componente con más peso y más representativo de la estructura de costes en la prestación de servicios públicos, formulando el indicador de medios de producción en la siguiente forma:</w:t>
      </w:r>
    </w:p>
    <w:p w:rsidR="003A60E8" w:rsidRPr="003A60E8" w:rsidRDefault="003A60E8" w:rsidP="003A60E8">
      <w:pPr>
        <w:spacing w:before="0" w:after="0" w:line="240" w:lineRule="auto"/>
        <w:rPr>
          <w:rFonts w:ascii="Times New Roman" w:hAnsi="Times New Roman"/>
          <w:sz w:val="20"/>
          <w:szCs w:val="24"/>
          <w:lang w:val="es-ES"/>
        </w:rPr>
      </w:pPr>
    </w:p>
    <w:p w:rsidR="003A60E8" w:rsidRPr="003A60E8" w:rsidRDefault="00C06104" w:rsidP="003A60E8">
      <w:pPr>
        <w:spacing w:before="0" w:after="0" w:line="240" w:lineRule="auto"/>
        <w:rPr>
          <w:rFonts w:ascii="Times New Roman" w:hAnsi="Times New Roman"/>
          <w:sz w:val="20"/>
          <w:szCs w:val="24"/>
          <w:lang w:val="es-ES"/>
        </w:rPr>
      </w:pPr>
      <m:oMathPara>
        <m:oMath>
          <m:f>
            <m:fPr>
              <m:ctrlPr>
                <w:rPr>
                  <w:rFonts w:ascii="Cambria Math" w:hAnsi="Cambria Math"/>
                  <w:sz w:val="20"/>
                  <w:szCs w:val="24"/>
                  <w:lang w:val="es-ES"/>
                </w:rPr>
              </m:ctrlPr>
            </m:fPr>
            <m:num>
              <m:r>
                <w:rPr>
                  <w:rFonts w:ascii="Cambria Math" w:hAnsi="Cambria Math"/>
                  <w:sz w:val="20"/>
                  <w:szCs w:val="24"/>
                  <w:lang w:val="es-ES"/>
                </w:rPr>
                <m:t>Coste</m:t>
              </m:r>
              <m:r>
                <m:rPr>
                  <m:sty m:val="p"/>
                </m:rPr>
                <w:rPr>
                  <w:rFonts w:ascii="Cambria Math" w:hAnsi="Cambria Math"/>
                  <w:sz w:val="20"/>
                  <w:szCs w:val="24"/>
                  <w:lang w:val="es-ES"/>
                </w:rPr>
                <m:t xml:space="preserve"> </m:t>
              </m:r>
              <m:r>
                <w:rPr>
                  <w:rFonts w:ascii="Cambria Math" w:hAnsi="Cambria Math"/>
                  <w:sz w:val="20"/>
                  <w:szCs w:val="24"/>
                  <w:lang w:val="es-ES"/>
                </w:rPr>
                <m:t>de</m:t>
              </m:r>
              <m:r>
                <m:rPr>
                  <m:sty m:val="p"/>
                </m:rPr>
                <w:rPr>
                  <w:rFonts w:ascii="Cambria Math" w:hAnsi="Cambria Math"/>
                  <w:sz w:val="20"/>
                  <w:szCs w:val="24"/>
                  <w:lang w:val="es-ES"/>
                </w:rPr>
                <m:t xml:space="preserve"> </m:t>
              </m:r>
              <m:r>
                <w:rPr>
                  <w:rFonts w:ascii="Cambria Math" w:hAnsi="Cambria Math"/>
                  <w:sz w:val="20"/>
                  <w:szCs w:val="24"/>
                  <w:lang w:val="es-ES"/>
                </w:rPr>
                <m:t>personal</m:t>
              </m:r>
            </m:num>
            <m:den>
              <m:r>
                <w:rPr>
                  <w:rFonts w:ascii="Cambria Math" w:hAnsi="Cambria Math"/>
                  <w:sz w:val="20"/>
                  <w:szCs w:val="24"/>
                  <w:lang w:val="es-ES"/>
                </w:rPr>
                <m:t>N</m:t>
              </m:r>
              <m:r>
                <m:rPr>
                  <m:sty m:val="p"/>
                </m:rPr>
                <w:rPr>
                  <w:rFonts w:ascii="Cambria Math" w:hAnsi="Cambria Math"/>
                  <w:sz w:val="20"/>
                  <w:szCs w:val="24"/>
                  <w:lang w:val="es-ES"/>
                </w:rPr>
                <m:t>ú</m:t>
              </m:r>
              <m:r>
                <w:rPr>
                  <w:rFonts w:ascii="Cambria Math" w:hAnsi="Cambria Math"/>
                  <w:sz w:val="20"/>
                  <w:szCs w:val="24"/>
                  <w:lang w:val="es-ES"/>
                </w:rPr>
                <m:t>mero</m:t>
              </m:r>
              <m:r>
                <m:rPr>
                  <m:sty m:val="p"/>
                </m:rPr>
                <w:rPr>
                  <w:rFonts w:ascii="Cambria Math" w:hAnsi="Cambria Math"/>
                  <w:sz w:val="20"/>
                  <w:szCs w:val="24"/>
                  <w:lang w:val="es-ES"/>
                </w:rPr>
                <m:t xml:space="preserve"> </m:t>
              </m:r>
              <m:r>
                <w:rPr>
                  <w:rFonts w:ascii="Cambria Math" w:hAnsi="Cambria Math"/>
                  <w:sz w:val="20"/>
                  <w:szCs w:val="24"/>
                  <w:lang w:val="es-ES"/>
                </w:rPr>
                <m:t>de</m:t>
              </m:r>
              <m:r>
                <m:rPr>
                  <m:sty m:val="p"/>
                </m:rPr>
                <w:rPr>
                  <w:rFonts w:ascii="Cambria Math" w:hAnsi="Cambria Math"/>
                  <w:sz w:val="20"/>
                  <w:szCs w:val="24"/>
                  <w:lang w:val="es-ES"/>
                </w:rPr>
                <m:t xml:space="preserve"> </m:t>
              </m:r>
              <m:r>
                <w:rPr>
                  <w:rFonts w:ascii="Cambria Math" w:hAnsi="Cambria Math"/>
                  <w:sz w:val="20"/>
                  <w:szCs w:val="24"/>
                  <w:lang w:val="es-ES"/>
                </w:rPr>
                <m:t>personas</m:t>
              </m:r>
              <m:r>
                <m:rPr>
                  <m:sty m:val="p"/>
                </m:rPr>
                <w:rPr>
                  <w:rFonts w:ascii="Cambria Math" w:hAnsi="Cambria Math"/>
                  <w:sz w:val="20"/>
                  <w:szCs w:val="24"/>
                  <w:lang w:val="es-ES"/>
                </w:rPr>
                <m:t xml:space="preserve"> </m:t>
              </m:r>
              <m:r>
                <w:rPr>
                  <w:rFonts w:ascii="Cambria Math" w:hAnsi="Cambria Math"/>
                  <w:sz w:val="20"/>
                  <w:szCs w:val="24"/>
                  <w:lang w:val="es-ES"/>
                </w:rPr>
                <m:t>equivalente</m:t>
              </m:r>
            </m:den>
          </m:f>
        </m:oMath>
      </m:oMathPara>
    </w:p>
    <w:p w:rsidR="003A60E8" w:rsidRDefault="003A60E8" w:rsidP="003A60E8">
      <w:pPr>
        <w:spacing w:before="0" w:after="0" w:line="240" w:lineRule="auto"/>
        <w:rPr>
          <w:rFonts w:ascii="Times New Roman" w:hAnsi="Times New Roman"/>
          <w:sz w:val="20"/>
          <w:szCs w:val="24"/>
          <w:lang w:val="es-ES"/>
        </w:rPr>
      </w:pPr>
    </w:p>
    <w:p w:rsidR="003A60E8" w:rsidRPr="003A60E8" w:rsidRDefault="003A60E8" w:rsidP="003A60E8">
      <w:pPr>
        <w:spacing w:before="0" w:after="0" w:line="240" w:lineRule="auto"/>
        <w:rPr>
          <w:rFonts w:ascii="Times New Roman" w:hAnsi="Times New Roman"/>
          <w:sz w:val="20"/>
          <w:szCs w:val="24"/>
          <w:lang w:val="es-ES"/>
        </w:rPr>
      </w:pPr>
      <w:r w:rsidRPr="003A60E8">
        <w:rPr>
          <w:rFonts w:ascii="Times New Roman" w:hAnsi="Times New Roman"/>
          <w:sz w:val="20"/>
          <w:szCs w:val="24"/>
          <w:lang w:val="es-ES"/>
        </w:rPr>
        <w:t>En síntesis, de acuerdo a los desarrollos anteriormente expuestos entendemos que puede obtenerse una batería de indicadores de gran potencia para facilitar el análisis económico-técnico de las condiciones de prestación de servicios por parte del IASS, lo que, sin duda, constituye uno de los objetivos fundamentales perseguidos por el proyecto de implantación de un modelo de Contabilidad Analítica en esta Institución.</w:t>
      </w:r>
    </w:p>
    <w:p w:rsidR="003A60E8" w:rsidRPr="003A60E8" w:rsidRDefault="003A60E8" w:rsidP="003A60E8">
      <w:pPr>
        <w:spacing w:before="0" w:after="0" w:line="240" w:lineRule="auto"/>
        <w:rPr>
          <w:rFonts w:ascii="Times New Roman" w:hAnsi="Times New Roman"/>
          <w:sz w:val="20"/>
          <w:szCs w:val="24"/>
          <w:lang w:val="es-ES"/>
        </w:rPr>
      </w:pPr>
    </w:p>
    <w:p w:rsidR="006A086C" w:rsidRPr="00D027C2" w:rsidRDefault="006A086C" w:rsidP="006A086C">
      <w:pPr>
        <w:pStyle w:val="Ttulo1"/>
        <w:spacing w:before="0" w:line="240" w:lineRule="auto"/>
        <w:rPr>
          <w:rFonts w:ascii="Times New Roman" w:hAnsi="Times New Roman" w:cs="Times New Roman"/>
          <w:color w:val="auto"/>
          <w:sz w:val="20"/>
          <w:szCs w:val="20"/>
          <w:lang w:val="es-ES"/>
        </w:rPr>
      </w:pPr>
      <w:bookmarkStart w:id="7" w:name="_Toc440191560"/>
      <w:r w:rsidRPr="00D027C2">
        <w:rPr>
          <w:rFonts w:ascii="Times New Roman" w:hAnsi="Times New Roman" w:cs="Times New Roman"/>
          <w:color w:val="auto"/>
          <w:sz w:val="20"/>
          <w:szCs w:val="20"/>
          <w:lang w:val="es-ES"/>
        </w:rPr>
        <w:t>REFER</w:t>
      </w:r>
      <w:r w:rsidR="005E72FE" w:rsidRPr="00D027C2">
        <w:rPr>
          <w:rFonts w:ascii="Times New Roman" w:hAnsi="Times New Roman" w:cs="Times New Roman"/>
          <w:color w:val="auto"/>
          <w:sz w:val="20"/>
          <w:szCs w:val="20"/>
          <w:lang w:val="es-ES"/>
        </w:rPr>
        <w:t>E</w:t>
      </w:r>
      <w:r w:rsidRPr="00D027C2">
        <w:rPr>
          <w:rFonts w:ascii="Times New Roman" w:hAnsi="Times New Roman" w:cs="Times New Roman"/>
          <w:color w:val="auto"/>
          <w:sz w:val="20"/>
          <w:szCs w:val="20"/>
          <w:lang w:val="es-ES"/>
        </w:rPr>
        <w:t>NCIAS</w:t>
      </w:r>
      <w:bookmarkEnd w:id="7"/>
    </w:p>
    <w:p w:rsidR="006A086C" w:rsidRPr="00EA6B3E" w:rsidRDefault="006A086C" w:rsidP="00AE3739">
      <w:pPr>
        <w:spacing w:before="0" w:after="0" w:line="240" w:lineRule="auto"/>
        <w:ind w:left="567" w:hanging="567"/>
        <w:rPr>
          <w:rFonts w:ascii="Times New Roman" w:hAnsi="Times New Roman"/>
          <w:sz w:val="18"/>
          <w:szCs w:val="18"/>
          <w:lang w:val="es-ES"/>
        </w:rPr>
      </w:pP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Brosa, M.; Gisbert, R.</w:t>
      </w:r>
      <w:r>
        <w:rPr>
          <w:rFonts w:ascii="Times New Roman" w:hAnsi="Times New Roman"/>
          <w:sz w:val="18"/>
          <w:szCs w:val="18"/>
          <w:lang w:val="es-ES"/>
        </w:rPr>
        <w:t>, Rodríguez, J.M., &amp;</w:t>
      </w:r>
      <w:r w:rsidRPr="00AE3739">
        <w:rPr>
          <w:rFonts w:ascii="Times New Roman" w:hAnsi="Times New Roman"/>
          <w:sz w:val="18"/>
          <w:szCs w:val="18"/>
          <w:lang w:val="es-ES"/>
        </w:rPr>
        <w:t xml:space="preserve"> Soto, J. (2005): Principios, métodos y aplicaciones del análisis del impacto presupuestario en el sector sanitario. </w:t>
      </w:r>
      <w:hyperlink r:id="rId15" w:tooltip="PharmacoEconomics Spanish Research Articles" w:history="1">
        <w:r w:rsidRPr="00EA6B3E">
          <w:rPr>
            <w:rFonts w:ascii="Times New Roman" w:hAnsi="Times New Roman"/>
            <w:sz w:val="18"/>
            <w:szCs w:val="18"/>
            <w:lang w:val="es-ES"/>
          </w:rPr>
          <w:t>PharmacoEconomics Spanish Research Articles</w:t>
        </w:r>
      </w:hyperlink>
      <w:r w:rsidRPr="00EA6B3E">
        <w:rPr>
          <w:rFonts w:ascii="Times New Roman" w:hAnsi="Times New Roman"/>
          <w:sz w:val="18"/>
          <w:szCs w:val="18"/>
          <w:lang w:val="es-ES"/>
        </w:rPr>
        <w:t>. April 2005, Volume 2, </w:t>
      </w:r>
      <w:hyperlink r:id="rId16" w:history="1">
        <w:r w:rsidRPr="00EA6B3E">
          <w:rPr>
            <w:rFonts w:ascii="Times New Roman" w:hAnsi="Times New Roman"/>
            <w:sz w:val="18"/>
            <w:szCs w:val="18"/>
            <w:lang w:val="es-ES"/>
          </w:rPr>
          <w:t>Issue 2</w:t>
        </w:r>
      </w:hyperlink>
      <w:r w:rsidRPr="00EA6B3E">
        <w:rPr>
          <w:rFonts w:ascii="Times New Roman" w:hAnsi="Times New Roman"/>
          <w:sz w:val="18"/>
          <w:szCs w:val="18"/>
          <w:lang w:val="es-ES"/>
        </w:rPr>
        <w:t>, pp 65–78.</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 xml:space="preserve">Buendía Carrillo, D. (1996): Un modelo de costes para los servicios municipales de gestión directa. </w:t>
      </w:r>
      <w:r w:rsidRPr="00EA6B3E">
        <w:rPr>
          <w:rFonts w:ascii="Times New Roman" w:hAnsi="Times New Roman"/>
          <w:sz w:val="18"/>
          <w:szCs w:val="18"/>
          <w:lang w:val="es-ES"/>
        </w:rPr>
        <w:t>Tesis doctoral, Granada.</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EA6B3E">
        <w:rPr>
          <w:rFonts w:ascii="Times New Roman" w:hAnsi="Times New Roman"/>
          <w:sz w:val="18"/>
          <w:szCs w:val="18"/>
          <w:lang w:val="es-ES"/>
        </w:rPr>
        <w:t xml:space="preserve">(Accesible online: </w:t>
      </w:r>
      <w:hyperlink r:id="rId17" w:history="1">
        <w:r w:rsidRPr="00EA6B3E">
          <w:rPr>
            <w:rFonts w:ascii="Times New Roman" w:hAnsi="Times New Roman"/>
            <w:sz w:val="18"/>
            <w:szCs w:val="18"/>
            <w:lang w:val="es-ES"/>
          </w:rPr>
          <w:t>http://digibug.ugr.es/handle/10481/7081</w:t>
        </w:r>
      </w:hyperlink>
      <w:r w:rsidRPr="00EA6B3E">
        <w:rPr>
          <w:rFonts w:ascii="Times New Roman" w:hAnsi="Times New Roman"/>
          <w:sz w:val="18"/>
          <w:szCs w:val="18"/>
          <w:lang w:val="es-ES"/>
        </w:rPr>
        <w:t>).</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lastRenderedPageBreak/>
        <w:t xml:space="preserve">Buendía Carrillo, D. (2000): “La determinación del coste de los servicios públicos como base para la fijación de tasas y precios públicos”. </w:t>
      </w:r>
      <w:r w:rsidRPr="00EA6B3E">
        <w:rPr>
          <w:rFonts w:ascii="Times New Roman" w:hAnsi="Times New Roman"/>
          <w:sz w:val="18"/>
          <w:szCs w:val="18"/>
          <w:lang w:val="es-ES"/>
        </w:rPr>
        <w:t>IX Encuentro de Profesores Universitarios de Contabilidad. La Contabilidad ante el Nuevo Milenio, celebrado en Las Palmas de Gran Canaria del 24 al 26 de mayo de 2000. Tomo 1; pp. 445 a 460. (Accesible online:http://goo.gl/hHRPx).</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Buendía Carrillo</w:t>
      </w:r>
      <w:r>
        <w:rPr>
          <w:rFonts w:ascii="Times New Roman" w:hAnsi="Times New Roman"/>
          <w:sz w:val="18"/>
          <w:szCs w:val="18"/>
          <w:lang w:val="es-ES"/>
        </w:rPr>
        <w:t>, D. &amp;</w:t>
      </w:r>
      <w:r w:rsidRPr="00AE3739">
        <w:rPr>
          <w:rFonts w:ascii="Times New Roman" w:hAnsi="Times New Roman"/>
          <w:sz w:val="18"/>
          <w:szCs w:val="18"/>
          <w:lang w:val="es-ES"/>
        </w:rPr>
        <w:t xml:space="preserve"> L</w:t>
      </w:r>
      <w:r>
        <w:rPr>
          <w:rFonts w:ascii="Times New Roman" w:hAnsi="Times New Roman"/>
          <w:sz w:val="18"/>
          <w:szCs w:val="18"/>
          <w:lang w:val="es-ES"/>
        </w:rPr>
        <w:t>lorente Muñoz</w:t>
      </w:r>
      <w:r w:rsidRPr="00AE3739">
        <w:rPr>
          <w:rFonts w:ascii="Times New Roman" w:hAnsi="Times New Roman"/>
          <w:sz w:val="18"/>
          <w:szCs w:val="18"/>
          <w:lang w:val="es-ES"/>
        </w:rPr>
        <w:t xml:space="preserve">, V. (2012): “La normalización de la contabilidad analítica en la administración pública española”. </w:t>
      </w:r>
      <w:r w:rsidRPr="00EA6B3E">
        <w:rPr>
          <w:rFonts w:ascii="Times New Roman" w:hAnsi="Times New Roman"/>
          <w:sz w:val="18"/>
          <w:szCs w:val="18"/>
          <w:lang w:val="es-ES"/>
        </w:rPr>
        <w:t>Partida Doble; nº 243 – mayo de 2012; pp. 74-79.</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Car</w:t>
      </w:r>
      <w:r>
        <w:rPr>
          <w:rFonts w:ascii="Times New Roman" w:hAnsi="Times New Roman"/>
          <w:sz w:val="18"/>
          <w:szCs w:val="18"/>
          <w:lang w:val="es-ES"/>
        </w:rPr>
        <w:t>rasco Díaz, D.,</w:t>
      </w:r>
      <w:r w:rsidRPr="00AE3739">
        <w:rPr>
          <w:rFonts w:ascii="Times New Roman" w:hAnsi="Times New Roman"/>
          <w:sz w:val="18"/>
          <w:szCs w:val="18"/>
          <w:lang w:val="es-ES"/>
        </w:rPr>
        <w:t xml:space="preserve"> Buendía Carrillo, D.</w:t>
      </w:r>
      <w:r>
        <w:rPr>
          <w:rFonts w:ascii="Times New Roman" w:hAnsi="Times New Roman"/>
          <w:sz w:val="18"/>
          <w:szCs w:val="18"/>
          <w:lang w:val="es-ES"/>
        </w:rPr>
        <w:t>,</w:t>
      </w:r>
      <w:r w:rsidRPr="00AE3739">
        <w:rPr>
          <w:rFonts w:ascii="Times New Roman" w:hAnsi="Times New Roman"/>
          <w:sz w:val="18"/>
          <w:szCs w:val="18"/>
          <w:lang w:val="es-ES"/>
        </w:rPr>
        <w:t xml:space="preserve"> </w:t>
      </w:r>
      <w:r>
        <w:rPr>
          <w:rFonts w:ascii="Times New Roman" w:hAnsi="Times New Roman"/>
          <w:sz w:val="18"/>
          <w:szCs w:val="18"/>
          <w:lang w:val="es-ES"/>
        </w:rPr>
        <w:t xml:space="preserve">&amp; </w:t>
      </w:r>
      <w:r w:rsidRPr="00AE3739">
        <w:rPr>
          <w:rFonts w:ascii="Times New Roman" w:hAnsi="Times New Roman"/>
          <w:sz w:val="18"/>
          <w:szCs w:val="18"/>
          <w:lang w:val="es-ES"/>
        </w:rPr>
        <w:t>L</w:t>
      </w:r>
      <w:r>
        <w:rPr>
          <w:rFonts w:ascii="Times New Roman" w:hAnsi="Times New Roman"/>
          <w:sz w:val="18"/>
          <w:szCs w:val="18"/>
          <w:lang w:val="es-ES"/>
        </w:rPr>
        <w:t>lorente Muñoz</w:t>
      </w:r>
      <w:r w:rsidRPr="00AE3739">
        <w:rPr>
          <w:rFonts w:ascii="Times New Roman" w:hAnsi="Times New Roman"/>
          <w:sz w:val="18"/>
          <w:szCs w:val="18"/>
          <w:lang w:val="es-ES"/>
        </w:rPr>
        <w:t xml:space="preserve">, V. (2009): “Cálculo de costes e indicadores de gestión en servicios municipales. </w:t>
      </w:r>
      <w:r w:rsidRPr="00EA6B3E">
        <w:rPr>
          <w:rFonts w:ascii="Times New Roman" w:hAnsi="Times New Roman"/>
          <w:sz w:val="18"/>
          <w:szCs w:val="18"/>
          <w:lang w:val="es-ES"/>
        </w:rPr>
        <w:t>El proyecto FEMP: pasado, presente y futuro”. XI Congreso Internacional de Costes y Gestión. XXXII Congreso Argentino de Profesores Universitarios de Costos. La gestión de recursos: sustentabilidad y ética, celebrado en Trelew (Argentina) del 15 al 18 de septiembre de 2009. Capítulo 4. Conclusiones o avances de proyectos de investigación; pp. 596 a 611.</w:t>
      </w:r>
    </w:p>
    <w:p w:rsidR="00AE3739" w:rsidRPr="00AE3739" w:rsidRDefault="00AE3739" w:rsidP="00AE3739">
      <w:pPr>
        <w:spacing w:before="0" w:after="0" w:line="240" w:lineRule="auto"/>
        <w:ind w:left="567" w:hanging="567"/>
        <w:rPr>
          <w:rFonts w:ascii="Times New Roman" w:hAnsi="Times New Roman"/>
          <w:sz w:val="18"/>
          <w:szCs w:val="18"/>
          <w:lang w:val="en-GB"/>
        </w:rPr>
      </w:pPr>
      <w:r w:rsidRPr="00AE3739">
        <w:rPr>
          <w:rFonts w:ascii="Times New Roman" w:hAnsi="Times New Roman"/>
          <w:sz w:val="18"/>
          <w:szCs w:val="18"/>
          <w:lang w:val="en-GB"/>
        </w:rPr>
        <w:t>(Accesible online: http://goo.gl/oGlPH).</w:t>
      </w:r>
    </w:p>
    <w:p w:rsidR="00AE3739"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Car</w:t>
      </w:r>
      <w:r>
        <w:rPr>
          <w:rFonts w:ascii="Times New Roman" w:hAnsi="Times New Roman"/>
          <w:sz w:val="18"/>
          <w:szCs w:val="18"/>
          <w:lang w:val="es-ES"/>
        </w:rPr>
        <w:t>rasco Díaz, D.,</w:t>
      </w:r>
      <w:r w:rsidRPr="00AE3739">
        <w:rPr>
          <w:rFonts w:ascii="Times New Roman" w:hAnsi="Times New Roman"/>
          <w:sz w:val="18"/>
          <w:szCs w:val="18"/>
          <w:lang w:val="es-ES"/>
        </w:rPr>
        <w:t xml:space="preserve"> Buendía Carrillo, D</w:t>
      </w:r>
      <w:r>
        <w:rPr>
          <w:rFonts w:ascii="Times New Roman" w:hAnsi="Times New Roman"/>
          <w:sz w:val="18"/>
          <w:szCs w:val="18"/>
          <w:lang w:val="es-ES"/>
        </w:rPr>
        <w:t>.</w:t>
      </w:r>
      <w:r w:rsidRPr="00AE3739">
        <w:rPr>
          <w:rFonts w:ascii="Times New Roman" w:hAnsi="Times New Roman"/>
          <w:sz w:val="18"/>
          <w:szCs w:val="18"/>
          <w:lang w:val="es-ES"/>
        </w:rPr>
        <w:t>,</w:t>
      </w:r>
      <w:r>
        <w:rPr>
          <w:rFonts w:ascii="Times New Roman" w:hAnsi="Times New Roman"/>
          <w:sz w:val="18"/>
          <w:szCs w:val="18"/>
          <w:lang w:val="es-ES"/>
        </w:rPr>
        <w:t xml:space="preserve"> &amp;</w:t>
      </w:r>
      <w:r w:rsidRPr="00AE3739">
        <w:rPr>
          <w:rFonts w:ascii="Times New Roman" w:hAnsi="Times New Roman"/>
          <w:sz w:val="18"/>
          <w:szCs w:val="18"/>
          <w:lang w:val="es-ES"/>
        </w:rPr>
        <w:t xml:space="preserve"> N</w:t>
      </w:r>
      <w:r>
        <w:rPr>
          <w:rFonts w:ascii="Times New Roman" w:hAnsi="Times New Roman"/>
          <w:sz w:val="18"/>
          <w:szCs w:val="18"/>
          <w:lang w:val="es-ES"/>
        </w:rPr>
        <w:t>avarro Galera</w:t>
      </w:r>
      <w:r w:rsidRPr="00AE3739">
        <w:rPr>
          <w:rFonts w:ascii="Times New Roman" w:hAnsi="Times New Roman"/>
          <w:sz w:val="18"/>
          <w:szCs w:val="18"/>
          <w:lang w:val="es-ES"/>
        </w:rPr>
        <w:t xml:space="preserve">, A. (2011): Manual de procedimiento para la implantación de un sistema de costes en la administración local. </w:t>
      </w:r>
      <w:r w:rsidRPr="00EA6B3E">
        <w:rPr>
          <w:rFonts w:ascii="Times New Roman" w:hAnsi="Times New Roman"/>
          <w:sz w:val="18"/>
          <w:szCs w:val="18"/>
          <w:lang w:val="es-ES"/>
        </w:rPr>
        <w:t xml:space="preserve">Federación Española de Municipios y Provincias (FEMP), Madrid. </w:t>
      </w:r>
      <w:r w:rsidRPr="00AE3739">
        <w:rPr>
          <w:rFonts w:ascii="Times New Roman" w:hAnsi="Times New Roman"/>
          <w:sz w:val="18"/>
          <w:szCs w:val="18"/>
          <w:lang w:val="es-ES"/>
        </w:rPr>
        <w:t>(Accesible online: http://goo.gl/7chV2).</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 xml:space="preserve">IGAE (1994): Contabilidad Analítica de las Administraciones Públicas. </w:t>
      </w:r>
      <w:r w:rsidRPr="00EA6B3E">
        <w:rPr>
          <w:rFonts w:ascii="Times New Roman" w:hAnsi="Times New Roman"/>
          <w:sz w:val="18"/>
          <w:szCs w:val="18"/>
          <w:lang w:val="es-ES"/>
        </w:rPr>
        <w:t>El Proyecto CANOA. Madrid.</w:t>
      </w:r>
    </w:p>
    <w:p w:rsidR="00AE3739" w:rsidRPr="00AE3739"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 xml:space="preserve">IGAE (2004): Principios Generales sobre Contabilidad Analítica de las Administraciones Públicas. </w:t>
      </w:r>
      <w:r w:rsidRPr="00EA6B3E">
        <w:rPr>
          <w:rFonts w:ascii="Times New Roman" w:hAnsi="Times New Roman"/>
          <w:sz w:val="18"/>
          <w:szCs w:val="18"/>
          <w:lang w:val="es-ES"/>
        </w:rPr>
        <w:t xml:space="preserve">Ministerio de Economía y Hacienda, Madrid. </w:t>
      </w:r>
      <w:r w:rsidRPr="00AE3739">
        <w:rPr>
          <w:rFonts w:ascii="Times New Roman" w:hAnsi="Times New Roman"/>
          <w:sz w:val="18"/>
          <w:szCs w:val="18"/>
          <w:lang w:val="es-ES"/>
        </w:rPr>
        <w:t xml:space="preserve">(Accesible online: </w:t>
      </w:r>
      <w:hyperlink r:id="rId18" w:history="1">
        <w:r w:rsidRPr="00AE3739">
          <w:rPr>
            <w:rStyle w:val="Hipervnculo"/>
            <w:rFonts w:ascii="Times New Roman" w:hAnsi="Times New Roman"/>
            <w:sz w:val="18"/>
            <w:szCs w:val="18"/>
            <w:lang w:val="es-ES"/>
          </w:rPr>
          <w:t>http://goo.gl/BWext</w:t>
        </w:r>
      </w:hyperlink>
      <w:r w:rsidRPr="00AE3739">
        <w:rPr>
          <w:rFonts w:ascii="Times New Roman" w:hAnsi="Times New Roman"/>
          <w:sz w:val="18"/>
          <w:szCs w:val="18"/>
          <w:lang w:val="es-ES"/>
        </w:rPr>
        <w:t>).</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 xml:space="preserve">IGAE (2007): Los Indicadores de gestión en el ámbito del Sector Público. </w:t>
      </w:r>
      <w:r w:rsidRPr="00EA6B3E">
        <w:rPr>
          <w:rFonts w:ascii="Times New Roman" w:hAnsi="Times New Roman"/>
          <w:sz w:val="18"/>
          <w:szCs w:val="18"/>
          <w:lang w:val="es-ES"/>
        </w:rPr>
        <w:t>Ministerio de Economía y Hacienda, Madrid.</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EA6B3E">
        <w:rPr>
          <w:rFonts w:ascii="Times New Roman" w:hAnsi="Times New Roman"/>
          <w:sz w:val="18"/>
          <w:szCs w:val="18"/>
          <w:lang w:val="es-ES"/>
        </w:rPr>
        <w:t>MINISTERIO DE ECONOMÍA Y HACIENDA (2004): Orden EHA/4041/2004, de 23 de noviembre, por la que se aprueba la Instrucción del modelo normal de Contabilidad local. BOE número 296 de 9 de diciembre.</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EA6B3E">
        <w:rPr>
          <w:rFonts w:ascii="Times New Roman" w:hAnsi="Times New Roman"/>
          <w:sz w:val="18"/>
          <w:szCs w:val="18"/>
          <w:lang w:val="es-ES"/>
        </w:rPr>
        <w:t>MINISTERIO DE ECONOMÍA Y HACIENDA (2008): Orden EHA/3565/2008, de 3 de diciembre, por la que se aprueba la estructura de los presupuestos de las entidades locales. BOE nº 297 de 10 de diciembre.</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EA6B3E">
        <w:rPr>
          <w:rFonts w:ascii="Times New Roman" w:hAnsi="Times New Roman"/>
          <w:sz w:val="18"/>
          <w:szCs w:val="18"/>
          <w:lang w:val="es-ES"/>
        </w:rPr>
        <w:t>MINISTERIO DE ECONOMÍA Y HACIENDA (2010): Orden EHA/1037/2010, de 13 de abril, por la que se aprueba el Plan General de Contabilidad Pública. BOE número 102 de 28 de abril.</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EA6B3E">
        <w:rPr>
          <w:rFonts w:ascii="Times New Roman" w:hAnsi="Times New Roman"/>
          <w:sz w:val="18"/>
          <w:szCs w:val="18"/>
          <w:lang w:val="es-ES"/>
        </w:rPr>
        <w:t>MINISTERIO DE ECONOMÍA Y HACIENDA (2011): Resolución de 28 de julio de 2011, de la Intervención General de la Administración del Estado, por la que se regulan los criterios para la elaboración de la información sobre los costes de actividades e indicadores de gestión a incluir en la memoria de las cuentas anuales del Plan General de Contabilidad Pública. BOE número 188 de 6 de agosto.</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Pou D</w:t>
      </w:r>
      <w:r>
        <w:rPr>
          <w:rFonts w:ascii="Times New Roman" w:hAnsi="Times New Roman"/>
          <w:sz w:val="18"/>
          <w:szCs w:val="18"/>
          <w:lang w:val="es-ES"/>
        </w:rPr>
        <w:t>íaz, J.,</w:t>
      </w:r>
      <w:r w:rsidRPr="00AE3739">
        <w:rPr>
          <w:rFonts w:ascii="Times New Roman" w:hAnsi="Times New Roman"/>
          <w:sz w:val="18"/>
          <w:szCs w:val="18"/>
          <w:lang w:val="es-ES"/>
        </w:rPr>
        <w:t xml:space="preserve"> F</w:t>
      </w:r>
      <w:r>
        <w:rPr>
          <w:rFonts w:ascii="Times New Roman" w:hAnsi="Times New Roman"/>
          <w:sz w:val="18"/>
          <w:szCs w:val="18"/>
          <w:lang w:val="es-ES"/>
        </w:rPr>
        <w:t>ernández Rodríguez Rodríguez,</w:t>
      </w:r>
      <w:r w:rsidRPr="00AE3739">
        <w:rPr>
          <w:rFonts w:ascii="Times New Roman" w:hAnsi="Times New Roman"/>
          <w:sz w:val="18"/>
          <w:szCs w:val="18"/>
          <w:lang w:val="es-ES"/>
        </w:rPr>
        <w:t xml:space="preserve"> Mª</w:t>
      </w:r>
      <w:r>
        <w:rPr>
          <w:rFonts w:ascii="Times New Roman" w:hAnsi="Times New Roman"/>
          <w:sz w:val="18"/>
          <w:szCs w:val="18"/>
          <w:lang w:val="es-ES"/>
        </w:rPr>
        <w:t>.,</w:t>
      </w:r>
      <w:r w:rsidRPr="00AE3739">
        <w:rPr>
          <w:rFonts w:ascii="Times New Roman" w:hAnsi="Times New Roman"/>
          <w:sz w:val="18"/>
          <w:szCs w:val="18"/>
          <w:lang w:val="es-ES"/>
        </w:rPr>
        <w:t xml:space="preserve"> </w:t>
      </w:r>
      <w:r>
        <w:rPr>
          <w:rFonts w:ascii="Times New Roman" w:hAnsi="Times New Roman"/>
          <w:sz w:val="18"/>
          <w:szCs w:val="18"/>
          <w:lang w:val="es-ES"/>
        </w:rPr>
        <w:t>&amp;</w:t>
      </w:r>
      <w:r w:rsidRPr="00AE3739">
        <w:rPr>
          <w:rFonts w:ascii="Times New Roman" w:hAnsi="Times New Roman"/>
          <w:sz w:val="18"/>
          <w:szCs w:val="18"/>
          <w:lang w:val="es-ES"/>
        </w:rPr>
        <w:t xml:space="preserve"> A</w:t>
      </w:r>
      <w:r>
        <w:rPr>
          <w:rFonts w:ascii="Times New Roman" w:hAnsi="Times New Roman"/>
          <w:sz w:val="18"/>
          <w:szCs w:val="18"/>
          <w:lang w:val="es-ES"/>
        </w:rPr>
        <w:t>liaga</w:t>
      </w:r>
      <w:r w:rsidRPr="00AE3739">
        <w:rPr>
          <w:rFonts w:ascii="Times New Roman" w:hAnsi="Times New Roman"/>
          <w:sz w:val="18"/>
          <w:szCs w:val="18"/>
          <w:lang w:val="es-ES"/>
        </w:rPr>
        <w:t xml:space="preserve"> M</w:t>
      </w:r>
      <w:r>
        <w:rPr>
          <w:rFonts w:ascii="Times New Roman" w:hAnsi="Times New Roman"/>
          <w:sz w:val="18"/>
          <w:szCs w:val="18"/>
          <w:lang w:val="es-ES"/>
        </w:rPr>
        <w:t>artínez</w:t>
      </w:r>
      <w:r w:rsidRPr="00AE3739">
        <w:rPr>
          <w:rFonts w:ascii="Times New Roman" w:hAnsi="Times New Roman"/>
          <w:sz w:val="18"/>
          <w:szCs w:val="18"/>
          <w:lang w:val="es-ES"/>
        </w:rPr>
        <w:t xml:space="preserve">, Mª. </w:t>
      </w:r>
      <w:r w:rsidRPr="00EA6B3E">
        <w:rPr>
          <w:rFonts w:ascii="Times New Roman" w:hAnsi="Times New Roman"/>
          <w:sz w:val="18"/>
          <w:szCs w:val="18"/>
          <w:lang w:val="es-ES"/>
        </w:rPr>
        <w:t>(1994): “Nuevos desarrollos de Contabilidad Analítica en la Administración Institucional”. Presupuesto y Gasto Público, nº 13; pp. 149-166.</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P</w:t>
      </w:r>
      <w:r>
        <w:rPr>
          <w:rFonts w:ascii="Times New Roman" w:hAnsi="Times New Roman"/>
          <w:sz w:val="18"/>
          <w:szCs w:val="18"/>
          <w:lang w:val="es-ES"/>
        </w:rPr>
        <w:t>rieto Martín</w:t>
      </w:r>
      <w:r w:rsidRPr="00AE3739">
        <w:rPr>
          <w:rFonts w:ascii="Times New Roman" w:hAnsi="Times New Roman"/>
          <w:sz w:val="18"/>
          <w:szCs w:val="18"/>
          <w:lang w:val="es-ES"/>
        </w:rPr>
        <w:t>, C.; R</w:t>
      </w:r>
      <w:r>
        <w:rPr>
          <w:rFonts w:ascii="Times New Roman" w:hAnsi="Times New Roman"/>
          <w:sz w:val="18"/>
          <w:szCs w:val="18"/>
          <w:lang w:val="es-ES"/>
        </w:rPr>
        <w:t>obleda Cabezas</w:t>
      </w:r>
      <w:r w:rsidRPr="00AE3739">
        <w:rPr>
          <w:rFonts w:ascii="Times New Roman" w:hAnsi="Times New Roman"/>
          <w:sz w:val="18"/>
          <w:szCs w:val="18"/>
          <w:lang w:val="es-ES"/>
        </w:rPr>
        <w:t xml:space="preserve">, H. (Coordinadores) (2006): Guía para la implantación de un sistema de costes en la Administración local. </w:t>
      </w:r>
      <w:r w:rsidRPr="00EA6B3E">
        <w:rPr>
          <w:rFonts w:ascii="Times New Roman" w:hAnsi="Times New Roman"/>
          <w:sz w:val="18"/>
          <w:szCs w:val="18"/>
          <w:lang w:val="es-ES"/>
        </w:rPr>
        <w:t xml:space="preserve">Federación Española de Municipios y Provincias (FEMP), Madrid. (Accesible online: </w:t>
      </w:r>
      <w:hyperlink r:id="rId19" w:history="1">
        <w:r w:rsidRPr="00EA6B3E">
          <w:rPr>
            <w:rFonts w:ascii="Times New Roman" w:hAnsi="Times New Roman"/>
            <w:sz w:val="18"/>
            <w:szCs w:val="18"/>
            <w:lang w:val="es-ES"/>
          </w:rPr>
          <w:t>http://goo.gl/DYWYp</w:t>
        </w:r>
      </w:hyperlink>
      <w:r w:rsidRPr="00EA6B3E">
        <w:rPr>
          <w:rFonts w:ascii="Times New Roman" w:hAnsi="Times New Roman"/>
          <w:sz w:val="18"/>
          <w:szCs w:val="18"/>
          <w:lang w:val="es-ES"/>
        </w:rPr>
        <w:t>).</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AE3739">
        <w:rPr>
          <w:rFonts w:ascii="Times New Roman" w:hAnsi="Times New Roman"/>
          <w:sz w:val="18"/>
          <w:szCs w:val="18"/>
          <w:lang w:val="es-ES"/>
        </w:rPr>
        <w:t>Rodr</w:t>
      </w:r>
      <w:r>
        <w:rPr>
          <w:rFonts w:ascii="Times New Roman" w:hAnsi="Times New Roman"/>
          <w:sz w:val="18"/>
          <w:szCs w:val="18"/>
          <w:lang w:val="es-ES"/>
        </w:rPr>
        <w:t>íguez Cabrero</w:t>
      </w:r>
      <w:r w:rsidRPr="00AE3739">
        <w:rPr>
          <w:rFonts w:ascii="Times New Roman" w:hAnsi="Times New Roman"/>
          <w:sz w:val="18"/>
          <w:szCs w:val="18"/>
          <w:lang w:val="es-ES"/>
        </w:rPr>
        <w:t>, G; M</w:t>
      </w:r>
      <w:r>
        <w:rPr>
          <w:rFonts w:ascii="Times New Roman" w:hAnsi="Times New Roman"/>
          <w:sz w:val="18"/>
          <w:szCs w:val="18"/>
          <w:lang w:val="es-ES"/>
        </w:rPr>
        <w:t>onserrat Codorniú</w:t>
      </w:r>
      <w:r w:rsidRPr="00AE3739">
        <w:rPr>
          <w:rFonts w:ascii="Times New Roman" w:hAnsi="Times New Roman"/>
          <w:sz w:val="18"/>
          <w:szCs w:val="18"/>
          <w:lang w:val="es-ES"/>
        </w:rPr>
        <w:t xml:space="preserve">, J (2002): Modelos de atención sociosanitaria. </w:t>
      </w:r>
      <w:r w:rsidRPr="00EA6B3E">
        <w:rPr>
          <w:rFonts w:ascii="Times New Roman" w:hAnsi="Times New Roman"/>
          <w:sz w:val="18"/>
          <w:szCs w:val="18"/>
          <w:lang w:val="es-ES"/>
        </w:rPr>
        <w:t>Una aproximación a los costes de la dependencia. MINISTERIO DE TRABAJO Y ASUNTOS SOCIALES SECRETARÍA GENERAL DE ASUNTOS SOCIALES Instituto de Migraciones y Servicios Sociales.</w:t>
      </w:r>
    </w:p>
    <w:p w:rsidR="00AE3739" w:rsidRPr="00EA6B3E" w:rsidRDefault="00AE3739" w:rsidP="00AE3739">
      <w:pPr>
        <w:spacing w:before="0" w:after="0" w:line="240" w:lineRule="auto"/>
        <w:ind w:left="567" w:hanging="567"/>
        <w:rPr>
          <w:rFonts w:ascii="Times New Roman" w:hAnsi="Times New Roman"/>
          <w:sz w:val="18"/>
          <w:szCs w:val="18"/>
          <w:lang w:val="es-ES"/>
        </w:rPr>
      </w:pPr>
      <w:r w:rsidRPr="00EA6B3E">
        <w:rPr>
          <w:rFonts w:ascii="Times New Roman" w:hAnsi="Times New Roman"/>
          <w:sz w:val="18"/>
          <w:szCs w:val="18"/>
          <w:lang w:val="es-ES"/>
        </w:rPr>
        <w:t>Rodriguez, P. y Sancho, T. (1995):  "Nuevos retos de la política social de atención a las personas mayores. Las situaciones de fragilidad" Revista Española de Geriatría y Gerontología, vol 30(3).</w:t>
      </w:r>
    </w:p>
    <w:p w:rsidR="00AE3739" w:rsidRPr="00AE3739" w:rsidRDefault="00AE3739" w:rsidP="00AE3739">
      <w:pPr>
        <w:spacing w:before="0" w:after="0" w:line="240" w:lineRule="auto"/>
        <w:ind w:left="567" w:hanging="567"/>
        <w:rPr>
          <w:rFonts w:ascii="Times New Roman" w:hAnsi="Times New Roman"/>
          <w:sz w:val="18"/>
          <w:szCs w:val="18"/>
          <w:lang w:val="en-GB"/>
        </w:rPr>
      </w:pPr>
      <w:r w:rsidRPr="00EA6B3E">
        <w:rPr>
          <w:rFonts w:ascii="Times New Roman" w:hAnsi="Times New Roman"/>
          <w:sz w:val="18"/>
          <w:szCs w:val="18"/>
          <w:lang w:val="es-ES"/>
        </w:rPr>
        <w:t xml:space="preserve">Tortosa Chuliá, M. A.; Fuenmayor Fernández, A; Granell Pérez, R. (2011): Evaluación de costes y financiación de las residencias de mayores. El sector no lucrativo en la Comunidad Valenciana. Colección de informes (ISSN 1885-6780). </w:t>
      </w:r>
      <w:r w:rsidRPr="00AE3739">
        <w:rPr>
          <w:rFonts w:ascii="Times New Roman" w:hAnsi="Times New Roman"/>
          <w:sz w:val="18"/>
          <w:szCs w:val="18"/>
          <w:lang w:val="en-GB"/>
        </w:rPr>
        <w:t>Número 129.</w:t>
      </w:r>
    </w:p>
    <w:sectPr w:rsidR="00AE3739" w:rsidRPr="00AE3739" w:rsidSect="008851A6">
      <w:pgSz w:w="11906" w:h="16838"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5E" w:rsidRDefault="0097055E" w:rsidP="006A086C">
      <w:pPr>
        <w:spacing w:before="0" w:after="0" w:line="240" w:lineRule="auto"/>
      </w:pPr>
      <w:r>
        <w:separator/>
      </w:r>
    </w:p>
  </w:endnote>
  <w:endnote w:type="continuationSeparator" w:id="0">
    <w:p w:rsidR="0097055E" w:rsidRDefault="0097055E" w:rsidP="006A08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5E" w:rsidRDefault="0097055E" w:rsidP="006A086C">
      <w:pPr>
        <w:spacing w:before="0" w:after="0" w:line="240" w:lineRule="auto"/>
      </w:pPr>
      <w:r>
        <w:separator/>
      </w:r>
    </w:p>
  </w:footnote>
  <w:footnote w:type="continuationSeparator" w:id="0">
    <w:p w:rsidR="0097055E" w:rsidRDefault="0097055E" w:rsidP="006A086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06D"/>
    <w:multiLevelType w:val="multilevel"/>
    <w:tmpl w:val="714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0099B"/>
    <w:multiLevelType w:val="hybridMultilevel"/>
    <w:tmpl w:val="A0601052"/>
    <w:lvl w:ilvl="0" w:tplc="8D1E42FC">
      <w:start w:val="1"/>
      <w:numFmt w:val="bullet"/>
      <w:lvlText w:val="-"/>
      <w:lvlJc w:val="left"/>
      <w:pPr>
        <w:tabs>
          <w:tab w:val="num" w:pos="1770"/>
        </w:tabs>
        <w:ind w:left="1770" w:hanging="360"/>
      </w:pPr>
      <w:rPr>
        <w:rFonts w:ascii="Times New Roman" w:eastAsia="Times New Roman" w:hAnsi="Times New Roman" w:cs="Times New Roman" w:hint="default"/>
        <w:color w:val="auto"/>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start w:val="1"/>
      <w:numFmt w:val="bullet"/>
      <w:lvlText w:val=""/>
      <w:lvlJc w:val="left"/>
      <w:pPr>
        <w:tabs>
          <w:tab w:val="num" w:pos="3210"/>
        </w:tabs>
        <w:ind w:left="3210" w:hanging="360"/>
      </w:pPr>
      <w:rPr>
        <w:rFonts w:ascii="Wingdings" w:hAnsi="Wingdings" w:hint="default"/>
      </w:rPr>
    </w:lvl>
    <w:lvl w:ilvl="3" w:tplc="0C0A0001">
      <w:start w:val="1"/>
      <w:numFmt w:val="bullet"/>
      <w:lvlText w:val=""/>
      <w:lvlJc w:val="left"/>
      <w:pPr>
        <w:tabs>
          <w:tab w:val="num" w:pos="3930"/>
        </w:tabs>
        <w:ind w:left="3930" w:hanging="360"/>
      </w:pPr>
      <w:rPr>
        <w:rFonts w:ascii="Symbol" w:hAnsi="Symbol" w:hint="default"/>
      </w:rPr>
    </w:lvl>
    <w:lvl w:ilvl="4" w:tplc="0C0A0003">
      <w:start w:val="1"/>
      <w:numFmt w:val="bullet"/>
      <w:lvlText w:val="o"/>
      <w:lvlJc w:val="left"/>
      <w:pPr>
        <w:tabs>
          <w:tab w:val="num" w:pos="4650"/>
        </w:tabs>
        <w:ind w:left="4650" w:hanging="360"/>
      </w:pPr>
      <w:rPr>
        <w:rFonts w:ascii="Courier New" w:hAnsi="Courier New" w:cs="Courier New" w:hint="default"/>
      </w:rPr>
    </w:lvl>
    <w:lvl w:ilvl="5" w:tplc="0C0A0005">
      <w:start w:val="1"/>
      <w:numFmt w:val="bullet"/>
      <w:lvlText w:val=""/>
      <w:lvlJc w:val="left"/>
      <w:pPr>
        <w:tabs>
          <w:tab w:val="num" w:pos="5370"/>
        </w:tabs>
        <w:ind w:left="5370" w:hanging="360"/>
      </w:pPr>
      <w:rPr>
        <w:rFonts w:ascii="Wingdings" w:hAnsi="Wingdings" w:hint="default"/>
      </w:rPr>
    </w:lvl>
    <w:lvl w:ilvl="6" w:tplc="0C0A0001">
      <w:start w:val="1"/>
      <w:numFmt w:val="bullet"/>
      <w:lvlText w:val=""/>
      <w:lvlJc w:val="left"/>
      <w:pPr>
        <w:tabs>
          <w:tab w:val="num" w:pos="6090"/>
        </w:tabs>
        <w:ind w:left="6090" w:hanging="360"/>
      </w:pPr>
      <w:rPr>
        <w:rFonts w:ascii="Symbol" w:hAnsi="Symbol" w:hint="default"/>
      </w:rPr>
    </w:lvl>
    <w:lvl w:ilvl="7" w:tplc="0C0A0003">
      <w:start w:val="1"/>
      <w:numFmt w:val="bullet"/>
      <w:lvlText w:val="o"/>
      <w:lvlJc w:val="left"/>
      <w:pPr>
        <w:tabs>
          <w:tab w:val="num" w:pos="6810"/>
        </w:tabs>
        <w:ind w:left="6810" w:hanging="360"/>
      </w:pPr>
      <w:rPr>
        <w:rFonts w:ascii="Courier New" w:hAnsi="Courier New" w:cs="Courier New" w:hint="default"/>
      </w:rPr>
    </w:lvl>
    <w:lvl w:ilvl="8" w:tplc="0C0A0005">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D8C42D8"/>
    <w:multiLevelType w:val="hybridMultilevel"/>
    <w:tmpl w:val="4A1200AA"/>
    <w:lvl w:ilvl="0" w:tplc="CF1E2638">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3" w15:restartNumberingAfterBreak="0">
    <w:nsid w:val="23314752"/>
    <w:multiLevelType w:val="hybridMultilevel"/>
    <w:tmpl w:val="49B897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3755E56"/>
    <w:multiLevelType w:val="hybridMultilevel"/>
    <w:tmpl w:val="6CFA42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530436C"/>
    <w:multiLevelType w:val="hybridMultilevel"/>
    <w:tmpl w:val="8A320AC2"/>
    <w:lvl w:ilvl="0" w:tplc="1B0E5C4E">
      <w:start w:val="1"/>
      <w:numFmt w:val="decimal"/>
      <w:lvlText w:val="%1."/>
      <w:lvlJc w:val="left"/>
      <w:pPr>
        <w:tabs>
          <w:tab w:val="num" w:pos="720"/>
        </w:tabs>
        <w:ind w:left="720" w:hanging="360"/>
      </w:pPr>
    </w:lvl>
    <w:lvl w:ilvl="1" w:tplc="B55C0D24">
      <w:start w:val="1"/>
      <w:numFmt w:val="decimal"/>
      <w:lvlText w:val="%2."/>
      <w:lvlJc w:val="left"/>
      <w:pPr>
        <w:tabs>
          <w:tab w:val="num" w:pos="1440"/>
        </w:tabs>
        <w:ind w:left="1440" w:hanging="360"/>
      </w:pPr>
    </w:lvl>
    <w:lvl w:ilvl="2" w:tplc="9DF2C58C">
      <w:start w:val="1"/>
      <w:numFmt w:val="decimal"/>
      <w:lvlText w:val="%3."/>
      <w:lvlJc w:val="left"/>
      <w:pPr>
        <w:tabs>
          <w:tab w:val="num" w:pos="2160"/>
        </w:tabs>
        <w:ind w:left="2160" w:hanging="360"/>
      </w:pPr>
    </w:lvl>
    <w:lvl w:ilvl="3" w:tplc="4008DEC2">
      <w:start w:val="1"/>
      <w:numFmt w:val="decimal"/>
      <w:lvlText w:val="%4."/>
      <w:lvlJc w:val="left"/>
      <w:pPr>
        <w:tabs>
          <w:tab w:val="num" w:pos="2880"/>
        </w:tabs>
        <w:ind w:left="2880" w:hanging="360"/>
      </w:pPr>
    </w:lvl>
    <w:lvl w:ilvl="4" w:tplc="4634BF12">
      <w:start w:val="1"/>
      <w:numFmt w:val="decimal"/>
      <w:lvlText w:val="%5."/>
      <w:lvlJc w:val="left"/>
      <w:pPr>
        <w:tabs>
          <w:tab w:val="num" w:pos="3600"/>
        </w:tabs>
        <w:ind w:left="3600" w:hanging="360"/>
      </w:pPr>
    </w:lvl>
    <w:lvl w:ilvl="5" w:tplc="92708118">
      <w:start w:val="1"/>
      <w:numFmt w:val="decimal"/>
      <w:lvlText w:val="%6."/>
      <w:lvlJc w:val="left"/>
      <w:pPr>
        <w:tabs>
          <w:tab w:val="num" w:pos="4320"/>
        </w:tabs>
        <w:ind w:left="4320" w:hanging="360"/>
      </w:pPr>
    </w:lvl>
    <w:lvl w:ilvl="6" w:tplc="D6ECDB40">
      <w:start w:val="1"/>
      <w:numFmt w:val="decimal"/>
      <w:lvlText w:val="%7."/>
      <w:lvlJc w:val="left"/>
      <w:pPr>
        <w:tabs>
          <w:tab w:val="num" w:pos="5040"/>
        </w:tabs>
        <w:ind w:left="5040" w:hanging="360"/>
      </w:pPr>
    </w:lvl>
    <w:lvl w:ilvl="7" w:tplc="D5989FD6">
      <w:start w:val="1"/>
      <w:numFmt w:val="decimal"/>
      <w:lvlText w:val="%8."/>
      <w:lvlJc w:val="left"/>
      <w:pPr>
        <w:tabs>
          <w:tab w:val="num" w:pos="5760"/>
        </w:tabs>
        <w:ind w:left="5760" w:hanging="360"/>
      </w:pPr>
    </w:lvl>
    <w:lvl w:ilvl="8" w:tplc="77A08F3A">
      <w:start w:val="1"/>
      <w:numFmt w:val="decimal"/>
      <w:lvlText w:val="%9."/>
      <w:lvlJc w:val="left"/>
      <w:pPr>
        <w:tabs>
          <w:tab w:val="num" w:pos="6480"/>
        </w:tabs>
        <w:ind w:left="6480" w:hanging="360"/>
      </w:pPr>
    </w:lvl>
  </w:abstractNum>
  <w:abstractNum w:abstractNumId="6" w15:restartNumberingAfterBreak="0">
    <w:nsid w:val="35E01A5E"/>
    <w:multiLevelType w:val="hybridMultilevel"/>
    <w:tmpl w:val="5D726C38"/>
    <w:lvl w:ilvl="0" w:tplc="CF1E2638">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15:restartNumberingAfterBreak="0">
    <w:nsid w:val="37840EE2"/>
    <w:multiLevelType w:val="hybridMultilevel"/>
    <w:tmpl w:val="7212BA22"/>
    <w:lvl w:ilvl="0" w:tplc="CF1E2638">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15:restartNumberingAfterBreak="0">
    <w:nsid w:val="4D4E739B"/>
    <w:multiLevelType w:val="hybridMultilevel"/>
    <w:tmpl w:val="914C8CD0"/>
    <w:lvl w:ilvl="0" w:tplc="0C0A0001">
      <w:start w:val="1"/>
      <w:numFmt w:val="bullet"/>
      <w:lvlText w:val=""/>
      <w:lvlJc w:val="left"/>
      <w:pPr>
        <w:ind w:left="1713" w:hanging="360"/>
      </w:pPr>
      <w:rPr>
        <w:rFonts w:ascii="Symbol" w:hAnsi="Symbol" w:hint="default"/>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9" w15:restartNumberingAfterBreak="0">
    <w:nsid w:val="5311778E"/>
    <w:multiLevelType w:val="hybridMultilevel"/>
    <w:tmpl w:val="451EDB96"/>
    <w:lvl w:ilvl="0" w:tplc="CBF63360">
      <w:start w:val="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3F7514E"/>
    <w:multiLevelType w:val="hybridMultilevel"/>
    <w:tmpl w:val="C4DA9BEA"/>
    <w:lvl w:ilvl="0" w:tplc="D3527C16">
      <w:start w:val="1"/>
      <w:numFmt w:val="bullet"/>
      <w:lvlText w:val="•"/>
      <w:lvlJc w:val="left"/>
      <w:pPr>
        <w:tabs>
          <w:tab w:val="num" w:pos="720"/>
        </w:tabs>
        <w:ind w:left="720" w:hanging="360"/>
      </w:pPr>
      <w:rPr>
        <w:rFonts w:ascii="Arial" w:hAnsi="Arial" w:cs="Times New Roman" w:hint="default"/>
      </w:rPr>
    </w:lvl>
    <w:lvl w:ilvl="1" w:tplc="BFCEB2AA">
      <w:start w:val="1"/>
      <w:numFmt w:val="bullet"/>
      <w:lvlText w:val="•"/>
      <w:lvlJc w:val="left"/>
      <w:pPr>
        <w:tabs>
          <w:tab w:val="num" w:pos="1440"/>
        </w:tabs>
        <w:ind w:left="1440" w:hanging="360"/>
      </w:pPr>
      <w:rPr>
        <w:rFonts w:ascii="Arial" w:hAnsi="Arial" w:cs="Times New Roman" w:hint="default"/>
      </w:rPr>
    </w:lvl>
    <w:lvl w:ilvl="2" w:tplc="D916C5DE">
      <w:start w:val="1"/>
      <w:numFmt w:val="bullet"/>
      <w:lvlText w:val="•"/>
      <w:lvlJc w:val="left"/>
      <w:pPr>
        <w:tabs>
          <w:tab w:val="num" w:pos="2160"/>
        </w:tabs>
        <w:ind w:left="2160" w:hanging="360"/>
      </w:pPr>
      <w:rPr>
        <w:rFonts w:ascii="Arial" w:hAnsi="Arial" w:cs="Times New Roman" w:hint="default"/>
      </w:rPr>
    </w:lvl>
    <w:lvl w:ilvl="3" w:tplc="51BAC7D0">
      <w:start w:val="1"/>
      <w:numFmt w:val="bullet"/>
      <w:lvlText w:val="•"/>
      <w:lvlJc w:val="left"/>
      <w:pPr>
        <w:tabs>
          <w:tab w:val="num" w:pos="2880"/>
        </w:tabs>
        <w:ind w:left="2880" w:hanging="360"/>
      </w:pPr>
      <w:rPr>
        <w:rFonts w:ascii="Arial" w:hAnsi="Arial" w:cs="Times New Roman" w:hint="default"/>
      </w:rPr>
    </w:lvl>
    <w:lvl w:ilvl="4" w:tplc="24E845F4">
      <w:start w:val="1"/>
      <w:numFmt w:val="bullet"/>
      <w:lvlText w:val="•"/>
      <w:lvlJc w:val="left"/>
      <w:pPr>
        <w:tabs>
          <w:tab w:val="num" w:pos="3600"/>
        </w:tabs>
        <w:ind w:left="3600" w:hanging="360"/>
      </w:pPr>
      <w:rPr>
        <w:rFonts w:ascii="Arial" w:hAnsi="Arial" w:cs="Times New Roman" w:hint="default"/>
      </w:rPr>
    </w:lvl>
    <w:lvl w:ilvl="5" w:tplc="03620FFE">
      <w:start w:val="1"/>
      <w:numFmt w:val="bullet"/>
      <w:lvlText w:val="•"/>
      <w:lvlJc w:val="left"/>
      <w:pPr>
        <w:tabs>
          <w:tab w:val="num" w:pos="4320"/>
        </w:tabs>
        <w:ind w:left="4320" w:hanging="360"/>
      </w:pPr>
      <w:rPr>
        <w:rFonts w:ascii="Arial" w:hAnsi="Arial" w:cs="Times New Roman" w:hint="default"/>
      </w:rPr>
    </w:lvl>
    <w:lvl w:ilvl="6" w:tplc="E130A008">
      <w:start w:val="1"/>
      <w:numFmt w:val="bullet"/>
      <w:lvlText w:val="•"/>
      <w:lvlJc w:val="left"/>
      <w:pPr>
        <w:tabs>
          <w:tab w:val="num" w:pos="5040"/>
        </w:tabs>
        <w:ind w:left="5040" w:hanging="360"/>
      </w:pPr>
      <w:rPr>
        <w:rFonts w:ascii="Arial" w:hAnsi="Arial" w:cs="Times New Roman" w:hint="default"/>
      </w:rPr>
    </w:lvl>
    <w:lvl w:ilvl="7" w:tplc="C2BC2138">
      <w:start w:val="1"/>
      <w:numFmt w:val="bullet"/>
      <w:lvlText w:val="•"/>
      <w:lvlJc w:val="left"/>
      <w:pPr>
        <w:tabs>
          <w:tab w:val="num" w:pos="5760"/>
        </w:tabs>
        <w:ind w:left="5760" w:hanging="360"/>
      </w:pPr>
      <w:rPr>
        <w:rFonts w:ascii="Arial" w:hAnsi="Arial" w:cs="Times New Roman" w:hint="default"/>
      </w:rPr>
    </w:lvl>
    <w:lvl w:ilvl="8" w:tplc="B8D6684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5263675"/>
    <w:multiLevelType w:val="multilevel"/>
    <w:tmpl w:val="AC1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D9291A"/>
    <w:multiLevelType w:val="hybridMultilevel"/>
    <w:tmpl w:val="EBA4A662"/>
    <w:lvl w:ilvl="0" w:tplc="CF1E2638">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3" w15:restartNumberingAfterBreak="0">
    <w:nsid w:val="7F2D284C"/>
    <w:multiLevelType w:val="hybridMultilevel"/>
    <w:tmpl w:val="456A45AE"/>
    <w:lvl w:ilvl="0" w:tplc="8730BD80">
      <w:start w:val="1"/>
      <w:numFmt w:val="bullet"/>
      <w:lvlText w:val="•"/>
      <w:lvlJc w:val="left"/>
      <w:pPr>
        <w:tabs>
          <w:tab w:val="num" w:pos="720"/>
        </w:tabs>
        <w:ind w:left="720" w:hanging="360"/>
      </w:pPr>
      <w:rPr>
        <w:rFonts w:ascii="Arial" w:hAnsi="Arial" w:cs="Times New Roman" w:hint="default"/>
      </w:rPr>
    </w:lvl>
    <w:lvl w:ilvl="1" w:tplc="4BB26808">
      <w:start w:val="1"/>
      <w:numFmt w:val="bullet"/>
      <w:lvlText w:val="•"/>
      <w:lvlJc w:val="left"/>
      <w:pPr>
        <w:tabs>
          <w:tab w:val="num" w:pos="1440"/>
        </w:tabs>
        <w:ind w:left="1440" w:hanging="360"/>
      </w:pPr>
      <w:rPr>
        <w:rFonts w:ascii="Arial" w:hAnsi="Arial" w:cs="Times New Roman" w:hint="default"/>
      </w:rPr>
    </w:lvl>
    <w:lvl w:ilvl="2" w:tplc="5CD81F3E">
      <w:start w:val="1"/>
      <w:numFmt w:val="bullet"/>
      <w:lvlText w:val="•"/>
      <w:lvlJc w:val="left"/>
      <w:pPr>
        <w:tabs>
          <w:tab w:val="num" w:pos="2160"/>
        </w:tabs>
        <w:ind w:left="2160" w:hanging="360"/>
      </w:pPr>
      <w:rPr>
        <w:rFonts w:ascii="Arial" w:hAnsi="Arial" w:cs="Times New Roman" w:hint="default"/>
      </w:rPr>
    </w:lvl>
    <w:lvl w:ilvl="3" w:tplc="05D664D8">
      <w:start w:val="1"/>
      <w:numFmt w:val="bullet"/>
      <w:lvlText w:val="•"/>
      <w:lvlJc w:val="left"/>
      <w:pPr>
        <w:tabs>
          <w:tab w:val="num" w:pos="2880"/>
        </w:tabs>
        <w:ind w:left="2880" w:hanging="360"/>
      </w:pPr>
      <w:rPr>
        <w:rFonts w:ascii="Arial" w:hAnsi="Arial" w:cs="Times New Roman" w:hint="default"/>
      </w:rPr>
    </w:lvl>
    <w:lvl w:ilvl="4" w:tplc="4F96985E">
      <w:start w:val="1"/>
      <w:numFmt w:val="bullet"/>
      <w:lvlText w:val="•"/>
      <w:lvlJc w:val="left"/>
      <w:pPr>
        <w:tabs>
          <w:tab w:val="num" w:pos="3600"/>
        </w:tabs>
        <w:ind w:left="3600" w:hanging="360"/>
      </w:pPr>
      <w:rPr>
        <w:rFonts w:ascii="Arial" w:hAnsi="Arial" w:cs="Times New Roman" w:hint="default"/>
      </w:rPr>
    </w:lvl>
    <w:lvl w:ilvl="5" w:tplc="FA7CF1E4">
      <w:start w:val="1"/>
      <w:numFmt w:val="bullet"/>
      <w:lvlText w:val="•"/>
      <w:lvlJc w:val="left"/>
      <w:pPr>
        <w:tabs>
          <w:tab w:val="num" w:pos="4320"/>
        </w:tabs>
        <w:ind w:left="4320" w:hanging="360"/>
      </w:pPr>
      <w:rPr>
        <w:rFonts w:ascii="Arial" w:hAnsi="Arial" w:cs="Times New Roman" w:hint="default"/>
      </w:rPr>
    </w:lvl>
    <w:lvl w:ilvl="6" w:tplc="56E85590">
      <w:start w:val="1"/>
      <w:numFmt w:val="bullet"/>
      <w:lvlText w:val="•"/>
      <w:lvlJc w:val="left"/>
      <w:pPr>
        <w:tabs>
          <w:tab w:val="num" w:pos="5040"/>
        </w:tabs>
        <w:ind w:left="5040" w:hanging="360"/>
      </w:pPr>
      <w:rPr>
        <w:rFonts w:ascii="Arial" w:hAnsi="Arial" w:cs="Times New Roman" w:hint="default"/>
      </w:rPr>
    </w:lvl>
    <w:lvl w:ilvl="7" w:tplc="0BE4A122">
      <w:start w:val="1"/>
      <w:numFmt w:val="bullet"/>
      <w:lvlText w:val="•"/>
      <w:lvlJc w:val="left"/>
      <w:pPr>
        <w:tabs>
          <w:tab w:val="num" w:pos="5760"/>
        </w:tabs>
        <w:ind w:left="5760" w:hanging="360"/>
      </w:pPr>
      <w:rPr>
        <w:rFonts w:ascii="Arial" w:hAnsi="Arial" w:cs="Times New Roman" w:hint="default"/>
      </w:rPr>
    </w:lvl>
    <w:lvl w:ilvl="8" w:tplc="3B10403E">
      <w:start w:val="1"/>
      <w:numFmt w:val="bullet"/>
      <w:lvlText w:val="•"/>
      <w:lvlJc w:val="left"/>
      <w:pPr>
        <w:tabs>
          <w:tab w:val="num" w:pos="6480"/>
        </w:tabs>
        <w:ind w:left="6480" w:hanging="360"/>
      </w:pPr>
      <w:rPr>
        <w:rFonts w:ascii="Arial" w:hAnsi="Arial" w:cs="Times New Roman" w:hint="default"/>
      </w:rPr>
    </w:lvl>
  </w:abstractNum>
  <w:num w:numId="1">
    <w:abstractNumId w:val="11"/>
  </w:num>
  <w:num w:numId="2">
    <w:abstractNumId w:val="0"/>
  </w:num>
  <w:num w:numId="3">
    <w:abstractNumId w:val="13"/>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7"/>
  </w:num>
  <w:num w:numId="9">
    <w:abstractNumId w:val="2"/>
  </w:num>
  <w:num w:numId="10">
    <w:abstractNumId w:val="9"/>
  </w:num>
  <w:num w:numId="11">
    <w:abstractNumId w:val="1"/>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sjQwMDQ2AdKGBko6SsGpxcWZ+XkgBUa1AB6cHGssAAAA"/>
  </w:docVars>
  <w:rsids>
    <w:rsidRoot w:val="00B4618A"/>
    <w:rsid w:val="0002077E"/>
    <w:rsid w:val="00031DBD"/>
    <w:rsid w:val="0003630E"/>
    <w:rsid w:val="0005296C"/>
    <w:rsid w:val="000B545F"/>
    <w:rsid w:val="000B7CA7"/>
    <w:rsid w:val="000D75BF"/>
    <w:rsid w:val="00114CB7"/>
    <w:rsid w:val="00125286"/>
    <w:rsid w:val="00137294"/>
    <w:rsid w:val="001A0135"/>
    <w:rsid w:val="001B1D03"/>
    <w:rsid w:val="001C2C03"/>
    <w:rsid w:val="001D242E"/>
    <w:rsid w:val="00212BFA"/>
    <w:rsid w:val="002674E1"/>
    <w:rsid w:val="002D6C95"/>
    <w:rsid w:val="00355F25"/>
    <w:rsid w:val="003A60E8"/>
    <w:rsid w:val="003B794D"/>
    <w:rsid w:val="00414151"/>
    <w:rsid w:val="004F12C2"/>
    <w:rsid w:val="00537E5E"/>
    <w:rsid w:val="0055233B"/>
    <w:rsid w:val="00573597"/>
    <w:rsid w:val="005B7B63"/>
    <w:rsid w:val="005E72FE"/>
    <w:rsid w:val="005F39D3"/>
    <w:rsid w:val="0067533C"/>
    <w:rsid w:val="00684EAC"/>
    <w:rsid w:val="00693AEC"/>
    <w:rsid w:val="006A086C"/>
    <w:rsid w:val="006A67AE"/>
    <w:rsid w:val="007178FE"/>
    <w:rsid w:val="007559F4"/>
    <w:rsid w:val="00771820"/>
    <w:rsid w:val="007803E1"/>
    <w:rsid w:val="00782A7B"/>
    <w:rsid w:val="007B6B1B"/>
    <w:rsid w:val="007E0800"/>
    <w:rsid w:val="007F1D8B"/>
    <w:rsid w:val="00814434"/>
    <w:rsid w:val="00820F32"/>
    <w:rsid w:val="00827A07"/>
    <w:rsid w:val="00867CDE"/>
    <w:rsid w:val="008851A6"/>
    <w:rsid w:val="008A48EB"/>
    <w:rsid w:val="008D1B60"/>
    <w:rsid w:val="008D45B4"/>
    <w:rsid w:val="008E60A8"/>
    <w:rsid w:val="008F1AEA"/>
    <w:rsid w:val="0090608E"/>
    <w:rsid w:val="0097055E"/>
    <w:rsid w:val="009916C1"/>
    <w:rsid w:val="009A3F42"/>
    <w:rsid w:val="009C459A"/>
    <w:rsid w:val="00A571DE"/>
    <w:rsid w:val="00A61817"/>
    <w:rsid w:val="00A7194E"/>
    <w:rsid w:val="00A918ED"/>
    <w:rsid w:val="00AC085C"/>
    <w:rsid w:val="00AE3739"/>
    <w:rsid w:val="00B4618A"/>
    <w:rsid w:val="00C06104"/>
    <w:rsid w:val="00C16B89"/>
    <w:rsid w:val="00C37AD8"/>
    <w:rsid w:val="00C9532A"/>
    <w:rsid w:val="00C971AC"/>
    <w:rsid w:val="00CA1CE6"/>
    <w:rsid w:val="00CB222F"/>
    <w:rsid w:val="00CD5774"/>
    <w:rsid w:val="00CF50D0"/>
    <w:rsid w:val="00D027C2"/>
    <w:rsid w:val="00D26876"/>
    <w:rsid w:val="00D34DA4"/>
    <w:rsid w:val="00D66B09"/>
    <w:rsid w:val="00DC748C"/>
    <w:rsid w:val="00E10D60"/>
    <w:rsid w:val="00E34015"/>
    <w:rsid w:val="00E8025B"/>
    <w:rsid w:val="00E92D00"/>
    <w:rsid w:val="00EA6B3E"/>
    <w:rsid w:val="00EA7484"/>
    <w:rsid w:val="00EF55F5"/>
    <w:rsid w:val="00F27968"/>
    <w:rsid w:val="00F41514"/>
    <w:rsid w:val="00FA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1965B-C1EB-4C22-9E1C-4A243D68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6C"/>
    <w:pPr>
      <w:spacing w:before="120" w:after="120" w:line="360" w:lineRule="auto"/>
      <w:jc w:val="both"/>
    </w:pPr>
    <w:rPr>
      <w:rFonts w:ascii="Calibri" w:eastAsia="Calibri" w:hAnsi="Calibri" w:cs="Times New Roman"/>
      <w:lang w:val="pt-PT"/>
    </w:rPr>
  </w:style>
  <w:style w:type="paragraph" w:styleId="Ttulo1">
    <w:name w:val="heading 1"/>
    <w:basedOn w:val="Normal"/>
    <w:next w:val="Normal"/>
    <w:link w:val="Ttulo1Car"/>
    <w:uiPriority w:val="9"/>
    <w:qFormat/>
    <w:rsid w:val="006A08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086C"/>
    <w:rPr>
      <w:rFonts w:asciiTheme="majorHAnsi" w:eastAsiaTheme="majorEastAsia" w:hAnsiTheme="majorHAnsi" w:cstheme="majorBidi"/>
      <w:b/>
      <w:bCs/>
      <w:color w:val="2E74B5" w:themeColor="accent1" w:themeShade="BF"/>
      <w:sz w:val="28"/>
      <w:szCs w:val="28"/>
      <w:lang w:val="pt-PT"/>
    </w:rPr>
  </w:style>
  <w:style w:type="character" w:styleId="Hipervnculo">
    <w:name w:val="Hyperlink"/>
    <w:basedOn w:val="Fuentedeprrafopredeter"/>
    <w:uiPriority w:val="99"/>
    <w:unhideWhenUsed/>
    <w:rsid w:val="006A086C"/>
    <w:rPr>
      <w:color w:val="0563C1" w:themeColor="hyperlink"/>
      <w:u w:val="single"/>
    </w:rPr>
  </w:style>
  <w:style w:type="paragraph" w:styleId="NormalWeb">
    <w:name w:val="Normal (Web)"/>
    <w:basedOn w:val="Normal"/>
    <w:uiPriority w:val="99"/>
    <w:unhideWhenUsed/>
    <w:rsid w:val="006A086C"/>
    <w:pPr>
      <w:spacing w:before="100" w:beforeAutospacing="1" w:after="100" w:afterAutospacing="1" w:line="240" w:lineRule="auto"/>
    </w:pPr>
    <w:rPr>
      <w:rFonts w:ascii="Times" w:eastAsiaTheme="minorHAnsi" w:hAnsi="Times"/>
      <w:sz w:val="20"/>
      <w:szCs w:val="20"/>
    </w:rPr>
  </w:style>
  <w:style w:type="paragraph" w:styleId="Textonotapie">
    <w:name w:val="footnote text"/>
    <w:basedOn w:val="Normal"/>
    <w:link w:val="TextonotapieCar"/>
    <w:uiPriority w:val="99"/>
    <w:unhideWhenUsed/>
    <w:rsid w:val="006A086C"/>
    <w:pPr>
      <w:spacing w:before="0" w:after="0" w:line="240" w:lineRule="auto"/>
    </w:pPr>
    <w:rPr>
      <w:rFonts w:ascii="Times New Roman" w:hAnsi="Times New Roman"/>
      <w:sz w:val="16"/>
      <w:szCs w:val="20"/>
    </w:rPr>
  </w:style>
  <w:style w:type="character" w:customStyle="1" w:styleId="TextonotapieCar">
    <w:name w:val="Texto nota pie Car"/>
    <w:basedOn w:val="Fuentedeprrafopredeter"/>
    <w:link w:val="Textonotapie"/>
    <w:uiPriority w:val="99"/>
    <w:rsid w:val="006A086C"/>
    <w:rPr>
      <w:rFonts w:ascii="Times New Roman" w:eastAsia="Calibri" w:hAnsi="Times New Roman" w:cs="Times New Roman"/>
      <w:sz w:val="16"/>
      <w:szCs w:val="20"/>
      <w:lang w:val="pt-PT"/>
    </w:rPr>
  </w:style>
  <w:style w:type="character" w:styleId="Refdenotaalpie">
    <w:name w:val="footnote reference"/>
    <w:basedOn w:val="Fuentedeprrafopredeter"/>
    <w:uiPriority w:val="99"/>
    <w:semiHidden/>
    <w:unhideWhenUsed/>
    <w:rsid w:val="006A086C"/>
    <w:rPr>
      <w:vertAlign w:val="superscript"/>
    </w:rPr>
  </w:style>
  <w:style w:type="character" w:customStyle="1" w:styleId="hps">
    <w:name w:val="hps"/>
    <w:basedOn w:val="Fuentedeprrafopredeter"/>
    <w:rsid w:val="006A086C"/>
  </w:style>
  <w:style w:type="paragraph" w:customStyle="1" w:styleId="lisbonparagraph">
    <w:name w:val="lisbon_paragraph"/>
    <w:basedOn w:val="Normal"/>
    <w:rsid w:val="006A086C"/>
    <w:pPr>
      <w:spacing w:before="0" w:after="60" w:line="240" w:lineRule="auto"/>
    </w:pPr>
    <w:rPr>
      <w:rFonts w:ascii="Times New Roman" w:eastAsia="Times New Roman" w:hAnsi="Times New Roman"/>
      <w:sz w:val="20"/>
      <w:szCs w:val="20"/>
      <w:lang w:eastAsia="pt-PT"/>
    </w:rPr>
  </w:style>
  <w:style w:type="paragraph" w:customStyle="1" w:styleId="Authoraddress">
    <w:name w:val="Author address"/>
    <w:basedOn w:val="Normal"/>
    <w:next w:val="Normal"/>
    <w:rsid w:val="006A086C"/>
    <w:pPr>
      <w:suppressAutoHyphens/>
      <w:spacing w:before="0" w:after="0" w:line="220" w:lineRule="atLeast"/>
    </w:pPr>
    <w:rPr>
      <w:rFonts w:ascii="Arial" w:eastAsia="Times New Roman" w:hAnsi="Arial"/>
      <w:bCs/>
      <w:sz w:val="18"/>
      <w:szCs w:val="24"/>
      <w:lang w:val="en-GB"/>
    </w:rPr>
  </w:style>
  <w:style w:type="paragraph" w:styleId="Bibliografa">
    <w:name w:val="Bibliography"/>
    <w:basedOn w:val="Normal"/>
    <w:next w:val="Normal"/>
    <w:uiPriority w:val="37"/>
    <w:unhideWhenUsed/>
    <w:rsid w:val="006A086C"/>
    <w:pPr>
      <w:spacing w:before="0" w:after="160" w:line="259" w:lineRule="auto"/>
      <w:ind w:left="1077" w:hanging="357"/>
      <w:jc w:val="left"/>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7E080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800"/>
    <w:rPr>
      <w:rFonts w:ascii="Segoe UI" w:eastAsia="Calibri" w:hAnsi="Segoe UI" w:cs="Segoe UI"/>
      <w:sz w:val="18"/>
      <w:szCs w:val="18"/>
      <w:lang w:val="pt-PT"/>
    </w:rPr>
  </w:style>
  <w:style w:type="paragraph" w:styleId="Subttulo">
    <w:name w:val="Subtitle"/>
    <w:basedOn w:val="Normal"/>
    <w:next w:val="Normal"/>
    <w:link w:val="SubttuloCar"/>
    <w:uiPriority w:val="11"/>
    <w:qFormat/>
    <w:rsid w:val="007F1D8B"/>
    <w:pPr>
      <w:spacing w:before="0" w:after="160" w:line="256" w:lineRule="auto"/>
      <w:jc w:val="left"/>
    </w:pPr>
    <w:rPr>
      <w:rFonts w:asciiTheme="minorHAnsi" w:eastAsiaTheme="minorEastAsia" w:hAnsiTheme="minorHAnsi" w:cstheme="minorBidi"/>
      <w:color w:val="5A5A5A" w:themeColor="text1" w:themeTint="A5"/>
      <w:spacing w:val="15"/>
      <w:lang w:val="es-ES"/>
    </w:rPr>
  </w:style>
  <w:style w:type="character" w:customStyle="1" w:styleId="SubttuloCar">
    <w:name w:val="Subtítulo Car"/>
    <w:basedOn w:val="Fuentedeprrafopredeter"/>
    <w:link w:val="Subttulo"/>
    <w:uiPriority w:val="11"/>
    <w:rsid w:val="007F1D8B"/>
    <w:rPr>
      <w:rFonts w:eastAsiaTheme="minorEastAsia"/>
      <w:color w:val="5A5A5A" w:themeColor="text1" w:themeTint="A5"/>
      <w:spacing w:val="15"/>
      <w:lang w:val="es-ES"/>
    </w:rPr>
  </w:style>
  <w:style w:type="paragraph" w:styleId="Descripcin">
    <w:name w:val="caption"/>
    <w:basedOn w:val="Normal"/>
    <w:next w:val="Normal"/>
    <w:semiHidden/>
    <w:unhideWhenUsed/>
    <w:qFormat/>
    <w:rsid w:val="00771820"/>
    <w:pPr>
      <w:spacing w:before="0" w:after="0" w:line="240" w:lineRule="auto"/>
    </w:pPr>
    <w:rPr>
      <w:rFonts w:eastAsia="Times New Roman"/>
      <w:b/>
      <w:bCs/>
      <w:sz w:val="20"/>
      <w:szCs w:val="20"/>
      <w:lang w:val="es-ES" w:eastAsia="es-ES"/>
    </w:rPr>
  </w:style>
  <w:style w:type="paragraph" w:styleId="Prrafodelista">
    <w:name w:val="List Paragraph"/>
    <w:basedOn w:val="Normal"/>
    <w:uiPriority w:val="34"/>
    <w:qFormat/>
    <w:rsid w:val="00771820"/>
    <w:pPr>
      <w:spacing w:before="0" w:after="160" w:line="256" w:lineRule="auto"/>
      <w:ind w:left="720"/>
      <w:contextualSpacing/>
      <w:jc w:val="left"/>
    </w:pPr>
    <w:rPr>
      <w:rFonts w:asciiTheme="minorHAnsi" w:eastAsiaTheme="minorHAnsi" w:hAnsiTheme="minorHAnsi" w:cstheme="minorBid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443">
      <w:bodyDiv w:val="1"/>
      <w:marLeft w:val="0"/>
      <w:marRight w:val="0"/>
      <w:marTop w:val="0"/>
      <w:marBottom w:val="0"/>
      <w:divBdr>
        <w:top w:val="none" w:sz="0" w:space="0" w:color="auto"/>
        <w:left w:val="none" w:sz="0" w:space="0" w:color="auto"/>
        <w:bottom w:val="none" w:sz="0" w:space="0" w:color="auto"/>
        <w:right w:val="none" w:sz="0" w:space="0" w:color="auto"/>
      </w:divBdr>
    </w:div>
    <w:div w:id="51853488">
      <w:bodyDiv w:val="1"/>
      <w:marLeft w:val="0"/>
      <w:marRight w:val="0"/>
      <w:marTop w:val="0"/>
      <w:marBottom w:val="0"/>
      <w:divBdr>
        <w:top w:val="none" w:sz="0" w:space="0" w:color="auto"/>
        <w:left w:val="none" w:sz="0" w:space="0" w:color="auto"/>
        <w:bottom w:val="none" w:sz="0" w:space="0" w:color="auto"/>
        <w:right w:val="none" w:sz="0" w:space="0" w:color="auto"/>
      </w:divBdr>
    </w:div>
    <w:div w:id="86467812">
      <w:bodyDiv w:val="1"/>
      <w:marLeft w:val="0"/>
      <w:marRight w:val="0"/>
      <w:marTop w:val="0"/>
      <w:marBottom w:val="0"/>
      <w:divBdr>
        <w:top w:val="none" w:sz="0" w:space="0" w:color="auto"/>
        <w:left w:val="none" w:sz="0" w:space="0" w:color="auto"/>
        <w:bottom w:val="none" w:sz="0" w:space="0" w:color="auto"/>
        <w:right w:val="none" w:sz="0" w:space="0" w:color="auto"/>
      </w:divBdr>
    </w:div>
    <w:div w:id="331496269">
      <w:bodyDiv w:val="1"/>
      <w:marLeft w:val="0"/>
      <w:marRight w:val="0"/>
      <w:marTop w:val="0"/>
      <w:marBottom w:val="0"/>
      <w:divBdr>
        <w:top w:val="none" w:sz="0" w:space="0" w:color="auto"/>
        <w:left w:val="none" w:sz="0" w:space="0" w:color="auto"/>
        <w:bottom w:val="none" w:sz="0" w:space="0" w:color="auto"/>
        <w:right w:val="none" w:sz="0" w:space="0" w:color="auto"/>
      </w:divBdr>
    </w:div>
    <w:div w:id="474181598">
      <w:bodyDiv w:val="1"/>
      <w:marLeft w:val="0"/>
      <w:marRight w:val="0"/>
      <w:marTop w:val="0"/>
      <w:marBottom w:val="0"/>
      <w:divBdr>
        <w:top w:val="none" w:sz="0" w:space="0" w:color="auto"/>
        <w:left w:val="none" w:sz="0" w:space="0" w:color="auto"/>
        <w:bottom w:val="none" w:sz="0" w:space="0" w:color="auto"/>
        <w:right w:val="none" w:sz="0" w:space="0" w:color="auto"/>
      </w:divBdr>
    </w:div>
    <w:div w:id="477311380">
      <w:bodyDiv w:val="1"/>
      <w:marLeft w:val="0"/>
      <w:marRight w:val="0"/>
      <w:marTop w:val="0"/>
      <w:marBottom w:val="0"/>
      <w:divBdr>
        <w:top w:val="none" w:sz="0" w:space="0" w:color="auto"/>
        <w:left w:val="none" w:sz="0" w:space="0" w:color="auto"/>
        <w:bottom w:val="none" w:sz="0" w:space="0" w:color="auto"/>
        <w:right w:val="none" w:sz="0" w:space="0" w:color="auto"/>
      </w:divBdr>
    </w:div>
    <w:div w:id="489635075">
      <w:bodyDiv w:val="1"/>
      <w:marLeft w:val="0"/>
      <w:marRight w:val="0"/>
      <w:marTop w:val="0"/>
      <w:marBottom w:val="0"/>
      <w:divBdr>
        <w:top w:val="none" w:sz="0" w:space="0" w:color="auto"/>
        <w:left w:val="none" w:sz="0" w:space="0" w:color="auto"/>
        <w:bottom w:val="none" w:sz="0" w:space="0" w:color="auto"/>
        <w:right w:val="none" w:sz="0" w:space="0" w:color="auto"/>
      </w:divBdr>
    </w:div>
    <w:div w:id="665941282">
      <w:bodyDiv w:val="1"/>
      <w:marLeft w:val="0"/>
      <w:marRight w:val="0"/>
      <w:marTop w:val="0"/>
      <w:marBottom w:val="0"/>
      <w:divBdr>
        <w:top w:val="none" w:sz="0" w:space="0" w:color="auto"/>
        <w:left w:val="none" w:sz="0" w:space="0" w:color="auto"/>
        <w:bottom w:val="none" w:sz="0" w:space="0" w:color="auto"/>
        <w:right w:val="none" w:sz="0" w:space="0" w:color="auto"/>
      </w:divBdr>
      <w:divsChild>
        <w:div w:id="525406834">
          <w:marLeft w:val="0"/>
          <w:marRight w:val="0"/>
          <w:marTop w:val="0"/>
          <w:marBottom w:val="0"/>
          <w:divBdr>
            <w:top w:val="none" w:sz="0" w:space="0" w:color="auto"/>
            <w:left w:val="none" w:sz="0" w:space="0" w:color="auto"/>
            <w:bottom w:val="none" w:sz="0" w:space="0" w:color="auto"/>
            <w:right w:val="none" w:sz="0" w:space="0" w:color="auto"/>
          </w:divBdr>
          <w:divsChild>
            <w:div w:id="694381293">
              <w:marLeft w:val="0"/>
              <w:marRight w:val="0"/>
              <w:marTop w:val="0"/>
              <w:marBottom w:val="0"/>
              <w:divBdr>
                <w:top w:val="none" w:sz="0" w:space="0" w:color="auto"/>
                <w:left w:val="none" w:sz="0" w:space="0" w:color="auto"/>
                <w:bottom w:val="none" w:sz="0" w:space="0" w:color="auto"/>
                <w:right w:val="none" w:sz="0" w:space="0" w:color="auto"/>
              </w:divBdr>
              <w:divsChild>
                <w:div w:id="2043245427">
                  <w:marLeft w:val="0"/>
                  <w:marRight w:val="0"/>
                  <w:marTop w:val="0"/>
                  <w:marBottom w:val="0"/>
                  <w:divBdr>
                    <w:top w:val="none" w:sz="0" w:space="0" w:color="auto"/>
                    <w:left w:val="none" w:sz="0" w:space="0" w:color="auto"/>
                    <w:bottom w:val="none" w:sz="0" w:space="0" w:color="auto"/>
                    <w:right w:val="none" w:sz="0" w:space="0" w:color="auto"/>
                  </w:divBdr>
                  <w:divsChild>
                    <w:div w:id="1758819259">
                      <w:marLeft w:val="0"/>
                      <w:marRight w:val="0"/>
                      <w:marTop w:val="0"/>
                      <w:marBottom w:val="0"/>
                      <w:divBdr>
                        <w:top w:val="none" w:sz="0" w:space="0" w:color="auto"/>
                        <w:left w:val="none" w:sz="0" w:space="0" w:color="auto"/>
                        <w:bottom w:val="none" w:sz="0" w:space="0" w:color="auto"/>
                        <w:right w:val="none" w:sz="0" w:space="0" w:color="auto"/>
                      </w:divBdr>
                      <w:divsChild>
                        <w:div w:id="1217012858">
                          <w:marLeft w:val="0"/>
                          <w:marRight w:val="0"/>
                          <w:marTop w:val="0"/>
                          <w:marBottom w:val="0"/>
                          <w:divBdr>
                            <w:top w:val="none" w:sz="0" w:space="0" w:color="auto"/>
                            <w:left w:val="none" w:sz="0" w:space="0" w:color="auto"/>
                            <w:bottom w:val="none" w:sz="0" w:space="0" w:color="auto"/>
                            <w:right w:val="none" w:sz="0" w:space="0" w:color="auto"/>
                          </w:divBdr>
                          <w:divsChild>
                            <w:div w:id="524249648">
                              <w:marLeft w:val="0"/>
                              <w:marRight w:val="300"/>
                              <w:marTop w:val="180"/>
                              <w:marBottom w:val="0"/>
                              <w:divBdr>
                                <w:top w:val="none" w:sz="0" w:space="0" w:color="auto"/>
                                <w:left w:val="none" w:sz="0" w:space="0" w:color="auto"/>
                                <w:bottom w:val="none" w:sz="0" w:space="0" w:color="auto"/>
                                <w:right w:val="none" w:sz="0" w:space="0" w:color="auto"/>
                              </w:divBdr>
                              <w:divsChild>
                                <w:div w:id="12041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400470">
          <w:marLeft w:val="0"/>
          <w:marRight w:val="0"/>
          <w:marTop w:val="0"/>
          <w:marBottom w:val="0"/>
          <w:divBdr>
            <w:top w:val="none" w:sz="0" w:space="0" w:color="auto"/>
            <w:left w:val="none" w:sz="0" w:space="0" w:color="auto"/>
            <w:bottom w:val="none" w:sz="0" w:space="0" w:color="auto"/>
            <w:right w:val="none" w:sz="0" w:space="0" w:color="auto"/>
          </w:divBdr>
          <w:divsChild>
            <w:div w:id="1446384676">
              <w:marLeft w:val="0"/>
              <w:marRight w:val="0"/>
              <w:marTop w:val="0"/>
              <w:marBottom w:val="0"/>
              <w:divBdr>
                <w:top w:val="none" w:sz="0" w:space="0" w:color="auto"/>
                <w:left w:val="none" w:sz="0" w:space="0" w:color="auto"/>
                <w:bottom w:val="none" w:sz="0" w:space="0" w:color="auto"/>
                <w:right w:val="none" w:sz="0" w:space="0" w:color="auto"/>
              </w:divBdr>
              <w:divsChild>
                <w:div w:id="589780947">
                  <w:marLeft w:val="0"/>
                  <w:marRight w:val="0"/>
                  <w:marTop w:val="0"/>
                  <w:marBottom w:val="0"/>
                  <w:divBdr>
                    <w:top w:val="none" w:sz="0" w:space="0" w:color="auto"/>
                    <w:left w:val="none" w:sz="0" w:space="0" w:color="auto"/>
                    <w:bottom w:val="none" w:sz="0" w:space="0" w:color="auto"/>
                    <w:right w:val="none" w:sz="0" w:space="0" w:color="auto"/>
                  </w:divBdr>
                  <w:divsChild>
                    <w:div w:id="41760386">
                      <w:marLeft w:val="0"/>
                      <w:marRight w:val="0"/>
                      <w:marTop w:val="0"/>
                      <w:marBottom w:val="0"/>
                      <w:divBdr>
                        <w:top w:val="none" w:sz="0" w:space="0" w:color="auto"/>
                        <w:left w:val="none" w:sz="0" w:space="0" w:color="auto"/>
                        <w:bottom w:val="none" w:sz="0" w:space="0" w:color="auto"/>
                        <w:right w:val="none" w:sz="0" w:space="0" w:color="auto"/>
                      </w:divBdr>
                      <w:divsChild>
                        <w:div w:id="9594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49304">
      <w:bodyDiv w:val="1"/>
      <w:marLeft w:val="0"/>
      <w:marRight w:val="0"/>
      <w:marTop w:val="0"/>
      <w:marBottom w:val="0"/>
      <w:divBdr>
        <w:top w:val="none" w:sz="0" w:space="0" w:color="auto"/>
        <w:left w:val="none" w:sz="0" w:space="0" w:color="auto"/>
        <w:bottom w:val="none" w:sz="0" w:space="0" w:color="auto"/>
        <w:right w:val="none" w:sz="0" w:space="0" w:color="auto"/>
      </w:divBdr>
    </w:div>
    <w:div w:id="795563345">
      <w:bodyDiv w:val="1"/>
      <w:marLeft w:val="0"/>
      <w:marRight w:val="0"/>
      <w:marTop w:val="0"/>
      <w:marBottom w:val="0"/>
      <w:divBdr>
        <w:top w:val="none" w:sz="0" w:space="0" w:color="auto"/>
        <w:left w:val="none" w:sz="0" w:space="0" w:color="auto"/>
        <w:bottom w:val="none" w:sz="0" w:space="0" w:color="auto"/>
        <w:right w:val="none" w:sz="0" w:space="0" w:color="auto"/>
      </w:divBdr>
    </w:div>
    <w:div w:id="1033765870">
      <w:bodyDiv w:val="1"/>
      <w:marLeft w:val="0"/>
      <w:marRight w:val="0"/>
      <w:marTop w:val="0"/>
      <w:marBottom w:val="0"/>
      <w:divBdr>
        <w:top w:val="none" w:sz="0" w:space="0" w:color="auto"/>
        <w:left w:val="none" w:sz="0" w:space="0" w:color="auto"/>
        <w:bottom w:val="none" w:sz="0" w:space="0" w:color="auto"/>
        <w:right w:val="none" w:sz="0" w:space="0" w:color="auto"/>
      </w:divBdr>
    </w:div>
    <w:div w:id="1267270170">
      <w:bodyDiv w:val="1"/>
      <w:marLeft w:val="0"/>
      <w:marRight w:val="0"/>
      <w:marTop w:val="0"/>
      <w:marBottom w:val="0"/>
      <w:divBdr>
        <w:top w:val="none" w:sz="0" w:space="0" w:color="auto"/>
        <w:left w:val="none" w:sz="0" w:space="0" w:color="auto"/>
        <w:bottom w:val="none" w:sz="0" w:space="0" w:color="auto"/>
        <w:right w:val="none" w:sz="0" w:space="0" w:color="auto"/>
      </w:divBdr>
    </w:div>
    <w:div w:id="17380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arrasco@uma.es" TargetMode="External"/><Relationship Id="rId13" Type="http://schemas.openxmlformats.org/officeDocument/2006/relationships/image" Target="media/image5.png"/><Relationship Id="rId18" Type="http://schemas.openxmlformats.org/officeDocument/2006/relationships/hyperlink" Target="http://goo.gl/BWex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igibug.ugr.es/handle/10481/7081" TargetMode="External"/><Relationship Id="rId2" Type="http://schemas.openxmlformats.org/officeDocument/2006/relationships/numbering" Target="numbering.xml"/><Relationship Id="rId16" Type="http://schemas.openxmlformats.org/officeDocument/2006/relationships/hyperlink" Target="https://link.springer.com/journal/40277/2/2/pag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nk.springer.com/journal/40277" TargetMode="External"/><Relationship Id="rId10" Type="http://schemas.openxmlformats.org/officeDocument/2006/relationships/image" Target="media/image2.png"/><Relationship Id="rId19" Type="http://schemas.openxmlformats.org/officeDocument/2006/relationships/hyperlink" Target="http://goo.gl/DYWY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3F08-CE06-4B6C-AC24-39C4A407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6325</Words>
  <Characters>34791</Characters>
  <Application>Microsoft Office Word</Application>
  <DocSecurity>0</DocSecurity>
  <Lines>289</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JLE2020</dc:creator>
  <cp:keywords>JLE2020</cp:keywords>
  <dc:description/>
  <cp:lastModifiedBy>USUARIO</cp:lastModifiedBy>
  <cp:revision>11</cp:revision>
  <dcterms:created xsi:type="dcterms:W3CDTF">2019-11-04T10:55:00Z</dcterms:created>
  <dcterms:modified xsi:type="dcterms:W3CDTF">2019-11-04T12:29:00Z</dcterms:modified>
</cp:coreProperties>
</file>