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8A37" w14:textId="5BD3F4F7" w:rsidR="00F8527F" w:rsidRPr="00FB5C9F" w:rsidRDefault="006A3F40" w:rsidP="00F8527F">
      <w:pPr>
        <w:rPr>
          <w:sz w:val="48"/>
          <w:szCs w:val="48"/>
        </w:rPr>
      </w:pPr>
      <w:r>
        <w:rPr>
          <w:sz w:val="48"/>
          <w:szCs w:val="48"/>
        </w:rPr>
        <w:t>Bricked subwavelength structures: a flexible metamaterial topology</w:t>
      </w:r>
    </w:p>
    <w:p w14:paraId="033041C4" w14:textId="77777777" w:rsidR="00F8527F" w:rsidRPr="005B520E" w:rsidRDefault="00F8527F" w:rsidP="00F8527F">
      <w:pPr>
        <w:pStyle w:val="Author"/>
        <w:sectPr w:rsidR="00F8527F" w:rsidRPr="005B520E">
          <w:pgSz w:w="12240" w:h="15840" w:code="1"/>
          <w:pgMar w:top="1080" w:right="893" w:bottom="1440" w:left="893" w:header="720" w:footer="720" w:gutter="0"/>
          <w:cols w:space="720"/>
          <w:docGrid w:linePitch="360"/>
        </w:sectPr>
      </w:pPr>
    </w:p>
    <w:p w14:paraId="6D57B153" w14:textId="77777777" w:rsidR="00F8527F" w:rsidRPr="007E6300" w:rsidRDefault="00F8527F" w:rsidP="00F8527F">
      <w:pPr>
        <w:pStyle w:val="Affiliation"/>
        <w:rPr>
          <w:sz w:val="18"/>
          <w:szCs w:val="18"/>
          <w:lang w:val="es-ES"/>
        </w:rPr>
      </w:pPr>
      <w:r w:rsidRPr="007E6300">
        <w:rPr>
          <w:lang w:val="es-ES"/>
        </w:rPr>
        <w:t xml:space="preserve">J.M. Luque-González*, A. Ortega-Moñux, R. Halir, Í. Molina-Fernández, J.G. Wangüemert-Pérez, </w:t>
      </w:r>
    </w:p>
    <w:p w14:paraId="583AB50A" w14:textId="77777777" w:rsidR="00F8527F" w:rsidRDefault="00F8527F" w:rsidP="00F8527F">
      <w:pPr>
        <w:pStyle w:val="Affiliation"/>
        <w:rPr>
          <w:sz w:val="18"/>
          <w:szCs w:val="18"/>
          <w:lang w:val="es-ES"/>
        </w:rPr>
      </w:pPr>
      <w:r w:rsidRPr="00254AD5">
        <w:rPr>
          <w:sz w:val="18"/>
          <w:szCs w:val="18"/>
          <w:lang w:val="es-ES"/>
        </w:rPr>
        <w:t>ETSI Telecomunicación, Universidad de Málaga, Spain</w:t>
      </w:r>
    </w:p>
    <w:p w14:paraId="5F402329" w14:textId="77777777" w:rsidR="00F8527F" w:rsidRPr="007E6300" w:rsidRDefault="00F8527F" w:rsidP="00F8527F">
      <w:pPr>
        <w:pStyle w:val="Affiliation"/>
        <w:rPr>
          <w:sz w:val="18"/>
          <w:szCs w:val="18"/>
        </w:rPr>
      </w:pPr>
      <w:r w:rsidRPr="007E6300">
        <w:rPr>
          <w:sz w:val="18"/>
          <w:szCs w:val="18"/>
        </w:rPr>
        <w:t>*jmlg@ic.uma.es</w:t>
      </w:r>
    </w:p>
    <w:p w14:paraId="3A91D6A1" w14:textId="77777777" w:rsidR="00F8527F" w:rsidRPr="00254AD5" w:rsidRDefault="00F8527F" w:rsidP="00F8527F">
      <w:pPr>
        <w:pStyle w:val="Affiliation"/>
      </w:pPr>
      <w:r w:rsidRPr="00254AD5">
        <w:t>Pavel Cheben, Jens H. Schmid</w:t>
      </w:r>
    </w:p>
    <w:p w14:paraId="07E3A633" w14:textId="77777777" w:rsidR="00F8527F" w:rsidRDefault="00F8527F" w:rsidP="00F8527F">
      <w:pPr>
        <w:pStyle w:val="Affiliation"/>
      </w:pPr>
      <w:r>
        <w:t>Information and Communications Technologies</w:t>
      </w:r>
    </w:p>
    <w:p w14:paraId="436B9F7C" w14:textId="77777777" w:rsidR="00F8527F" w:rsidRPr="00254AD5" w:rsidRDefault="00F8527F" w:rsidP="00F8527F">
      <w:pPr>
        <w:pStyle w:val="Affiliation"/>
        <w:rPr>
          <w:sz w:val="18"/>
          <w:szCs w:val="18"/>
        </w:rPr>
        <w:sectPr w:rsidR="00F8527F" w:rsidRPr="00254AD5">
          <w:type w:val="continuous"/>
          <w:pgSz w:w="12240" w:h="15840" w:code="1"/>
          <w:pgMar w:top="1080" w:right="893" w:bottom="1440" w:left="893" w:header="720" w:footer="720" w:gutter="0"/>
          <w:cols w:num="2" w:space="720" w:equalWidth="0">
            <w:col w:w="4701" w:space="720"/>
            <w:col w:w="4701"/>
          </w:cols>
          <w:docGrid w:linePitch="360"/>
        </w:sectPr>
      </w:pPr>
      <w:r w:rsidRPr="00254AD5">
        <w:rPr>
          <w:sz w:val="18"/>
          <w:szCs w:val="18"/>
        </w:rPr>
        <w:t>National Research Council Canada, Ottawa, Canada</w:t>
      </w:r>
    </w:p>
    <w:p w14:paraId="12D2314A" w14:textId="77777777" w:rsidR="00F8527F" w:rsidRPr="00457687" w:rsidRDefault="00F8527F" w:rsidP="00F8527F"/>
    <w:p w14:paraId="24B9A42C" w14:textId="77777777" w:rsidR="00F8527F" w:rsidRPr="00457687" w:rsidRDefault="00F8527F" w:rsidP="00F8527F">
      <w:pPr>
        <w:sectPr w:rsidR="00F8527F" w:rsidRPr="00457687">
          <w:type w:val="continuous"/>
          <w:pgSz w:w="12240" w:h="15840" w:code="1"/>
          <w:pgMar w:top="1080" w:right="893" w:bottom="1440" w:left="893" w:header="720" w:footer="720" w:gutter="0"/>
          <w:cols w:space="720"/>
          <w:docGrid w:linePitch="360"/>
        </w:sectPr>
      </w:pPr>
    </w:p>
    <w:p w14:paraId="00DBFFFC" w14:textId="4C138DD0" w:rsidR="00F8527F" w:rsidRDefault="00F8527F" w:rsidP="00F8527F">
      <w:pPr>
        <w:pStyle w:val="Abstract"/>
        <w:rPr>
          <w:i/>
          <w:iCs/>
        </w:rPr>
      </w:pPr>
      <w:r>
        <w:rPr>
          <w:i/>
          <w:iCs/>
        </w:rPr>
        <w:t>Abstract</w:t>
      </w:r>
      <w:r>
        <w:t>—S</w:t>
      </w:r>
      <w:r w:rsidRPr="003739F5">
        <w:t>ubwavelength grating</w:t>
      </w:r>
      <w:r>
        <w:t>s</w:t>
      </w:r>
      <w:r w:rsidRPr="003739F5">
        <w:t xml:space="preserve"> </w:t>
      </w:r>
      <w:r>
        <w:t>(SWG) are periodic</w:t>
      </w:r>
      <w:r w:rsidRPr="003739F5">
        <w:t xml:space="preserve"> </w:t>
      </w:r>
      <w:r>
        <w:t>structure</w:t>
      </w:r>
      <w:r w:rsidR="00BF39A9">
        <w:t>s</w:t>
      </w:r>
      <w:r>
        <w:t xml:space="preserve"> </w:t>
      </w:r>
      <w:r w:rsidR="001E1AC4">
        <w:t>that</w:t>
      </w:r>
      <w:r>
        <w:t xml:space="preserve"> synthesize lithography tailorable</w:t>
      </w:r>
      <w:r w:rsidRPr="003739F5">
        <w:t xml:space="preserve"> </w:t>
      </w:r>
      <w:r>
        <w:t xml:space="preserve">metamaterials with desired permittivity, </w:t>
      </w:r>
      <w:r w:rsidR="00F919CA">
        <w:t>dispersion,</w:t>
      </w:r>
      <w:r>
        <w:t xml:space="preserve"> and anisotropy, enabling the design of a myriad of high-performance devices. Here we </w:t>
      </w:r>
      <w:r w:rsidR="001F1718">
        <w:t xml:space="preserve">present </w:t>
      </w:r>
      <w:r>
        <w:t xml:space="preserve">our latest </w:t>
      </w:r>
      <w:r w:rsidR="007E6300">
        <w:t xml:space="preserve">SWG </w:t>
      </w:r>
      <w:r w:rsidR="001E1AC4">
        <w:t xml:space="preserve">geometrical </w:t>
      </w:r>
      <w:r>
        <w:t xml:space="preserve">topology which not only provide more control over the synthesized material but also alleviate the required fabrication resolution to fabricate </w:t>
      </w:r>
      <w:r w:rsidR="001E1AC4">
        <w:t>SWG structures</w:t>
      </w:r>
      <w:r>
        <w:t>.</w:t>
      </w:r>
    </w:p>
    <w:p w14:paraId="12F80B6A" w14:textId="77777777" w:rsidR="00F8527F" w:rsidRPr="004D72B5" w:rsidRDefault="00F8527F" w:rsidP="00F8527F">
      <w:pPr>
        <w:pStyle w:val="Keywords"/>
      </w:pPr>
      <w:r w:rsidRPr="004D72B5">
        <w:t>Keywords—</w:t>
      </w:r>
      <w:r>
        <w:t>Silicon-on-Insulator</w:t>
      </w:r>
      <w:r w:rsidRPr="004D72B5">
        <w:t xml:space="preserve">; </w:t>
      </w:r>
      <w:r>
        <w:t>Subwavelength grating structures</w:t>
      </w:r>
      <w:r w:rsidRPr="004D72B5">
        <w:t xml:space="preserve">; </w:t>
      </w:r>
      <w:r>
        <w:t xml:space="preserve">dielectric metamaterial; Multimode interferometer </w:t>
      </w:r>
    </w:p>
    <w:p w14:paraId="50DAA312" w14:textId="25343AF5" w:rsidR="00F8527F" w:rsidRPr="00254AD5" w:rsidRDefault="00F8527F" w:rsidP="00F8527F">
      <w:pPr>
        <w:pStyle w:val="Textoindependiente"/>
        <w:spacing w:after="0"/>
        <w:rPr>
          <w:sz w:val="19"/>
          <w:szCs w:val="19"/>
          <w:lang w:val="en-CA"/>
        </w:rPr>
      </w:pPr>
      <w:r w:rsidRPr="00254AD5">
        <w:rPr>
          <w:sz w:val="19"/>
          <w:szCs w:val="19"/>
          <w:lang w:val="en-CA"/>
        </w:rPr>
        <w:t>Subwavelength grating (SWG) metamaterials are periodic structures arranged with a periodicit</w:t>
      </w:r>
      <w:r>
        <w:rPr>
          <w:sz w:val="19"/>
          <w:szCs w:val="19"/>
          <w:lang w:val="en-CA"/>
        </w:rPr>
        <w:t>y</w:t>
      </w:r>
      <w:r w:rsidRPr="00254AD5">
        <w:rPr>
          <w:sz w:val="19"/>
          <w:szCs w:val="19"/>
          <w:lang w:val="en-CA"/>
        </w:rPr>
        <w:t xml:space="preserve"> shorter than the wavelength of the propagating light. </w:t>
      </w:r>
      <w:r>
        <w:rPr>
          <w:sz w:val="19"/>
          <w:szCs w:val="19"/>
          <w:lang w:val="en-CA"/>
        </w:rPr>
        <w:t>Under that condition, SWG structures behave as anisotropic homogeneous structures, providing</w:t>
      </w:r>
      <w:r w:rsidRPr="00254AD5">
        <w:rPr>
          <w:sz w:val="19"/>
          <w:szCs w:val="19"/>
          <w:lang w:val="en-CA"/>
        </w:rPr>
        <w:t xml:space="preserve"> to the designers with the capability to implement a wide range of equivalent metamaterials with controllable permittivity, </w:t>
      </w:r>
      <w:r w:rsidR="00955DB7" w:rsidRPr="00254AD5">
        <w:rPr>
          <w:sz w:val="19"/>
          <w:szCs w:val="19"/>
          <w:lang w:val="en-CA"/>
        </w:rPr>
        <w:t>dispersion,</w:t>
      </w:r>
      <w:r w:rsidRPr="00254AD5">
        <w:rPr>
          <w:sz w:val="19"/>
          <w:szCs w:val="19"/>
          <w:lang w:val="en-CA"/>
        </w:rPr>
        <w:t xml:space="preserve"> and anisotropy [1]. The engineering of such optical properties has promoted a new paradigm in the field of silicon photonics, designing the optimum metamaterial for each device [2,3]. In this talk we present our latest topology to engineer the metamaterial properties: </w:t>
      </w:r>
      <w:bookmarkStart w:id="0" w:name="_Hlk66802375"/>
      <w:r w:rsidRPr="00254AD5">
        <w:rPr>
          <w:sz w:val="19"/>
          <w:szCs w:val="19"/>
          <w:lang w:val="en-CA"/>
        </w:rPr>
        <w:t>Bricked subwavelength grating structures</w:t>
      </w:r>
      <w:bookmarkEnd w:id="0"/>
      <w:r w:rsidRPr="00254AD5">
        <w:rPr>
          <w:sz w:val="19"/>
          <w:szCs w:val="19"/>
          <w:lang w:val="en-CA"/>
        </w:rPr>
        <w:t xml:space="preserve"> [4].</w:t>
      </w:r>
    </w:p>
    <w:p w14:paraId="6EAECC68" w14:textId="67B37C77" w:rsidR="00F8527F" w:rsidRPr="00254AD5" w:rsidRDefault="00F8527F" w:rsidP="00F8527F">
      <w:pPr>
        <w:pStyle w:val="Textoindependiente"/>
        <w:spacing w:after="0"/>
        <w:rPr>
          <w:sz w:val="19"/>
          <w:szCs w:val="19"/>
          <w:lang w:val="en-US"/>
        </w:rPr>
      </w:pPr>
      <w:r w:rsidRPr="00254AD5">
        <w:rPr>
          <w:sz w:val="19"/>
          <w:szCs w:val="19"/>
          <w:lang w:val="en-US"/>
        </w:rPr>
        <w:t>In conventional SWG-based designs, the synthesized metamaterial is defined by the material refractive indices n</w:t>
      </w:r>
      <w:r w:rsidRPr="00254AD5">
        <w:rPr>
          <w:sz w:val="19"/>
          <w:szCs w:val="19"/>
          <w:vertAlign w:val="subscript"/>
          <w:lang w:val="en-US"/>
        </w:rPr>
        <w:t>1</w:t>
      </w:r>
      <w:r w:rsidRPr="00254AD5">
        <w:rPr>
          <w:sz w:val="19"/>
          <w:szCs w:val="19"/>
          <w:lang w:val="en-US"/>
        </w:rPr>
        <w:t xml:space="preserve"> and n</w:t>
      </w:r>
      <w:r w:rsidRPr="00254AD5">
        <w:rPr>
          <w:sz w:val="19"/>
          <w:szCs w:val="19"/>
          <w:vertAlign w:val="subscript"/>
          <w:lang w:val="en-US"/>
        </w:rPr>
        <w:t xml:space="preserve">2 </w:t>
      </w:r>
      <w:r w:rsidRPr="00254AD5">
        <w:rPr>
          <w:sz w:val="19"/>
          <w:szCs w:val="19"/>
          <w:lang w:val="en-US"/>
        </w:rPr>
        <w:t>of the periodic structure, the arranging period Λ, and the amount of each material per period, known as duty cycle DC=</w:t>
      </w:r>
      <w:r w:rsidRPr="00254AD5">
        <w:rPr>
          <w:i/>
          <w:iCs/>
          <w:sz w:val="19"/>
          <w:szCs w:val="19"/>
          <w:lang w:val="en-US"/>
        </w:rPr>
        <w:t>a</w:t>
      </w:r>
      <w:r w:rsidRPr="00254AD5">
        <w:rPr>
          <w:sz w:val="19"/>
          <w:szCs w:val="19"/>
          <w:lang w:val="en-US"/>
        </w:rPr>
        <w:t xml:space="preserve">/ Λ, where </w:t>
      </w:r>
      <w:r w:rsidRPr="00254AD5">
        <w:rPr>
          <w:i/>
          <w:iCs/>
          <w:sz w:val="19"/>
          <w:szCs w:val="19"/>
          <w:lang w:val="en-US"/>
        </w:rPr>
        <w:t>a</w:t>
      </w:r>
      <w:r w:rsidRPr="00254AD5">
        <w:rPr>
          <w:sz w:val="19"/>
          <w:szCs w:val="19"/>
          <w:lang w:val="en-US"/>
        </w:rPr>
        <w:t xml:space="preserve"> is the length of the material n</w:t>
      </w:r>
      <w:r w:rsidRPr="00254AD5">
        <w:rPr>
          <w:sz w:val="19"/>
          <w:szCs w:val="19"/>
          <w:vertAlign w:val="subscript"/>
          <w:lang w:val="en-US"/>
        </w:rPr>
        <w:t>1</w:t>
      </w:r>
      <w:r w:rsidRPr="00254AD5">
        <w:rPr>
          <w:sz w:val="19"/>
          <w:szCs w:val="19"/>
          <w:lang w:val="en-US"/>
        </w:rPr>
        <w:t xml:space="preserve"> in a period [See Fig. 1(a)]. Under the anisotropic homogenization theory, this structure is defined by a permittivity tensor </w:t>
      </w:r>
      <w:r w:rsidRPr="00254AD5">
        <w:rPr>
          <w:b/>
          <w:bCs/>
          <w:i/>
          <w:iCs/>
          <w:sz w:val="19"/>
          <w:szCs w:val="19"/>
          <w:lang w:val="en-US"/>
        </w:rPr>
        <w:t>ε=</w:t>
      </w:r>
      <w:r w:rsidRPr="00254AD5">
        <w:rPr>
          <w:sz w:val="19"/>
          <w:szCs w:val="19"/>
          <w:lang w:val="en-US"/>
        </w:rPr>
        <w:t>diag[</w:t>
      </w:r>
      <w:r w:rsidRPr="00254AD5">
        <w:rPr>
          <w:i/>
          <w:iCs/>
          <w:sz w:val="19"/>
          <w:szCs w:val="19"/>
          <w:lang w:val="en-US"/>
        </w:rPr>
        <w:t>ε</w:t>
      </w:r>
      <w:r w:rsidRPr="00254AD5">
        <w:rPr>
          <w:i/>
          <w:iCs/>
          <w:sz w:val="19"/>
          <w:szCs w:val="19"/>
          <w:vertAlign w:val="subscript"/>
          <w:lang w:val="en-US"/>
        </w:rPr>
        <w:t>xx</w:t>
      </w:r>
      <w:r w:rsidRPr="00254AD5">
        <w:rPr>
          <w:sz w:val="19"/>
          <w:szCs w:val="19"/>
          <w:lang w:val="en-US"/>
        </w:rPr>
        <w:t xml:space="preserve">, </w:t>
      </w:r>
      <w:r w:rsidRPr="00254AD5">
        <w:rPr>
          <w:i/>
          <w:iCs/>
          <w:sz w:val="19"/>
          <w:szCs w:val="19"/>
          <w:lang w:val="en-US"/>
        </w:rPr>
        <w:t>ε</w:t>
      </w:r>
      <w:r w:rsidRPr="00254AD5">
        <w:rPr>
          <w:i/>
          <w:iCs/>
          <w:sz w:val="19"/>
          <w:szCs w:val="19"/>
          <w:vertAlign w:val="subscript"/>
          <w:lang w:val="en-US"/>
        </w:rPr>
        <w:t>yy</w:t>
      </w:r>
      <w:r w:rsidRPr="00254AD5">
        <w:rPr>
          <w:sz w:val="19"/>
          <w:szCs w:val="19"/>
          <w:lang w:val="en-US"/>
        </w:rPr>
        <w:t xml:space="preserve">, </w:t>
      </w:r>
      <w:r w:rsidRPr="00254AD5">
        <w:rPr>
          <w:i/>
          <w:iCs/>
          <w:sz w:val="19"/>
          <w:szCs w:val="19"/>
          <w:lang w:val="en-US"/>
        </w:rPr>
        <w:t>ε</w:t>
      </w:r>
      <w:r w:rsidRPr="00254AD5">
        <w:rPr>
          <w:i/>
          <w:iCs/>
          <w:sz w:val="19"/>
          <w:szCs w:val="19"/>
          <w:vertAlign w:val="subscript"/>
          <w:lang w:val="en-US"/>
        </w:rPr>
        <w:t>zz</w:t>
      </w:r>
      <w:r w:rsidRPr="00254AD5">
        <w:rPr>
          <w:sz w:val="19"/>
          <w:szCs w:val="19"/>
          <w:lang w:val="en-US"/>
        </w:rPr>
        <w:t>]</w:t>
      </w:r>
      <w:r w:rsidR="004B0DB4">
        <w:rPr>
          <w:sz w:val="19"/>
          <w:szCs w:val="19"/>
          <w:lang w:val="en-US"/>
        </w:rPr>
        <w:t>,</w:t>
      </w:r>
      <w:r w:rsidRPr="00254AD5">
        <w:rPr>
          <w:b/>
          <w:bCs/>
          <w:sz w:val="19"/>
          <w:szCs w:val="19"/>
          <w:lang w:val="en-US"/>
        </w:rPr>
        <w:t xml:space="preserve"> </w:t>
      </w:r>
      <w:r w:rsidRPr="00254AD5">
        <w:rPr>
          <w:sz w:val="19"/>
          <w:szCs w:val="19"/>
          <w:lang w:val="en-US"/>
        </w:rPr>
        <w:t xml:space="preserve">which depends on the </w:t>
      </w:r>
      <w:proofErr w:type="gramStart"/>
      <w:r w:rsidRPr="00254AD5">
        <w:rPr>
          <w:sz w:val="19"/>
          <w:szCs w:val="19"/>
          <w:lang w:val="en-US"/>
        </w:rPr>
        <w:t>aforementioned geometrical</w:t>
      </w:r>
      <w:proofErr w:type="gramEnd"/>
      <w:r w:rsidRPr="00254AD5">
        <w:rPr>
          <w:sz w:val="19"/>
          <w:szCs w:val="19"/>
          <w:lang w:val="en-US"/>
        </w:rPr>
        <w:t xml:space="preserve"> parameters [5]. Although the optimization of the implemented metamaterial is possible only by tuning the period and duty cycle, advanced features can be achieved by augmenting the control over the tensor components. Recently proposed bricked SWG structures [See Fig. 1(b)] provide a direct control over some of the tensor components of the synthesized metamaterial. This new topology is obtained by periodically partitioning a conventional SWG structure along the transversal direction and alternately shifting the resulting blocks. In this talk we </w:t>
      </w:r>
      <w:r w:rsidRPr="00254AD5">
        <w:rPr>
          <w:sz w:val="19"/>
          <w:szCs w:val="19"/>
          <w:lang w:val="en-US"/>
        </w:rPr>
        <w:t>overview the foundations of such bricked SWG metamaterials, focusing on what they offer to the designer, including</w:t>
      </w:r>
      <w:r w:rsidR="00153579">
        <w:rPr>
          <w:sz w:val="19"/>
          <w:szCs w:val="19"/>
          <w:lang w:val="en-US"/>
        </w:rPr>
        <w:t xml:space="preserve"> the </w:t>
      </w:r>
      <w:r w:rsidR="00153579" w:rsidRPr="00254AD5">
        <w:rPr>
          <w:sz w:val="19"/>
          <w:szCs w:val="19"/>
          <w:lang w:val="en-US"/>
        </w:rPr>
        <w:t>engineering</w:t>
      </w:r>
      <w:r w:rsidR="00153579">
        <w:rPr>
          <w:sz w:val="19"/>
          <w:szCs w:val="19"/>
          <w:lang w:val="en-US"/>
        </w:rPr>
        <w:t xml:space="preserve"> of the</w:t>
      </w:r>
      <w:r w:rsidRPr="00254AD5">
        <w:rPr>
          <w:sz w:val="19"/>
          <w:szCs w:val="19"/>
          <w:lang w:val="en-US"/>
        </w:rPr>
        <w:t xml:space="preserve"> refractive index</w:t>
      </w:r>
      <w:r w:rsidR="00153579">
        <w:rPr>
          <w:sz w:val="19"/>
          <w:szCs w:val="19"/>
          <w:lang w:val="en-US"/>
        </w:rPr>
        <w:t xml:space="preserve">, </w:t>
      </w:r>
      <w:r w:rsidRPr="00254AD5">
        <w:rPr>
          <w:sz w:val="19"/>
          <w:szCs w:val="19"/>
          <w:lang w:val="en-US"/>
        </w:rPr>
        <w:t>dispersion</w:t>
      </w:r>
      <w:r w:rsidR="0065071A">
        <w:rPr>
          <w:sz w:val="19"/>
          <w:szCs w:val="19"/>
          <w:lang w:val="en-US"/>
        </w:rPr>
        <w:t>,</w:t>
      </w:r>
      <w:r w:rsidRPr="00254AD5">
        <w:rPr>
          <w:sz w:val="19"/>
          <w:szCs w:val="19"/>
          <w:lang w:val="en-US"/>
        </w:rPr>
        <w:t xml:space="preserve"> and</w:t>
      </w:r>
      <w:r w:rsidR="0065071A">
        <w:rPr>
          <w:sz w:val="19"/>
          <w:szCs w:val="19"/>
          <w:lang w:val="en-US"/>
        </w:rPr>
        <w:t xml:space="preserve"> </w:t>
      </w:r>
      <w:r w:rsidR="0065071A" w:rsidRPr="00254AD5">
        <w:rPr>
          <w:sz w:val="19"/>
          <w:szCs w:val="19"/>
          <w:lang w:val="en-US"/>
        </w:rPr>
        <w:t>anisotropy</w:t>
      </w:r>
      <w:r w:rsidRPr="00254AD5">
        <w:rPr>
          <w:sz w:val="19"/>
          <w:szCs w:val="19"/>
          <w:lang w:val="en-US"/>
        </w:rPr>
        <w:t>. Moreover, we discuss how bricked SWG structures are a potential solution to facilitate the mass production of SWG-based devices</w:t>
      </w:r>
      <w:r w:rsidR="00153579">
        <w:rPr>
          <w:sz w:val="19"/>
          <w:szCs w:val="19"/>
          <w:lang w:val="en-US"/>
        </w:rPr>
        <w:t xml:space="preserve"> as they </w:t>
      </w:r>
      <w:r w:rsidR="00902BE8">
        <w:rPr>
          <w:sz w:val="19"/>
          <w:szCs w:val="19"/>
          <w:lang w:val="en-US"/>
        </w:rPr>
        <w:t xml:space="preserve">allow longer period </w:t>
      </w:r>
      <w:r w:rsidR="00D50451">
        <w:rPr>
          <w:sz w:val="19"/>
          <w:szCs w:val="19"/>
          <w:lang w:val="en-US"/>
        </w:rPr>
        <w:t>compared with conventional SWG</w:t>
      </w:r>
      <w:r w:rsidRPr="00254AD5">
        <w:rPr>
          <w:sz w:val="19"/>
          <w:szCs w:val="19"/>
          <w:lang w:val="en-US"/>
        </w:rPr>
        <w:t>.</w:t>
      </w:r>
    </w:p>
    <w:p w14:paraId="42E4924A" w14:textId="37229371" w:rsidR="00F8527F" w:rsidRDefault="00F8527F" w:rsidP="00F8527F">
      <w:pPr>
        <w:pStyle w:val="Textoindependiente"/>
        <w:spacing w:after="0"/>
        <w:rPr>
          <w:sz w:val="19"/>
          <w:szCs w:val="19"/>
          <w:lang w:val="en-US"/>
        </w:rPr>
      </w:pPr>
      <w:r w:rsidRPr="00254AD5">
        <w:rPr>
          <w:sz w:val="19"/>
          <w:szCs w:val="19"/>
          <w:lang w:val="en-US"/>
        </w:rPr>
        <w:t>By exploiting the properties of bricked SWG structures we</w:t>
      </w:r>
      <w:r>
        <w:rPr>
          <w:sz w:val="19"/>
          <w:szCs w:val="19"/>
          <w:lang w:val="en-US"/>
        </w:rPr>
        <w:t xml:space="preserve"> have</w:t>
      </w:r>
      <w:r w:rsidRPr="00254AD5">
        <w:rPr>
          <w:sz w:val="19"/>
          <w:szCs w:val="19"/>
          <w:lang w:val="en-US"/>
        </w:rPr>
        <w:t xml:space="preserve"> design</w:t>
      </w:r>
      <w:r>
        <w:rPr>
          <w:sz w:val="19"/>
          <w:szCs w:val="19"/>
          <w:lang w:val="en-US"/>
        </w:rPr>
        <w:t>ed</w:t>
      </w:r>
      <w:r w:rsidRPr="00254AD5">
        <w:rPr>
          <w:sz w:val="19"/>
          <w:szCs w:val="19"/>
          <w:lang w:val="en-US"/>
        </w:rPr>
        <w:t xml:space="preserve"> two 2x2 Multimode Interferometers</w:t>
      </w:r>
      <w:r>
        <w:rPr>
          <w:sz w:val="19"/>
          <w:szCs w:val="19"/>
          <w:lang w:val="en-US"/>
        </w:rPr>
        <w:t xml:space="preserve"> [See Fig. 1(c)]</w:t>
      </w:r>
      <w:r w:rsidRPr="00254AD5">
        <w:rPr>
          <w:sz w:val="19"/>
          <w:szCs w:val="19"/>
          <w:lang w:val="en-US"/>
        </w:rPr>
        <w:t xml:space="preserve"> with a simulated </w:t>
      </w:r>
      <w:r w:rsidR="005C55A4">
        <w:rPr>
          <w:sz w:val="19"/>
          <w:szCs w:val="19"/>
          <w:lang w:val="en-US"/>
        </w:rPr>
        <w:t xml:space="preserve">1-dB </w:t>
      </w:r>
      <w:r w:rsidRPr="00254AD5">
        <w:rPr>
          <w:sz w:val="19"/>
          <w:szCs w:val="19"/>
          <w:lang w:val="en-US"/>
        </w:rPr>
        <w:t>bandwidth of 400 nm, experimentally demonstrated over a 140 nm bandwidth</w:t>
      </w:r>
      <w:r>
        <w:rPr>
          <w:sz w:val="19"/>
          <w:szCs w:val="19"/>
          <w:lang w:val="en-US"/>
        </w:rPr>
        <w:t xml:space="preserve"> [See Fig.1(d)]</w:t>
      </w:r>
      <w:r w:rsidRPr="00254AD5">
        <w:rPr>
          <w:sz w:val="19"/>
          <w:szCs w:val="19"/>
          <w:lang w:val="en-US"/>
        </w:rPr>
        <w:t xml:space="preserve">. These designs not only show the control over the metamaterial properties enabled by bricked SWG structures but also the augmentation on the pixel size dimensions required to fabricate the structures, from a fabrication resolution of 95 nm using </w:t>
      </w:r>
      <w:r w:rsidR="000E5929">
        <w:rPr>
          <w:sz w:val="19"/>
          <w:szCs w:val="19"/>
          <w:lang w:val="en-US"/>
        </w:rPr>
        <w:t xml:space="preserve">a </w:t>
      </w:r>
      <w:r w:rsidRPr="00254AD5">
        <w:rPr>
          <w:sz w:val="19"/>
          <w:szCs w:val="19"/>
          <w:lang w:val="en-US"/>
        </w:rPr>
        <w:t xml:space="preserve">conventional SWG </w:t>
      </w:r>
      <w:r w:rsidR="003154C4">
        <w:rPr>
          <w:sz w:val="19"/>
          <w:szCs w:val="19"/>
          <w:lang w:val="en-US"/>
        </w:rPr>
        <w:t>metamaterial</w:t>
      </w:r>
      <w:r w:rsidRPr="00254AD5">
        <w:rPr>
          <w:sz w:val="19"/>
          <w:szCs w:val="19"/>
          <w:lang w:val="en-US"/>
        </w:rPr>
        <w:t xml:space="preserve"> up to 150 nm by using </w:t>
      </w:r>
      <w:r w:rsidR="000E5929">
        <w:rPr>
          <w:sz w:val="19"/>
          <w:szCs w:val="19"/>
          <w:lang w:val="en-US"/>
        </w:rPr>
        <w:t xml:space="preserve">a </w:t>
      </w:r>
      <w:r w:rsidRPr="00254AD5">
        <w:rPr>
          <w:sz w:val="19"/>
          <w:szCs w:val="19"/>
          <w:lang w:val="en-US"/>
        </w:rPr>
        <w:t xml:space="preserve">bricked SWG </w:t>
      </w:r>
      <w:r w:rsidR="003154C4">
        <w:rPr>
          <w:sz w:val="19"/>
          <w:szCs w:val="19"/>
          <w:lang w:val="en-US"/>
        </w:rPr>
        <w:t>metamaterial</w:t>
      </w:r>
      <w:r w:rsidRPr="00254AD5">
        <w:rPr>
          <w:sz w:val="19"/>
          <w:szCs w:val="19"/>
          <w:lang w:val="en-US"/>
        </w:rPr>
        <w:t>.</w:t>
      </w:r>
    </w:p>
    <w:p w14:paraId="55CCF8EC" w14:textId="77777777" w:rsidR="00F8527F" w:rsidRDefault="00F8527F" w:rsidP="00F8527F">
      <w:pPr>
        <w:pStyle w:val="Textoindependiente"/>
        <w:spacing w:after="0"/>
        <w:rPr>
          <w:sz w:val="19"/>
          <w:szCs w:val="19"/>
          <w:lang w:val="en-US"/>
        </w:rPr>
      </w:pPr>
    </w:p>
    <w:p w14:paraId="33765FFC" w14:textId="77777777" w:rsidR="00F8527F" w:rsidRPr="00254AD5" w:rsidRDefault="00F8527F" w:rsidP="00F8527F">
      <w:pPr>
        <w:pStyle w:val="Textoindependiente"/>
        <w:spacing w:after="0"/>
        <w:ind w:firstLine="0"/>
        <w:rPr>
          <w:sz w:val="19"/>
          <w:szCs w:val="19"/>
          <w:lang w:val="en-US"/>
        </w:rPr>
      </w:pPr>
      <w:r w:rsidRPr="0094769E">
        <w:rPr>
          <w:b/>
          <w:bCs/>
          <w:sz w:val="19"/>
          <w:szCs w:val="19"/>
          <w:lang w:val="en-US"/>
        </w:rPr>
        <w:t>Disclosures:</w:t>
      </w:r>
      <w:r>
        <w:rPr>
          <w:sz w:val="19"/>
          <w:szCs w:val="19"/>
          <w:lang w:val="en-US"/>
        </w:rPr>
        <w:t xml:space="preserve"> </w:t>
      </w:r>
      <w:r w:rsidRPr="0094769E">
        <w:rPr>
          <w:sz w:val="19"/>
          <w:szCs w:val="19"/>
          <w:lang w:val="en-US"/>
        </w:rPr>
        <w:t>This work is protected under patent No. P202030367</w:t>
      </w:r>
      <w:r>
        <w:rPr>
          <w:sz w:val="19"/>
          <w:szCs w:val="19"/>
          <w:lang w:val="en-US"/>
        </w:rPr>
        <w:t>.</w:t>
      </w:r>
    </w:p>
    <w:p w14:paraId="5F4D0FC0" w14:textId="77777777" w:rsidR="00F8527F" w:rsidRDefault="00F8527F" w:rsidP="00F8527F">
      <w:pPr>
        <w:pStyle w:val="Ttulo1"/>
        <w:numPr>
          <w:ilvl w:val="0"/>
          <w:numId w:val="0"/>
        </w:numPr>
        <w:spacing w:after="0"/>
      </w:pPr>
      <w:r>
        <w:t>REFERENCES</w:t>
      </w:r>
    </w:p>
    <w:p w14:paraId="2A622459" w14:textId="77777777" w:rsidR="00F8527F" w:rsidRPr="004A4FF3" w:rsidRDefault="00F8527F" w:rsidP="00F8527F"/>
    <w:p w14:paraId="12193DE1" w14:textId="77777777" w:rsidR="00F8527F" w:rsidRPr="00254AD5" w:rsidRDefault="00F8527F" w:rsidP="00F8527F">
      <w:pPr>
        <w:pStyle w:val="references"/>
        <w:spacing w:after="0"/>
        <w:rPr>
          <w:rFonts w:eastAsia="SimSun"/>
          <w:noProof w:val="0"/>
          <w:spacing w:val="-1"/>
          <w:sz w:val="18"/>
          <w:szCs w:val="18"/>
          <w:lang w:val="x-none" w:eastAsia="x-none"/>
        </w:rPr>
      </w:pPr>
      <w:r w:rsidRPr="00254AD5">
        <w:rPr>
          <w:rFonts w:eastAsia="SimSun"/>
          <w:noProof w:val="0"/>
          <w:spacing w:val="-1"/>
          <w:sz w:val="18"/>
          <w:szCs w:val="18"/>
          <w:lang w:val="x-none" w:eastAsia="x-none"/>
        </w:rPr>
        <w:t xml:space="preserve">P. Cheben, R. Halir, J. H. Schmid, H. A. </w:t>
      </w:r>
      <w:proofErr w:type="spellStart"/>
      <w:r w:rsidRPr="00254AD5">
        <w:rPr>
          <w:rFonts w:eastAsia="SimSun"/>
          <w:noProof w:val="0"/>
          <w:spacing w:val="-1"/>
          <w:sz w:val="18"/>
          <w:szCs w:val="18"/>
          <w:lang w:val="x-none" w:eastAsia="x-none"/>
        </w:rPr>
        <w:t>Atwater</w:t>
      </w:r>
      <w:proofErr w:type="spellEnd"/>
      <w:r w:rsidRPr="00254AD5">
        <w:rPr>
          <w:rFonts w:eastAsia="SimSun"/>
          <w:noProof w:val="0"/>
          <w:spacing w:val="-1"/>
          <w:sz w:val="18"/>
          <w:szCs w:val="18"/>
          <w:lang w:val="x-none" w:eastAsia="x-none"/>
        </w:rPr>
        <w:t>, and D. R. Smith, "</w:t>
      </w:r>
      <w:proofErr w:type="spellStart"/>
      <w:r w:rsidRPr="00254AD5">
        <w:rPr>
          <w:rFonts w:eastAsia="SimSun"/>
          <w:noProof w:val="0"/>
          <w:spacing w:val="-1"/>
          <w:sz w:val="18"/>
          <w:szCs w:val="18"/>
          <w:lang w:val="x-none" w:eastAsia="x-none"/>
        </w:rPr>
        <w:t>Subwavelength</w:t>
      </w:r>
      <w:proofErr w:type="spellEnd"/>
      <w:r w:rsidRPr="00254AD5">
        <w:rPr>
          <w:rFonts w:eastAsia="SimSun"/>
          <w:noProof w:val="0"/>
          <w:spacing w:val="-1"/>
          <w:sz w:val="18"/>
          <w:szCs w:val="18"/>
          <w:lang w:val="x-none" w:eastAsia="x-none"/>
        </w:rPr>
        <w:t xml:space="preserve"> </w:t>
      </w:r>
      <w:proofErr w:type="spellStart"/>
      <w:r w:rsidRPr="00254AD5">
        <w:rPr>
          <w:rFonts w:eastAsia="SimSun"/>
          <w:noProof w:val="0"/>
          <w:spacing w:val="-1"/>
          <w:sz w:val="18"/>
          <w:szCs w:val="18"/>
          <w:lang w:val="x-none" w:eastAsia="x-none"/>
        </w:rPr>
        <w:t>integrated</w:t>
      </w:r>
      <w:proofErr w:type="spellEnd"/>
      <w:r w:rsidRPr="00254AD5">
        <w:rPr>
          <w:rFonts w:eastAsia="SimSun"/>
          <w:noProof w:val="0"/>
          <w:spacing w:val="-1"/>
          <w:sz w:val="18"/>
          <w:szCs w:val="18"/>
          <w:lang w:val="x-none" w:eastAsia="x-none"/>
        </w:rPr>
        <w:t xml:space="preserve"> </w:t>
      </w:r>
      <w:proofErr w:type="spellStart"/>
      <w:r w:rsidRPr="00254AD5">
        <w:rPr>
          <w:rFonts w:eastAsia="SimSun"/>
          <w:noProof w:val="0"/>
          <w:spacing w:val="-1"/>
          <w:sz w:val="18"/>
          <w:szCs w:val="18"/>
          <w:lang w:val="x-none" w:eastAsia="x-none"/>
        </w:rPr>
        <w:t>photonics</w:t>
      </w:r>
      <w:proofErr w:type="spellEnd"/>
      <w:r w:rsidRPr="00254AD5">
        <w:rPr>
          <w:rFonts w:eastAsia="SimSun"/>
          <w:noProof w:val="0"/>
          <w:spacing w:val="-1"/>
          <w:sz w:val="18"/>
          <w:szCs w:val="18"/>
          <w:lang w:val="x-none" w:eastAsia="x-none"/>
        </w:rPr>
        <w:t xml:space="preserve">," </w:t>
      </w:r>
      <w:proofErr w:type="spellStart"/>
      <w:r w:rsidRPr="00254AD5">
        <w:rPr>
          <w:rFonts w:eastAsia="SimSun"/>
          <w:noProof w:val="0"/>
          <w:spacing w:val="-1"/>
          <w:sz w:val="18"/>
          <w:szCs w:val="18"/>
          <w:lang w:val="x-none" w:eastAsia="x-none"/>
        </w:rPr>
        <w:t>Nature</w:t>
      </w:r>
      <w:proofErr w:type="spellEnd"/>
      <w:r w:rsidRPr="00254AD5">
        <w:rPr>
          <w:rFonts w:eastAsia="SimSun"/>
          <w:noProof w:val="0"/>
          <w:spacing w:val="-1"/>
          <w:sz w:val="18"/>
          <w:szCs w:val="18"/>
          <w:lang w:val="x-none" w:eastAsia="x-none"/>
        </w:rPr>
        <w:t xml:space="preserve"> </w:t>
      </w:r>
      <w:r w:rsidRPr="00254AD5">
        <w:rPr>
          <w:rFonts w:eastAsia="SimSun"/>
          <w:b/>
          <w:bCs/>
          <w:noProof w:val="0"/>
          <w:spacing w:val="-1"/>
          <w:sz w:val="18"/>
          <w:szCs w:val="18"/>
          <w:lang w:val="x-none" w:eastAsia="x-none"/>
        </w:rPr>
        <w:t>560</w:t>
      </w:r>
      <w:r w:rsidRPr="00254AD5">
        <w:rPr>
          <w:rFonts w:eastAsia="SimSun"/>
          <w:noProof w:val="0"/>
          <w:spacing w:val="-1"/>
          <w:sz w:val="18"/>
          <w:szCs w:val="18"/>
          <w:lang w:val="x-none" w:eastAsia="x-none"/>
        </w:rPr>
        <w:t xml:space="preserve">, 565–572 (2018). </w:t>
      </w:r>
    </w:p>
    <w:p w14:paraId="6D67A884" w14:textId="77777777" w:rsidR="00F8527F" w:rsidRPr="00254AD5" w:rsidRDefault="00F8527F" w:rsidP="00F8527F">
      <w:pPr>
        <w:pStyle w:val="references"/>
        <w:rPr>
          <w:rFonts w:eastAsia="SimSun"/>
          <w:noProof w:val="0"/>
          <w:spacing w:val="-1"/>
          <w:sz w:val="18"/>
          <w:szCs w:val="18"/>
          <w:lang w:val="x-none" w:eastAsia="x-none"/>
        </w:rPr>
      </w:pPr>
      <w:r w:rsidRPr="00254AD5">
        <w:rPr>
          <w:rFonts w:eastAsia="SimSun"/>
          <w:noProof w:val="0"/>
          <w:spacing w:val="-1"/>
          <w:sz w:val="18"/>
          <w:szCs w:val="18"/>
          <w:lang w:val="x-none" w:eastAsia="x-none"/>
        </w:rPr>
        <w:t>R. Halir, P. J. Bock, P. Cheben, A. Ortega-Moñux, C. Alonso-Ramos, J. H. Schmid, J. Lapointe, D. Xu, J. G. Wangüemert-Pérez, and S. Janz, "</w:t>
      </w:r>
      <w:proofErr w:type="spellStart"/>
      <w:r w:rsidRPr="00254AD5">
        <w:rPr>
          <w:rFonts w:eastAsia="SimSun"/>
          <w:noProof w:val="0"/>
          <w:spacing w:val="-1"/>
          <w:sz w:val="18"/>
          <w:szCs w:val="18"/>
          <w:lang w:eastAsia="x-none"/>
        </w:rPr>
        <w:t>Waveguide</w:t>
      </w:r>
      <w:proofErr w:type="spellEnd"/>
      <w:r w:rsidRPr="00254AD5">
        <w:rPr>
          <w:rFonts w:eastAsia="SimSun"/>
          <w:noProof w:val="0"/>
          <w:spacing w:val="-1"/>
          <w:sz w:val="18"/>
          <w:szCs w:val="18"/>
          <w:lang w:eastAsia="x-none"/>
        </w:rPr>
        <w:t xml:space="preserve"> subwavelength structures: a review of principles</w:t>
      </w:r>
      <w:r w:rsidRPr="00254AD5">
        <w:rPr>
          <w:rFonts w:eastAsia="SimSun"/>
          <w:noProof w:val="0"/>
          <w:spacing w:val="-1"/>
          <w:sz w:val="18"/>
          <w:szCs w:val="18"/>
          <w:lang w:val="x-none" w:eastAsia="x-none"/>
        </w:rPr>
        <w:t xml:space="preserve">," Laser Photon. Rev. </w:t>
      </w:r>
      <w:r w:rsidRPr="00254AD5">
        <w:rPr>
          <w:rFonts w:eastAsia="SimSun"/>
          <w:b/>
          <w:bCs/>
          <w:noProof w:val="0"/>
          <w:spacing w:val="-1"/>
          <w:sz w:val="18"/>
          <w:szCs w:val="18"/>
          <w:lang w:val="x-none" w:eastAsia="x-none"/>
        </w:rPr>
        <w:t>49</w:t>
      </w:r>
      <w:r w:rsidRPr="00254AD5">
        <w:rPr>
          <w:rFonts w:eastAsia="SimSun"/>
          <w:noProof w:val="0"/>
          <w:spacing w:val="-1"/>
          <w:sz w:val="18"/>
          <w:szCs w:val="18"/>
          <w:lang w:val="x-none" w:eastAsia="x-none"/>
        </w:rPr>
        <w:t>, 25–49 (2015).</w:t>
      </w:r>
    </w:p>
    <w:p w14:paraId="3CB8D09B" w14:textId="77777777" w:rsidR="00F8527F" w:rsidRPr="00254AD5" w:rsidRDefault="00F8527F" w:rsidP="00F8527F">
      <w:pPr>
        <w:pStyle w:val="references"/>
        <w:rPr>
          <w:rFonts w:eastAsia="SimSun"/>
          <w:noProof w:val="0"/>
          <w:spacing w:val="-1"/>
          <w:sz w:val="18"/>
          <w:szCs w:val="18"/>
          <w:lang w:val="x-none" w:eastAsia="x-none"/>
        </w:rPr>
      </w:pPr>
      <w:r w:rsidRPr="00254AD5">
        <w:rPr>
          <w:rFonts w:eastAsia="SimSun"/>
          <w:noProof w:val="0"/>
          <w:spacing w:val="-1"/>
          <w:sz w:val="18"/>
          <w:szCs w:val="18"/>
          <w:lang w:val="x-none" w:eastAsia="x-none"/>
        </w:rPr>
        <w:t xml:space="preserve">R. Halir, A. Ortega-Moñux, D. Benedikovic, G. Z. Mashanovich, J. G. </w:t>
      </w:r>
      <w:r w:rsidRPr="00254AD5">
        <w:rPr>
          <w:rFonts w:eastAsia="SimSun"/>
          <w:noProof w:val="0"/>
          <w:spacing w:val="-1"/>
          <w:sz w:val="18"/>
          <w:szCs w:val="18"/>
          <w:lang w:eastAsia="x-none"/>
        </w:rPr>
        <w:t>Wangüemert</w:t>
      </w:r>
      <w:r w:rsidRPr="00254AD5">
        <w:rPr>
          <w:rFonts w:eastAsia="SimSun"/>
          <w:noProof w:val="0"/>
          <w:spacing w:val="-1"/>
          <w:sz w:val="18"/>
          <w:szCs w:val="18"/>
          <w:lang w:val="x-none" w:eastAsia="x-none"/>
        </w:rPr>
        <w:t>-</w:t>
      </w:r>
      <w:r w:rsidRPr="00254AD5">
        <w:rPr>
          <w:rFonts w:eastAsia="SimSun"/>
          <w:noProof w:val="0"/>
          <w:spacing w:val="-1"/>
          <w:sz w:val="18"/>
          <w:szCs w:val="18"/>
          <w:lang w:eastAsia="x-none"/>
        </w:rPr>
        <w:t>Pérez</w:t>
      </w:r>
      <w:r w:rsidRPr="00254AD5">
        <w:rPr>
          <w:rFonts w:eastAsia="SimSun"/>
          <w:noProof w:val="0"/>
          <w:spacing w:val="-1"/>
          <w:sz w:val="18"/>
          <w:szCs w:val="18"/>
          <w:lang w:val="x-none" w:eastAsia="x-none"/>
        </w:rPr>
        <w:t>, J. H. Schmid, I. Molina-Fernández, and P. Cheben, "</w:t>
      </w:r>
      <w:proofErr w:type="spellStart"/>
      <w:r w:rsidRPr="00254AD5">
        <w:rPr>
          <w:rFonts w:eastAsia="SimSun"/>
          <w:noProof w:val="0"/>
          <w:spacing w:val="-1"/>
          <w:sz w:val="18"/>
          <w:szCs w:val="18"/>
          <w:lang w:eastAsia="x-none"/>
        </w:rPr>
        <w:t>Subwavelength</w:t>
      </w:r>
      <w:proofErr w:type="spellEnd"/>
      <w:r w:rsidRPr="00254AD5">
        <w:rPr>
          <w:rFonts w:eastAsia="SimSun"/>
          <w:noProof w:val="0"/>
          <w:spacing w:val="-1"/>
          <w:sz w:val="18"/>
          <w:szCs w:val="18"/>
          <w:lang w:val="x-none" w:eastAsia="x-none"/>
        </w:rPr>
        <w:t xml:space="preserve">-Grating Metamaterial Structures for Silicon Photonic Devices," Proc. IEEE </w:t>
      </w:r>
      <w:r w:rsidRPr="00254AD5">
        <w:rPr>
          <w:rFonts w:eastAsia="SimSun"/>
          <w:b/>
          <w:bCs/>
          <w:noProof w:val="0"/>
          <w:spacing w:val="-1"/>
          <w:sz w:val="18"/>
          <w:szCs w:val="18"/>
          <w:lang w:val="x-none" w:eastAsia="x-none"/>
        </w:rPr>
        <w:t>106</w:t>
      </w:r>
      <w:r w:rsidRPr="00254AD5">
        <w:rPr>
          <w:rFonts w:eastAsia="SimSun"/>
          <w:noProof w:val="0"/>
          <w:spacing w:val="-1"/>
          <w:sz w:val="18"/>
          <w:szCs w:val="18"/>
          <w:lang w:val="x-none" w:eastAsia="x-none"/>
        </w:rPr>
        <w:t>, 2144–2157 (2018).</w:t>
      </w:r>
    </w:p>
    <w:p w14:paraId="19279F81" w14:textId="77777777" w:rsidR="00F8527F" w:rsidRPr="00254AD5" w:rsidRDefault="00F8527F" w:rsidP="00F8527F">
      <w:pPr>
        <w:pStyle w:val="references"/>
        <w:rPr>
          <w:rFonts w:eastAsia="SimSun"/>
          <w:noProof w:val="0"/>
          <w:spacing w:val="-1"/>
          <w:sz w:val="18"/>
          <w:szCs w:val="18"/>
          <w:lang w:val="x-none" w:eastAsia="x-none"/>
        </w:rPr>
      </w:pPr>
      <w:r w:rsidRPr="00254AD5">
        <w:rPr>
          <w:rFonts w:eastAsia="SimSun" w:hint="eastAsia"/>
          <w:noProof w:val="0"/>
          <w:spacing w:val="-1"/>
          <w:sz w:val="18"/>
          <w:szCs w:val="18"/>
          <w:lang w:val="x-none" w:eastAsia="x-none"/>
        </w:rPr>
        <w:t>J. M. Luque</w:t>
      </w:r>
      <w:r>
        <w:rPr>
          <w:rFonts w:eastAsia="SimSun" w:hint="eastAsia"/>
          <w:noProof w:val="0"/>
          <w:spacing w:val="-1"/>
          <w:sz w:val="18"/>
          <w:szCs w:val="18"/>
          <w:lang w:val="x-none" w:eastAsia="x-none"/>
        </w:rPr>
        <w:t>-</w:t>
      </w:r>
      <w:r w:rsidRPr="00254AD5">
        <w:rPr>
          <w:rFonts w:eastAsia="SimSun" w:hint="eastAsia"/>
          <w:noProof w:val="0"/>
          <w:spacing w:val="-1"/>
          <w:sz w:val="18"/>
          <w:szCs w:val="18"/>
          <w:lang w:val="x-none" w:eastAsia="x-none"/>
        </w:rPr>
        <w:t>González, A. Ortega</w:t>
      </w:r>
      <w:r>
        <w:rPr>
          <w:rFonts w:eastAsia="SimSun" w:hint="eastAsia"/>
          <w:noProof w:val="0"/>
          <w:spacing w:val="-1"/>
          <w:sz w:val="18"/>
          <w:szCs w:val="18"/>
          <w:lang w:val="x-none" w:eastAsia="x-none"/>
        </w:rPr>
        <w:t>-</w:t>
      </w:r>
      <w:r w:rsidRPr="00254AD5">
        <w:rPr>
          <w:rFonts w:eastAsia="SimSun" w:hint="eastAsia"/>
          <w:noProof w:val="0"/>
          <w:spacing w:val="-1"/>
          <w:sz w:val="18"/>
          <w:szCs w:val="18"/>
          <w:lang w:val="x-none" w:eastAsia="x-none"/>
        </w:rPr>
        <w:t>Moñux, R. Halir, J. H. Schmid, P. Cheben, Í. Molina</w:t>
      </w:r>
      <w:r>
        <w:rPr>
          <w:rFonts w:eastAsia="SimSun" w:hint="eastAsia"/>
          <w:noProof w:val="0"/>
          <w:spacing w:val="-1"/>
          <w:sz w:val="18"/>
          <w:szCs w:val="18"/>
          <w:lang w:val="x-none" w:eastAsia="x-none"/>
        </w:rPr>
        <w:t>-</w:t>
      </w:r>
      <w:r w:rsidRPr="00254AD5">
        <w:rPr>
          <w:rFonts w:eastAsia="SimSun" w:hint="eastAsia"/>
          <w:noProof w:val="0"/>
          <w:spacing w:val="-1"/>
          <w:sz w:val="18"/>
          <w:szCs w:val="18"/>
          <w:lang w:val="x-none" w:eastAsia="x-none"/>
        </w:rPr>
        <w:t>Fernández, and J. G. Wangüemert</w:t>
      </w:r>
      <w:r>
        <w:rPr>
          <w:rFonts w:eastAsia="SimSun" w:hint="eastAsia"/>
          <w:noProof w:val="0"/>
          <w:spacing w:val="-1"/>
          <w:sz w:val="18"/>
          <w:szCs w:val="18"/>
          <w:lang w:val="x-none" w:eastAsia="x-none"/>
        </w:rPr>
        <w:t>-</w:t>
      </w:r>
      <w:r w:rsidRPr="00254AD5">
        <w:rPr>
          <w:rFonts w:eastAsia="SimSun" w:hint="eastAsia"/>
          <w:noProof w:val="0"/>
          <w:spacing w:val="-1"/>
          <w:sz w:val="18"/>
          <w:szCs w:val="18"/>
          <w:lang w:val="x-none" w:eastAsia="x-none"/>
        </w:rPr>
        <w:t>Pérez, "</w:t>
      </w:r>
      <w:proofErr w:type="spellStart"/>
      <w:r>
        <w:rPr>
          <w:rFonts w:eastAsia="SimSun"/>
          <w:noProof w:val="0"/>
          <w:spacing w:val="-1"/>
          <w:sz w:val="18"/>
          <w:szCs w:val="18"/>
          <w:lang w:eastAsia="x-none"/>
        </w:rPr>
        <w:t>Bricked</w:t>
      </w:r>
      <w:proofErr w:type="spellEnd"/>
      <w:r w:rsidRPr="00254AD5">
        <w:rPr>
          <w:rFonts w:eastAsia="SimSun"/>
          <w:noProof w:val="0"/>
          <w:spacing w:val="-1"/>
          <w:sz w:val="18"/>
          <w:szCs w:val="18"/>
          <w:lang w:eastAsia="x-none"/>
        </w:rPr>
        <w:t xml:space="preserve"> subwavelength gratings: A tailorable on-chip metamaterial topology</w:t>
      </w:r>
      <w:r w:rsidRPr="00254AD5">
        <w:rPr>
          <w:rFonts w:eastAsia="SimSun" w:hint="eastAsia"/>
          <w:noProof w:val="0"/>
          <w:spacing w:val="-1"/>
          <w:sz w:val="18"/>
          <w:szCs w:val="18"/>
          <w:lang w:val="x-none" w:eastAsia="x-none"/>
        </w:rPr>
        <w:t xml:space="preserve">," Laser Photon. Rev. </w:t>
      </w:r>
      <w:r w:rsidRPr="00254AD5">
        <w:rPr>
          <w:rFonts w:eastAsia="SimSun"/>
          <w:b/>
          <w:bCs/>
          <w:noProof w:val="0"/>
          <w:spacing w:val="-1"/>
          <w:sz w:val="18"/>
          <w:szCs w:val="18"/>
          <w:lang w:eastAsia="x-none"/>
        </w:rPr>
        <w:t>Accepted for publication</w:t>
      </w:r>
      <w:r w:rsidRPr="00254AD5">
        <w:rPr>
          <w:rFonts w:eastAsia="SimSun" w:hint="eastAsia"/>
          <w:noProof w:val="0"/>
          <w:spacing w:val="-1"/>
          <w:sz w:val="18"/>
          <w:szCs w:val="18"/>
          <w:lang w:val="x-none" w:eastAsia="x-none"/>
        </w:rPr>
        <w:t>, (2021)</w:t>
      </w:r>
    </w:p>
    <w:p w14:paraId="201EDF7F" w14:textId="77777777" w:rsidR="00F8527F" w:rsidRPr="00254AD5" w:rsidRDefault="00F8527F" w:rsidP="00F8527F">
      <w:pPr>
        <w:pStyle w:val="references"/>
        <w:rPr>
          <w:rFonts w:eastAsia="SimSun"/>
          <w:noProof w:val="0"/>
          <w:spacing w:val="-1"/>
          <w:sz w:val="18"/>
          <w:szCs w:val="18"/>
          <w:lang w:val="x-none" w:eastAsia="x-none"/>
        </w:rPr>
      </w:pPr>
      <w:r w:rsidRPr="00254AD5">
        <w:rPr>
          <w:rFonts w:eastAsia="SimSun"/>
          <w:noProof w:val="0"/>
          <w:spacing w:val="-1"/>
          <w:sz w:val="18"/>
          <w:szCs w:val="18"/>
          <w:lang w:val="x-none" w:eastAsia="x-none"/>
        </w:rPr>
        <w:t>S. M. Rytov, "</w:t>
      </w:r>
      <w:proofErr w:type="spellStart"/>
      <w:r w:rsidRPr="00254AD5">
        <w:rPr>
          <w:rFonts w:eastAsia="SimSun"/>
          <w:noProof w:val="0"/>
          <w:spacing w:val="-1"/>
          <w:sz w:val="18"/>
          <w:szCs w:val="18"/>
          <w:lang w:eastAsia="x-none"/>
        </w:rPr>
        <w:t>Electromagnetic</w:t>
      </w:r>
      <w:proofErr w:type="spellEnd"/>
      <w:r w:rsidRPr="00254AD5">
        <w:rPr>
          <w:rFonts w:eastAsia="SimSun"/>
          <w:noProof w:val="0"/>
          <w:spacing w:val="-1"/>
          <w:sz w:val="18"/>
          <w:szCs w:val="18"/>
          <w:lang w:eastAsia="x-none"/>
        </w:rPr>
        <w:t xml:space="preserve"> properties of a finely stratified medium</w:t>
      </w:r>
      <w:r w:rsidRPr="00254AD5">
        <w:rPr>
          <w:rFonts w:eastAsia="SimSun"/>
          <w:noProof w:val="0"/>
          <w:spacing w:val="-1"/>
          <w:sz w:val="18"/>
          <w:szCs w:val="18"/>
          <w:lang w:val="x-none" w:eastAsia="x-none"/>
        </w:rPr>
        <w:t xml:space="preserve">," Sov. </w:t>
      </w:r>
      <w:r w:rsidRPr="00254AD5">
        <w:rPr>
          <w:rFonts w:eastAsia="SimSun"/>
          <w:noProof w:val="0"/>
          <w:spacing w:val="-1"/>
          <w:sz w:val="18"/>
          <w:szCs w:val="18"/>
          <w:lang w:eastAsia="x-none"/>
        </w:rPr>
        <w:t>Phys</w:t>
      </w:r>
      <w:r w:rsidRPr="00254AD5">
        <w:rPr>
          <w:rFonts w:eastAsia="SimSun"/>
          <w:noProof w:val="0"/>
          <w:spacing w:val="-1"/>
          <w:sz w:val="18"/>
          <w:szCs w:val="18"/>
          <w:lang w:val="x-none" w:eastAsia="x-none"/>
        </w:rPr>
        <w:t xml:space="preserve">. JETP </w:t>
      </w:r>
      <w:r w:rsidRPr="00254AD5">
        <w:rPr>
          <w:rFonts w:eastAsia="SimSun"/>
          <w:b/>
          <w:bCs/>
          <w:noProof w:val="0"/>
          <w:spacing w:val="-1"/>
          <w:sz w:val="18"/>
          <w:szCs w:val="18"/>
          <w:lang w:val="x-none" w:eastAsia="x-none"/>
        </w:rPr>
        <w:t>2</w:t>
      </w:r>
      <w:r w:rsidRPr="00254AD5">
        <w:rPr>
          <w:rFonts w:eastAsia="SimSun"/>
          <w:noProof w:val="0"/>
          <w:spacing w:val="-1"/>
          <w:sz w:val="18"/>
          <w:szCs w:val="18"/>
          <w:lang w:val="x-none" w:eastAsia="x-none"/>
        </w:rPr>
        <w:t>, 466–475 (1956)</w:t>
      </w:r>
      <w:r w:rsidRPr="00254AD5">
        <w:rPr>
          <w:sz w:val="14"/>
          <w:szCs w:val="14"/>
        </w:rPr>
        <w:t xml:space="preserve"> </w:t>
      </w:r>
    </w:p>
    <w:p w14:paraId="5B70D77D" w14:textId="77777777" w:rsidR="00F8527F" w:rsidRDefault="00F8527F" w:rsidP="00F8527F">
      <w:pPr>
        <w:pStyle w:val="references"/>
        <w:numPr>
          <w:ilvl w:val="0"/>
          <w:numId w:val="0"/>
        </w:numPr>
        <w:ind w:left="360"/>
      </w:pPr>
    </w:p>
    <w:p w14:paraId="1307B3C6" w14:textId="77777777" w:rsidR="00F8527F" w:rsidRDefault="00F8527F" w:rsidP="00F8527F">
      <w:pPr>
        <w:pStyle w:val="references"/>
        <w:numPr>
          <w:ilvl w:val="0"/>
          <w:numId w:val="0"/>
        </w:numPr>
        <w:ind w:left="360"/>
        <w:sectPr w:rsidR="00F8527F" w:rsidSect="00C919A4">
          <w:type w:val="continuous"/>
          <w:pgSz w:w="12240" w:h="15840" w:code="1"/>
          <w:pgMar w:top="1080" w:right="907" w:bottom="1440" w:left="907" w:header="720" w:footer="720" w:gutter="0"/>
          <w:cols w:num="2" w:space="360"/>
          <w:docGrid w:linePitch="360"/>
        </w:sectPr>
      </w:pPr>
    </w:p>
    <w:p w14:paraId="298872D8" w14:textId="77777777" w:rsidR="00F8527F" w:rsidRDefault="00F8527F" w:rsidP="007E6300">
      <w:r>
        <w:rPr>
          <w:noProof/>
        </w:rPr>
        <w:drawing>
          <wp:inline distT="0" distB="0" distL="0" distR="0" wp14:anchorId="16C86662" wp14:editId="5F52225D">
            <wp:extent cx="6687298" cy="1419367"/>
            <wp:effectExtent l="0" t="0" r="0"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pic:cNvPicPr>
                      <a:picLocks noChangeAspect="1" noChangeArrowheads="1"/>
                    </pic:cNvPicPr>
                  </pic:nvPicPr>
                  <pic:blipFill>
                    <a:blip r:embed="rId6" cstate="print">
                      <a:extLst>
                        <a:ext uri="{28A0092B-C50C-407E-A947-70E740481C1C}">
                          <a14:useLocalDpi xmlns:a14="http://schemas.microsoft.com/office/drawing/2010/main" val="0"/>
                        </a:ext>
                      </a:extLst>
                    </a:blip>
                    <a:srcRect t="2662" b="2662"/>
                    <a:stretch>
                      <a:fillRect/>
                    </a:stretch>
                  </pic:blipFill>
                  <pic:spPr bwMode="auto">
                    <a:xfrm>
                      <a:off x="0" y="0"/>
                      <a:ext cx="6924068" cy="1469621"/>
                    </a:xfrm>
                    <a:prstGeom prst="rect">
                      <a:avLst/>
                    </a:prstGeom>
                    <a:noFill/>
                    <a:ln>
                      <a:noFill/>
                    </a:ln>
                    <a:extLst>
                      <a:ext uri="{53640926-AAD7-44D8-BBD7-CCE9431645EC}">
                        <a14:shadowObscured xmlns:a14="http://schemas.microsoft.com/office/drawing/2010/main"/>
                      </a:ext>
                    </a:extLst>
                  </pic:spPr>
                </pic:pic>
              </a:graphicData>
            </a:graphic>
          </wp:inline>
        </w:drawing>
      </w:r>
    </w:p>
    <w:p w14:paraId="482DAF9E" w14:textId="328C6256" w:rsidR="00254AD5" w:rsidRDefault="00F8527F" w:rsidP="00F8527F">
      <w:pPr>
        <w:jc w:val="both"/>
        <w:rPr>
          <w:sz w:val="18"/>
          <w:szCs w:val="18"/>
        </w:rPr>
      </w:pPr>
      <w:r w:rsidRPr="00254AD5">
        <w:rPr>
          <w:b/>
          <w:bCs/>
          <w:sz w:val="18"/>
          <w:szCs w:val="18"/>
        </w:rPr>
        <w:t>Figure 1.</w:t>
      </w:r>
      <w:r w:rsidRPr="00254AD5">
        <w:rPr>
          <w:sz w:val="18"/>
          <w:szCs w:val="18"/>
        </w:rPr>
        <w:t xml:space="preserve"> (a),(b) Schematic representation of a conventional SWG structure (a) and a bricked SWG structure (b). (c) Scanning electron microscope (SEM) image of a bricked SWG waveguide. (d) Measured </w:t>
      </w:r>
      <w:r w:rsidR="0055235E">
        <w:rPr>
          <w:sz w:val="18"/>
          <w:szCs w:val="18"/>
        </w:rPr>
        <w:t xml:space="preserve">performance of </w:t>
      </w:r>
      <w:r w:rsidRPr="00254AD5">
        <w:rPr>
          <w:sz w:val="18"/>
          <w:szCs w:val="18"/>
        </w:rPr>
        <w:t xml:space="preserve"> a 2x2 multimode interferometer based on a bricked SWG metamaterial.</w:t>
      </w:r>
    </w:p>
    <w:p w14:paraId="119AE2C4" w14:textId="2D59CC25" w:rsidR="00D561AA" w:rsidRPr="007022E0" w:rsidRDefault="00D561AA" w:rsidP="00D561AA">
      <w:pPr>
        <w:pStyle w:val="sponsors"/>
        <w:framePr w:wrap="auto" w:xAlign="left" w:yAlign="inline"/>
        <w:ind w:firstLine="289"/>
        <w:jc w:val="both"/>
        <w:rPr>
          <w:lang w:val="pt-PT"/>
        </w:rPr>
      </w:pPr>
      <w:r w:rsidRPr="007022E0">
        <w:rPr>
          <w:lang w:val="pt-PT"/>
        </w:rPr>
        <w:t>Funding from Universidad de Málaga, MCIU (PID2019-106747RB-I00), CECEU (UMA18-FEDERJA-219, PY18-1453, PY18-793)</w:t>
      </w:r>
      <w:r w:rsidR="0022333D">
        <w:rPr>
          <w:lang w:val="pt-PT"/>
        </w:rPr>
        <w:t>,  MECD( FPU16/06762)</w:t>
      </w:r>
      <w:r w:rsidRPr="007022E0">
        <w:rPr>
          <w:lang w:val="pt-PT"/>
        </w:rPr>
        <w:t>.</w:t>
      </w:r>
    </w:p>
    <w:p w14:paraId="2719533C" w14:textId="77777777" w:rsidR="00254AD5" w:rsidRPr="007E6300" w:rsidRDefault="00254AD5" w:rsidP="00F8527F">
      <w:pPr>
        <w:jc w:val="both"/>
        <w:rPr>
          <w:sz w:val="18"/>
          <w:szCs w:val="18"/>
          <w:lang w:val="pt-PT"/>
        </w:rPr>
      </w:pPr>
    </w:p>
    <w:sectPr w:rsidR="00254AD5" w:rsidRPr="007E6300">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7A4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B8F88F1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8"/>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013C"/>
    <w:rsid w:val="0001710F"/>
    <w:rsid w:val="0004781E"/>
    <w:rsid w:val="000A0406"/>
    <w:rsid w:val="000C1E68"/>
    <w:rsid w:val="000E5929"/>
    <w:rsid w:val="00147C5E"/>
    <w:rsid w:val="00153579"/>
    <w:rsid w:val="001A2EFD"/>
    <w:rsid w:val="001B67DC"/>
    <w:rsid w:val="001D4142"/>
    <w:rsid w:val="001E1AC4"/>
    <w:rsid w:val="001F1718"/>
    <w:rsid w:val="00214633"/>
    <w:rsid w:val="0022333D"/>
    <w:rsid w:val="00224300"/>
    <w:rsid w:val="002254A9"/>
    <w:rsid w:val="00254AD5"/>
    <w:rsid w:val="003154C4"/>
    <w:rsid w:val="00343A63"/>
    <w:rsid w:val="003739F5"/>
    <w:rsid w:val="003A19E2"/>
    <w:rsid w:val="00445BCD"/>
    <w:rsid w:val="00457687"/>
    <w:rsid w:val="00481120"/>
    <w:rsid w:val="004A4FF3"/>
    <w:rsid w:val="004B0DB4"/>
    <w:rsid w:val="004D72B5"/>
    <w:rsid w:val="00500899"/>
    <w:rsid w:val="00551B7F"/>
    <w:rsid w:val="0055235E"/>
    <w:rsid w:val="00575039"/>
    <w:rsid w:val="00575BCA"/>
    <w:rsid w:val="005B0344"/>
    <w:rsid w:val="005B520E"/>
    <w:rsid w:val="005C55A4"/>
    <w:rsid w:val="005E2800"/>
    <w:rsid w:val="00602942"/>
    <w:rsid w:val="00622B5D"/>
    <w:rsid w:val="00627AA6"/>
    <w:rsid w:val="0065071A"/>
    <w:rsid w:val="00651A08"/>
    <w:rsid w:val="00670434"/>
    <w:rsid w:val="00697C04"/>
    <w:rsid w:val="006A3F40"/>
    <w:rsid w:val="006B4978"/>
    <w:rsid w:val="006B6B66"/>
    <w:rsid w:val="007022E0"/>
    <w:rsid w:val="00717D78"/>
    <w:rsid w:val="00721F11"/>
    <w:rsid w:val="00740EEA"/>
    <w:rsid w:val="0077669B"/>
    <w:rsid w:val="00794804"/>
    <w:rsid w:val="007B33F1"/>
    <w:rsid w:val="007C0308"/>
    <w:rsid w:val="007C2FF2"/>
    <w:rsid w:val="007E6300"/>
    <w:rsid w:val="007F1F99"/>
    <w:rsid w:val="007F52C0"/>
    <w:rsid w:val="007F768F"/>
    <w:rsid w:val="0080791D"/>
    <w:rsid w:val="0086781C"/>
    <w:rsid w:val="00873603"/>
    <w:rsid w:val="00886177"/>
    <w:rsid w:val="00892BD4"/>
    <w:rsid w:val="008A02D5"/>
    <w:rsid w:val="008A2C7D"/>
    <w:rsid w:val="008C4B23"/>
    <w:rsid w:val="008D0952"/>
    <w:rsid w:val="00902BE8"/>
    <w:rsid w:val="009303D9"/>
    <w:rsid w:val="00933C64"/>
    <w:rsid w:val="00955DB7"/>
    <w:rsid w:val="00960E79"/>
    <w:rsid w:val="00972203"/>
    <w:rsid w:val="009C0969"/>
    <w:rsid w:val="00A059B3"/>
    <w:rsid w:val="00A229A9"/>
    <w:rsid w:val="00A74821"/>
    <w:rsid w:val="00A94A5C"/>
    <w:rsid w:val="00AE3409"/>
    <w:rsid w:val="00AF1C29"/>
    <w:rsid w:val="00B11A60"/>
    <w:rsid w:val="00B12877"/>
    <w:rsid w:val="00B22613"/>
    <w:rsid w:val="00B314FC"/>
    <w:rsid w:val="00B6566C"/>
    <w:rsid w:val="00B8169F"/>
    <w:rsid w:val="00BA1025"/>
    <w:rsid w:val="00BC3420"/>
    <w:rsid w:val="00BC437A"/>
    <w:rsid w:val="00BE6C47"/>
    <w:rsid w:val="00BE7D3C"/>
    <w:rsid w:val="00BF39A9"/>
    <w:rsid w:val="00BF5BF3"/>
    <w:rsid w:val="00BF5FF6"/>
    <w:rsid w:val="00C0207F"/>
    <w:rsid w:val="00C16117"/>
    <w:rsid w:val="00C919A4"/>
    <w:rsid w:val="00CA1615"/>
    <w:rsid w:val="00CC393F"/>
    <w:rsid w:val="00D108DB"/>
    <w:rsid w:val="00D50451"/>
    <w:rsid w:val="00D561AA"/>
    <w:rsid w:val="00D632BE"/>
    <w:rsid w:val="00D7536F"/>
    <w:rsid w:val="00D85C5F"/>
    <w:rsid w:val="00DA1AAC"/>
    <w:rsid w:val="00DE3DC2"/>
    <w:rsid w:val="00E56337"/>
    <w:rsid w:val="00E61E12"/>
    <w:rsid w:val="00E65ED3"/>
    <w:rsid w:val="00E7469A"/>
    <w:rsid w:val="00E7596C"/>
    <w:rsid w:val="00E878F2"/>
    <w:rsid w:val="00E94668"/>
    <w:rsid w:val="00ED0149"/>
    <w:rsid w:val="00F00F82"/>
    <w:rsid w:val="00F03103"/>
    <w:rsid w:val="00F1614E"/>
    <w:rsid w:val="00F271DE"/>
    <w:rsid w:val="00F627DA"/>
    <w:rsid w:val="00F7288F"/>
    <w:rsid w:val="00F8527F"/>
    <w:rsid w:val="00F919CA"/>
    <w:rsid w:val="00F9441B"/>
    <w:rsid w:val="00FA4C32"/>
    <w:rsid w:val="00FB5C9F"/>
    <w:rsid w:val="00FC098F"/>
    <w:rsid w:val="00FE71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92CC8"/>
  <w15:chartTrackingRefBased/>
  <w15:docId w15:val="{1256FDC7-D366-4FC6-B4E9-7FB944B9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jc w:val="center"/>
    </w:pPr>
    <w:rPr>
      <w:lang w:val="en-US" w:eastAsia="en-US"/>
    </w:rPr>
  </w:style>
  <w:style w:type="paragraph" w:styleId="Ttulo1">
    <w:name w:val="heading 1"/>
    <w:basedOn w:val="Normal"/>
    <w:next w:val="Normal"/>
    <w:link w:val="Ttulo1Car"/>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oindependiente">
    <w:name w:val="Body Text"/>
    <w:basedOn w:val="Normal"/>
    <w:link w:val="TextoindependienteCar"/>
    <w:rsid w:val="00E7596C"/>
    <w:pPr>
      <w:tabs>
        <w:tab w:val="left" w:pos="288"/>
      </w:tabs>
      <w:spacing w:after="120" w:line="228" w:lineRule="auto"/>
      <w:ind w:firstLine="288"/>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character" w:customStyle="1" w:styleId="Ttulo1Car">
    <w:name w:val="Título 1 Car"/>
    <w:basedOn w:val="Fuentedeprrafopredeter"/>
    <w:link w:val="Ttulo1"/>
    <w:rsid w:val="00F8527F"/>
    <w:rPr>
      <w:smallCaps/>
      <w:noProof/>
      <w:lang w:val="en-US" w:eastAsia="en-US"/>
    </w:rPr>
  </w:style>
  <w:style w:type="character" w:styleId="Refdecomentario">
    <w:name w:val="annotation reference"/>
    <w:basedOn w:val="Fuentedeprrafopredeter"/>
    <w:rsid w:val="00602942"/>
    <w:rPr>
      <w:sz w:val="16"/>
      <w:szCs w:val="16"/>
    </w:rPr>
  </w:style>
  <w:style w:type="paragraph" w:styleId="Textocomentario">
    <w:name w:val="annotation text"/>
    <w:basedOn w:val="Normal"/>
    <w:link w:val="TextocomentarioCar"/>
    <w:rsid w:val="00602942"/>
  </w:style>
  <w:style w:type="character" w:customStyle="1" w:styleId="TextocomentarioCar">
    <w:name w:val="Texto comentario Car"/>
    <w:basedOn w:val="Fuentedeprrafopredeter"/>
    <w:link w:val="Textocomentario"/>
    <w:rsid w:val="00602942"/>
    <w:rPr>
      <w:lang w:val="en-US" w:eastAsia="en-US"/>
    </w:rPr>
  </w:style>
  <w:style w:type="paragraph" w:styleId="Asuntodelcomentario">
    <w:name w:val="annotation subject"/>
    <w:basedOn w:val="Textocomentario"/>
    <w:next w:val="Textocomentario"/>
    <w:link w:val="AsuntodelcomentarioCar"/>
    <w:rsid w:val="00602942"/>
    <w:rPr>
      <w:b/>
      <w:bCs/>
    </w:rPr>
  </w:style>
  <w:style w:type="character" w:customStyle="1" w:styleId="AsuntodelcomentarioCar">
    <w:name w:val="Asunto del comentario Car"/>
    <w:basedOn w:val="TextocomentarioCar"/>
    <w:link w:val="Asuntodelcomentario"/>
    <w:rsid w:val="0060294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330336">
      <w:bodyDiv w:val="1"/>
      <w:marLeft w:val="0"/>
      <w:marRight w:val="0"/>
      <w:marTop w:val="0"/>
      <w:marBottom w:val="0"/>
      <w:divBdr>
        <w:top w:val="none" w:sz="0" w:space="0" w:color="auto"/>
        <w:left w:val="none" w:sz="0" w:space="0" w:color="auto"/>
        <w:bottom w:val="none" w:sz="0" w:space="0" w:color="auto"/>
        <w:right w:val="none" w:sz="0" w:space="0" w:color="auto"/>
      </w:divBdr>
      <w:divsChild>
        <w:div w:id="103222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6E17-EB84-8F4C-B208-247836D7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4261</Characters>
  <Application>Microsoft Office Word</Application>
  <DocSecurity>0</DocSecurity>
  <Lines>35</Lines>
  <Paragraphs>10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Luque Gonzalez Jose Manuel</cp:lastModifiedBy>
  <cp:revision>2</cp:revision>
  <dcterms:created xsi:type="dcterms:W3CDTF">2021-03-29T14:00:00Z</dcterms:created>
  <dcterms:modified xsi:type="dcterms:W3CDTF">2021-03-29T14:00:00Z</dcterms:modified>
</cp:coreProperties>
</file>